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East Pipes Integrated Company for Industry</w:t>
      </w:r>
    </w:p>
    <w:p>
      <w:pPr>
        <w:spacing w:after="60"/>
        <w:rPr>
          <w:color w:val="52514E"/>
          <w:sz w:val="22"/>
          <w:szCs w:val="22"/>
        </w:rPr>
      </w:pPr>
      <w:r>
        <w:rPr>
          <w:color w:val="52514E"/>
          <w:sz w:val="22"/>
          <w:szCs w:val="22"/>
        </w:rPr>
        <w:t xml:space="preserve">1321.SR · Saudi Exchange (Tadawul), mercado principal · ISIN SA15GH80KKH0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SAR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173,30 SAR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155,59 SAR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-6,8 % (base -0,7 %)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162,35 SAR · mercado 178,40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5.459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East Pipes Integrated Company for Industry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1321.SR / SA15GH80KKH0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Saudi Exchange (Tadawul), mercado principal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TASI (en el informe, ETF iShares MSCI Saudi Arabia, KSA)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Acero (tubos de acero soldados)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Dammam (Segunda Ciudad Industrial) · 2010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https://www.eastpipes.com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173,30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126,20 – 231,10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5.459 M SAR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4.583 M SAR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 M SAR/día (≈ 11,5 M USD; 225.000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155,59 SAR</w:t>
      </w:r>
      <w:r>
        <w:t xml:space="preserve"> frente a 173,30 · Rentabilidad a 12 meses </w:t>
      </w:r>
      <w:r>
        <w:rPr>
          <w:b/>
          <w:bCs/>
        </w:rPr>
        <w:t xml:space="preserve">-6,8 % (base -0,7 %)</w:t>
      </w:r>
      <w:r>
        <w:t xml:space="preserve"> · Valor intrínseco 162,35 SAR · con la prima implícita del mercado: 178,40 (+2,9 %) · Alcista / bajista +14,4 % / -44,0 %</w:t>
      </w:r>
    </w:p>
    <w:p>
      <w:pPr>
        <w:spacing w:after="100"/>
      </w:pPr>
      <w:r>
        <w:rPr>
          <w:b/>
        </w:rPr>
        <w:t xml:space="preserve">La recomendación y por qué.</w:t>
      </w:r>
      <w:r>
        <w:t xml:space="preserve"> Mantener, con convicción baja. El objetivo a 12 meses es de 155,59 SAR ponderado y 166,12 SAR en el base, frente a un precio de 173,30 SAR (cierre del 21-oct-2026): rentabilidad con dividendo del -6,8 % ponderada y del -0,7 % en el base. El valor intrínseco es de 162,35 SAR (-6,3 %). La convicción es baja porque las reglas discrepan: frente a su coste de capital sería Vender; frente a lo que pide el mercado (prima del 4,2 %), Mantener. Compraríamos por debajo de 140,51 SAR.</w:t>
      </w:r>
    </w:p>
    <w:p>
      <w:pPr>
        <w:spacing w:after="100"/>
      </w:pPr>
      <w:r>
        <w:rPr>
          <w:b/>
        </w:rPr>
        <w:t xml:space="preserve">El negocio.</w:t>
      </w:r>
      <w:r>
        <w:t xml:space="preserve"> East Pipes fabrica tubo de acero soldado en espiral de gran diámetro (HSAW) en Dammam para conducciones de agua desalada y de gas; vende casi todo a dos clientes públicos, Aramco y la Agencia del Agua [1, 15]. Su ROIC del 52,8 % en FY2026 frente a un WACC del 12,49 % es de cima de ciclo: en FY2022 era del 1,5 %. La sostenibilidad del crecimiento es «Sí»: proyectamos un crecimiento casi plano (1,1 % anual) que la planta de 500.000 t cubre sin inversión nueva y con una cuota final por debajo de la de hoy.</w:t>
      </w:r>
    </w:p>
    <w:p>
      <w:pPr>
        <w:spacing w:after="100"/>
      </w:pPr>
      <w:r>
        <w:rPr>
          <w:b/>
        </w:rPr>
        <w:t xml:space="preserve">Sector y ciclo.</w:t>
      </w:r>
      <w:r>
        <w:t xml:space="preserve"> Parte alta de un ciclo de inversión en agua y gas: ventas de 597 M SAR en FY2022 a 2.298 M en FY2026 y margen EBITDA del 6,5 % al 27,9 % [1]. El 2T27 (ventas −39,6 %) muestra el riesgo logístico de la bobina importada; los contratos de Aramco de septiembre (837 M con IVA) sostienen la segunda mitad [7, 8]. Los pedidos récord de 2024-2026 parecen un pico: no hay cartera publicada desde 2022.</w:t>
      </w:r>
    </w:p>
    <w:p>
      <w:pPr>
        <w:spacing w:after="100"/>
      </w:pPr>
      <w:r>
        <w:rPr>
          <w:b/>
        </w:rPr>
        <w:t xml:space="preserve">Finanzas.</w:t>
      </w:r>
      <w:r>
        <w:t xml:space="preserve"> Sin deuda y con 995 M SAR de caja (el 18 % de la capitalización) a 30-sep-2026; el flujo operativo de FY2026 fue de 973 M por la liberación del circulante [1, 7]. Cuentas de EY sin salvedades; el riesgo está en los cobros (dos clientes, 96 %).</w:t>
      </w:r>
    </w:p>
    <w:p>
      <w:pPr>
        <w:spacing w:after="100"/>
      </w:pPr>
      <w:r>
        <w:rPr>
          <w:b/>
        </w:rPr>
        <w:t xml:space="preserve">Equipo y gobierno.</w:t>
      </w:r>
      <w:r>
        <w:t xml:space="preserve"> Welspun Corp (India) controla el 26,5 % y preside el consejo; le vendió tubo por 112 M SAR en FY2026 [12, 18]. El primer ejecutivo es interino desde 2025 y es también el director financiero.</w:t>
      </w:r>
    </w:p>
    <w:p>
      <w:pPr>
        <w:spacing w:after="100"/>
      </w:pPr>
      <w:r>
        <w:rPr>
          <w:b/>
        </w:rPr>
        <w:t xml:space="preserve">Valoración.</w:t>
      </w:r>
      <w:r>
        <w:t xml:space="preserve"> DCF de 151,78 SAR (WACC 12,49 %, crecimiento terminal 3 %). El precio descuenta un margen EBITDA terminal del 23,8 % (nosotros, 20,5 %) o un crecimiento anual del 5,6 %. Escenarios: 97,11 / 151,78 / 198,31 SAR; asimetría de 0,33x. Los comparables (208,67 SAR) usan el consenso anterior al 2T27; los analistas apuntan a 228,67 SAR de media [23].</w:t>
      </w:r>
    </w:p>
    <w:p>
      <w:pPr>
        <w:spacing w:after="100"/>
      </w:pPr>
      <w:r>
        <w:rPr>
          <w:b/>
        </w:rPr>
        <w:t xml:space="preserve">Riesgos y catalizadores.</w:t>
      </w:r>
      <w:r>
        <w:t xml:space="preserve"> El riesgo dominante es el fin del ciclo de licitación con precios a la baja (bajista de 97,11 SAR); le siguen la logística de la bobina, la competencia de Arabian Pipes, Saudi Steel Pipe y la importación india, y el conflicto de interés con Welspun. Catalizadores: el 3T27 (≈ 1-feb-2027) y nuevos contratos anunciados. Regla 13: la caída del 18,6 % del último mes la explica el 2T27; no cambia. Riesgo de la IA: bajo.</w:t>
      </w:r>
    </w:p>
    <w:p>
      <w:pPr>
        <w:spacing w:after="100"/>
      </w:pPr>
      <w:r>
        <w:rPr>
          <w:b/>
        </w:rPr>
        <w:t xml:space="preserve">Qué cambiaría la decisión.</w:t>
      </w:r>
      <w:r>
        <w:t xml:space="preserve"> Compraríamos por debajo de 140,51 SAR y venderíamos por encima de 179,54 SAR. Mejoraría la tesis un margen bruto por encima del 26 % con contratos nuevos de más de 1.500 M SAR al año; la empeoraría un margen bruto por debajo del 22 %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155,59 SAR</w:t>
      </w:r>
      <w:r>
        <w:t xml:space="preserve"> (rentabilidad -6,8 % (base -0,7 %)) · Valor intrínseco: 162,35 SAR (-6,3 % sobre 173,30) · con la prima implícita del mercado: 178,40 (+2,9 %)</w:t>
      </w:r>
    </w:p>
    <w:p>
      <w:pPr>
        <w:spacing w:after="100"/>
      </w:pPr>
      <w:r>
        <w:t xml:space="preserve">East Pipes es el mayor fabricante saudí de tubo de acero soldado en espiral para agua y gas (≈ 24 % del mercado del Reino), sin deuda y con el mejor margen del sector [1, 15, 16]. El ciclo de inversión de Aramco y de la Agencia del Agua cuadruplicó sus ventas en FY2022-FY2026 y llevó el margen EBITDA del 6,5 % al 27,9 %.</w:t>
      </w:r>
    </w:p>
    <w:p>
      <w:pPr>
        <w:spacing w:after="100"/>
      </w:pPr>
      <w:r>
        <w:t xml:space="preserve">El precio (173,30 SAR) ha caído un 24 % desde julio, pero aún descuenta un margen del 23,8 % para siempre. El valor intrínseco es de 162,35 SAR y el objetivo a 12 meses de 155,59 SAR: no hay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155,59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 × 9,53 = 57,18 · 10,9x × 15,24 = 166,12 · 12,0x × 19,41 = 232,92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 -0,7 %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228,67 (nuestro base -27,4 %)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162,35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 / -44,0 %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frente a 12,5 % y 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178,40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frente a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140,51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140,51 y 179,54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179,54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140,51 SAR: pasaría a Comprar (ponderada a 12 meses ≥ 15 %).</w:t>
      </w:r>
    </w:p>
    <w:p>
      <w:pPr>
        <w:pStyle w:val="ListParagraph"/>
        <w:numPr>
          <w:ilvl w:val="0"/>
          <w:numId w:val="2"/>
        </w:numPr>
        <w:spacing w:after="60"/>
      </w:pPr>
      <w:r>
        <w:t xml:space="preserve">Precio por encima de 179,54 SAR: pasaría a Vender (ponderada ≤ −10 %).</w:t>
      </w:r>
    </w:p>
    <w:p>
      <w:pPr>
        <w:pStyle w:val="ListParagraph"/>
        <w:numPr>
          <w:ilvl w:val="0"/>
          <w:numId w:val="2"/>
        </w:numPr>
        <w:spacing w:after="60"/>
      </w:pPr>
      <w:r>
        <w:t xml:space="preserve">Margen bruto trimestral por debajo del 22 % dos trimestres seguidos: bajaríamos el caso base.</w:t>
      </w:r>
    </w:p>
    <w:p>
      <w:pPr>
        <w:pStyle w:val="ListParagraph"/>
        <w:numPr>
          <w:ilvl w:val="0"/>
          <w:numId w:val="2"/>
        </w:numPr>
        <w:spacing w:after="60"/>
      </w:pPr>
      <w:r>
        <w:t xml:space="preserve">Contratos nuevos de más de 1.500 M SAR en doce meses con margen bruto por encima del 26 %: subiríamos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de la cima (26 % según el consenso en FY2027e-FY2029e) se mantiene y que el 2T27 es un bache logístico: el precio pide un margen terminal del 23,8 % con nuestro WACC [23].</w:t>
      </w:r>
    </w:p>
    <w:p>
      <w:pPr>
        <w:keepNext/>
        <w:spacing w:after="100"/>
      </w:pPr>
      <w:r>
        <w:rPr>
          <w:b/>
          <w:bCs/>
        </w:rPr>
        <w:t xml:space="preserve">Lo que creemos nosotros.</w:t>
      </w:r>
    </w:p>
    <w:p>
      <w:pPr>
        <w:spacing w:after="100"/>
      </w:pPr>
      <w:r>
        <w:t xml:space="preserve">El volumen tiene apoyo (contratos de Aramco hasta el 1T FY2028), pero el margen es de ciclo y volverá hacia el 20-21 % cuando la licitación se frene y Arabian Pipes y Saudi Steel Pipe pujen para llenar sus plantas.</w:t>
      </w:r>
    </w:p>
    <w:p>
      <w:pPr>
        <w:keepNext/>
        <w:spacing w:after="100"/>
      </w:pPr>
      <w:r>
        <w:rPr>
          <w:b/>
          <w:bCs/>
        </w:rPr>
        <w:t xml:space="preserve">Por qué podemos tener razón.</w:t>
      </w:r>
    </w:p>
    <w:p>
      <w:pPr>
        <w:spacing w:after="100"/>
      </w:pPr>
      <w:r>
        <w:t xml:space="preserve">La historia propia (margen del 6,5 % en FY2022 y del 11,2 % en FY2023), el margen de los competidores (Arabian Pipes 15 %, Saudi Steel Pipe 26 %) y la ausencia de cartera publicada [1, 16].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AR) · precio actual 173,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Líder del tubo HSAW de gran diámetro en el Reino</w:t>
      </w:r>
      <w:r>
        <w:t xml:space="preserve">, con contenido local que puntúa en las licitaciones [15].</w:t>
      </w:r>
    </w:p>
    <w:p>
      <w:pPr>
        <w:pStyle w:val="ListParagraph"/>
        <w:numPr>
          <w:ilvl w:val="0"/>
          <w:numId w:val="2"/>
        </w:numPr>
        <w:spacing w:after="60"/>
      </w:pPr>
      <w:r>
        <w:rPr>
          <w:b/>
        </w:rPr>
        <w:t xml:space="preserve">Sin deuda y 995 M SAR de caja</w:t>
      </w:r>
      <w:r>
        <w:t xml:space="preserve"> (≈ 32 SAR por acción) a 30-sep-2026 [7].</w:t>
      </w:r>
    </w:p>
    <w:p>
      <w:pPr>
        <w:pStyle w:val="ListParagraph"/>
        <w:numPr>
          <w:ilvl w:val="0"/>
          <w:numId w:val="2"/>
        </w:numPr>
        <w:spacing w:after="60"/>
      </w:pPr>
      <w:r>
        <w:rPr>
          <w:b/>
        </w:rPr>
        <w:t xml:space="preserve">Contratos de Aramco por 837 M SAR</w:t>
      </w:r>
      <w:r>
        <w:t xml:space="preserve"> firmados en septiembre de 2026 [7].</w:t>
      </w:r>
    </w:p>
    <w:p>
      <w:pPr>
        <w:pStyle w:val="ListParagraph"/>
        <w:numPr>
          <w:ilvl w:val="0"/>
          <w:numId w:val="2"/>
        </w:numPr>
        <w:spacing w:after="60"/>
      </w:pPr>
      <w:r>
        <w:rPr>
          <w:b/>
        </w:rPr>
        <w:t xml:space="preserve">ROIC del 52,8 %</w:t>
      </w:r>
      <w:r>
        <w:t xml:space="preserve"> y margen operativo que dobla al de Saudi Steel Pipe [1, 16].</w:t>
      </w:r>
    </w:p>
    <w:p>
      <w:pPr>
        <w:pStyle w:val="ListParagraph"/>
        <w:numPr>
          <w:ilvl w:val="0"/>
          <w:numId w:val="2"/>
        </w:numPr>
        <w:spacing w:after="60"/>
      </w:pPr>
      <w:r>
        <w:rPr>
          <w:b/>
        </w:rPr>
        <w:t xml:space="preserve">Dividendo creciente</w:t>
      </w:r>
      <w:r>
        <w:t xml:space="preserve">: 6 SAR en FY2026 (3,5 %) [1].</w:t>
      </w:r>
    </w:p>
    <w:p>
      <w:pPr>
        <w:pStyle w:val="Heading2"/>
      </w:pPr>
      <w:r>
        <w:t xml:space="preserve">En contra</w:t>
      </w:r>
    </w:p>
    <w:p>
      <w:pPr>
        <w:pStyle w:val="ListParagraph"/>
        <w:numPr>
          <w:ilvl w:val="0"/>
          <w:numId w:val="2"/>
        </w:numPr>
        <w:spacing w:after="60"/>
      </w:pPr>
      <w:r>
        <w:rPr>
          <w:b/>
        </w:rPr>
        <w:t xml:space="preserve">Margen de cima de ciclo</w:t>
      </w:r>
      <w:r>
        <w:t xml:space="preserve">: 6,5 % en FY2022, 27,9 % en FY2026 [1].</w:t>
      </w:r>
    </w:p>
    <w:p>
      <w:pPr>
        <w:pStyle w:val="ListParagraph"/>
        <w:numPr>
          <w:ilvl w:val="0"/>
          <w:numId w:val="2"/>
        </w:numPr>
        <w:spacing w:after="60"/>
      </w:pPr>
      <w:r>
        <w:rPr>
          <w:b/>
        </w:rPr>
        <w:t xml:space="preserve">2T27 con ventas −39,6 %</w:t>
      </w:r>
      <w:r>
        <w:t xml:space="preserve"> por la bobina retrasada [8].</w:t>
      </w:r>
    </w:p>
    <w:p>
      <w:pPr>
        <w:pStyle w:val="ListParagraph"/>
        <w:numPr>
          <w:ilvl w:val="0"/>
          <w:numId w:val="2"/>
        </w:numPr>
        <w:spacing w:after="60"/>
      </w:pPr>
      <w:r>
        <w:rPr>
          <w:b/>
        </w:rPr>
        <w:t xml:space="preserve">Dos clientes públicos</w:t>
      </w:r>
      <w:r>
        <w:t xml:space="preserve"> concentran casi todo el cobro [1].</w:t>
      </w:r>
    </w:p>
    <w:p>
      <w:pPr>
        <w:pStyle w:val="ListParagraph"/>
        <w:numPr>
          <w:ilvl w:val="0"/>
          <w:numId w:val="2"/>
        </w:numPr>
        <w:spacing w:after="60"/>
      </w:pPr>
      <w:r>
        <w:rPr>
          <w:b/>
        </w:rPr>
        <w:t xml:space="preserve">Conflicto de interés con Welspun</w:t>
      </w:r>
      <w:r>
        <w:t xml:space="preserve">, accionista de control y competidor [18].</w:t>
      </w:r>
    </w:p>
    <w:p>
      <w:pPr>
        <w:pStyle w:val="ListParagraph"/>
        <w:numPr>
          <w:ilvl w:val="0"/>
          <w:numId w:val="2"/>
        </w:numPr>
        <w:spacing w:after="60"/>
      </w:pPr>
      <w:r>
        <w:rPr>
          <w:b/>
        </w:rPr>
        <w:t xml:space="preserve">Primer ejecutivo interino</w:t>
      </w:r>
      <w:r>
        <w:t xml:space="preserve"> desde 2025 [12].</w:t>
      </w:r>
    </w:p>
    <w:p>
      <w:pPr>
        <w:pStyle w:val="Heading2"/>
      </w:pPr>
      <w:r>
        <w:t xml:space="preserve">Qué tiene que pasar para que la tesis funcione</w:t>
      </w:r>
    </w:p>
    <w:p>
      <w:pPr>
        <w:spacing w:after="100"/>
      </w:pPr>
      <w:r>
        <w:t xml:space="preserve">La tesis depende del margen y de los pedidos. La señal está en el margen bruto trimestral y en los contratos anunciados a Tadawul: si el margen bruto baja del 22 % dos trimestres seguidos y los contratos no llegan a 1.500 M en doce meses, el ciclo ha girado; si el margen se mantiene por encima del 26 % con contratos nuevos, nos equivocamos con el ciclo.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 (2T27); 26,3 % en el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tonelada frente al coste de la bobina.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anunciados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M SAR con IVA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 M en 12 meses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futuras: no hay cartera publicada.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 M SAR (2T27)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 M en el 3T27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logística no se normaliza, FY2027e es peor.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cobro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días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 días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clientes públicos; riesgo de plazo.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995,2 M SAR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600 M sin dividendo extraordinario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absorbe caja al crecer.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7,8x / 6,9x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10,4x / 10,0x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East Pipes nace en 2010 en Dammam como empresa de Welspun Corp (India) y socios saudíes para fabricar tubo de acero soldado en espiral de gran diámetro para las conducciones de agua y de hidrocarburos del Reino [4]. En 2020 absorbió, bajo control común, la sociedad de revestimientos del mismo grupo y se convirtió en sociedad anónima; salió a bolsa en Tadawul en 2022 con el 30 % del capital [4]. Su historia es la del ciclo de inversión saudí: ventas de 935 M SAR en FY2021, 597 M y pérdidas en FY2022 (materia prima +51 % y pedidos aplazados), y de ahí a 2.298 M y 573 M de beneficio en FY2026 con los grandes contratos de Aramco y de la Agencia Saudí del Agua [1, 4]. En 2025 salió el consejero delegado y el director financiero ocupa el puesto en funciones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Dammam (licencia de inversión extranjera, julio de 2010) por Welspun y socios saudíes para fabricar tubo soldado en espiral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bajo control común, con Welspun Middle East Pipes Coating (revestimientos) y conversión en sociedad anónima cerrada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Tadawul del 30 % del capital (6,3 M acciones de entonces); FY2022 con pérdidas por la subida del 51 % de la materia prima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gratuita: el capital pasa de 210 a 315 M SAR (31,5 M acciones)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contratos de Aramco (&gt; 1.800 M SAR) y de agua: las ventas pasan de 597 M (FY2022) a 1.439 M (FY2023)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por más de 1.650 M SAR en cuatro proyectos y &gt; 235 M de Esnad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la Agencia Saudí del Agua (&gt; 485 M SAR); 100 % de los 15 primeros proyectos de Green Riyadh; acuerdo marco con Aramco por séptimo año; salida del consejero delegado y nombramiento del director financiero como consejero delegado en funciones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línea de 100.000 t (capacidad nominal de 500.000 t); FY2026 récord (ventas de 2.298 M, beneficio de 573 M) sin deuda; 2T27 hundido por los retrasos de la bobina; tres contratos de Aramco por 837 M SAR en septiembre [5, 8, 13, 30].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Fabrica tubo de acero soldado en espiral por arco sumergido (HSAW) de gran diámetro y lo reviste por dentro y por fuera, en una sola planta integrada en la Segunda Ciudad Industrial de Dammam, con doble unión y línea de revestimiento [12]. La capacidad nominal pasó de 400.000 a 500.000 toneladas al año en marzo de 2026, y puede llegar a 600.000 según la mezcla de diámetros [13]. Vende el 100 % en Arabia Saudí a proyectos de agua (Agencia Saudí del Agua, contratistas de Green Riyadh) y de petróleo y gas (Aramco, con acuerdo marco por séptimo año) [1, 12]. El 90,5 % de las ventas de FY2026 fue tubo (2.079 M SAR) y el 9,5 % revestimiento (219 M) [1].</w:t>
      </w:r>
    </w:p>
    <w:p>
      <w:pPr>
        <w:pStyle w:val="Heading2"/>
      </w:pPr>
      <w:r>
        <w:t xml:space="preserve">Cómo gana dinero</w:t>
      </w:r>
    </w:p>
    <w:p>
      <w:pPr>
        <w:spacing w:after="100"/>
      </w:pPr>
      <w:r>
        <w:t xml:space="preserve">Gana dinero por proyecto: licita contratos de 3 a 24 meses, compra la bobina laminada en caliente contra pedido confirmado y factura al entregar [1, 12]. Nada es recurrente salvo el acuerdo marco de Aramco, que da derecho a pujar, no volumen. El margen depende del diferencial entre el precio por tonelada del contrato y el coste de la bobina (los materiales son 1.475 M de los 1.651 M del coste de ventas de FY2026, el 89 %) y de llenar la planta: el coste fijo (personal, alquileres, amortización) es ≈ 160 M, por eso el margen EBITDA saltó del 6,5 % de FY2022 al 27,9 % de FY2026 [1, 4]. Los contratos permiten repercutir parte de los fletes extra «en ciertas condiciones» [14]. No hay estacionalidad, pero sí trimestres muy irregulares según las entregas.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tubos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de revestimiento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tubos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de revestimiento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extrema: dos clientes públicos suman el 96 % de los cobros pendientes a marzo de 2026 (85 % en marzo de 2025) y los clientes de gobierno, 608,5 M de 635,4 M [1, 2]. Aramco firmó en septiembre de 2026 tres contratos por 837 M SAR con IVA (uno de más de 771 M a seis meses, del 4T FY2027 al 1T FY2028) y la Agencia Saudí del Agua uno de más de 485 M en diciembre de 2025 [12, 29, 30]. Poder de precios demostrado en la subida: el precio medio por tonelada subió en FY2026 y en el 1T27 [5, 6]; pero no en la bajada: en el 2T27 los costes por tonelada (fletes y seguros) crecieron más que el precio y el margen bruto cayó al 24,6 % [7, 8]. La pérdida esperada es mínima (0,02 % en los clientes públicos)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nominal de tubo HSAW</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400.000 t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500.000 t (mar-2026)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línea en marcha desde el 15-mar-2026; hasta 600.000 t según la mezcla de diámetros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anunciados en el ejercicio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2.527 M SAR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Agencia Saudí del Agua (&gt; 485 M), Esnad (&gt; 235 M), grandes pedidos de 2024 (&gt; 1.650 M), Aramco con acuerdo marco por séptimo año [12]. La empresa no publica la cartera de pedidos.</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26,3 % en el 1T27 y 24,6 % en el 2T27: el coste por tonelada (fletes y seguros) sube más que el precio [1,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públicos sobre cobros pendientes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en dos clientes (mar-2025)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en dos clientes (mar-2026)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gobierno: 608,5 M de 635,4 M brutos; pérdida esperada del 0,02 %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 M SAR (mar-2025)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 M SAR (sep-2026)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de 973 M en FY2026 y 457 M en el 1S FY2027, con la liberación del circulante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por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570,9 M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344,8 M (2T27)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Retrasos en la llegada de bobina por la situación geopolítica: menos producción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tubo de acero para conducciones en Arabia Saudí: P&amp;S Intelligence lo estima en USD 2.574 M en 2025 (≈ 9.656 M SAR) y USD 3.413 M en 2030 (+5,7 % anual) [15]. Incluye tubo soldado longitudinal y sin soldadura, donde East Pipes no compite, así que su cuota del segmento de gran diámetro es mayor que el ≈ 24 % que sale de dividir sus ventas entre ese mercado. Segunda referencia: el tubo HSAW mundial, USD 4.820 M en 2025 y 6.130 M en 2032 (+3,6 %), según el estudio que cita la empresa [12]. Usamos P&amp;S porque mide el país donde vende el 100 %.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9.656 M SAR en 2025 (USD 2.574,3 M a 3.751 SAR/USD), tubo de acero en Arabia Saudí [15]; el tubo HSAW mundial es de USD 4.820 M (2025)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SA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Agua: transporte de agua desalada al interior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Nacional del Agua 2030: más desalación, conducciones y reservas hasta siete días de demanda en 2030 [12]; contrato de la Agencia Saudí del Agua de &gt; 485 M SAR (dic-2025)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Master Gas System y +80 % de capacidad de gas de venta en 2030</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contratos de Aramco por 837 M SAR en septiembre de 2026 y acuerdo marco por séptimo año [12,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bobina laminada en caliente (≈ 89 % del coste de ventas en materiales)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Materiales de 1.475 M de 1.651 M de coste de ventas en FY2026 [1]; en FY2022 la subida del 51 % llevó a pérdidas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pública y de Aramco (calendario de licitaciones)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935 M (FY2021) a 597 M (FY2022) por pedidos aplazados, y de 597 M a 2.298 M (FY2026) [1,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Logística de importación (Ormuz, Bab el-Mandeb)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Barcos desviados a Yeda y Yanbu con hasta cuatro semanas de espera y fletes +15-20 % [14]; ventas del 2T27 −39,6 %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fabricantes locales de gran diámetro (East Pipes, Arabian Pipes, Saudi Steel Pipe, Al Yamamah) y licitaciones por precio; el margen operativo de Arabian Pipes es del 7,8 % frente al 26,7 % de East Pipes en FY2026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clientes públicos concentran el 96 % de los cobros pendientes (Aramco y la Agencia del Agua) y deciden el calendario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bobina es casi todo el coste y se importa por mar; la guerra la retrasó en el 2T27 [1,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de Aramco y de la Agencia del Agua, contenido local (IKTVA) y fábricas de 400-500 kt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conducciones de gran diámetro y alta presión el acero no tiene sustituto práctico; los plásticos compiten en diámetros pequeños [12].</w:t>
            </w:r>
          </w:p>
        </w:tc>
      </w:tr>
    </w:tbl>
    <w:p>
      <w:pPr>
        <w:spacing w:after="160" w:before="0"/>
      </w:pPr>
    </w:p>
    <w:p>
      <w:pPr>
        <w:pStyle w:val="Heading2"/>
      </w:pPr>
      <w:r>
        <w:t xml:space="preserve">Ciclo</w:t>
      </w:r>
    </w:p>
    <w:p>
      <w:pPr>
        <w:spacing w:after="100"/>
      </w:pPr>
      <w:r>
        <w:t xml:space="preserve">Las ventas se triplicaron desde FY2022 y el margen está en máximos (27,9 % en FY2026): es la parte alta del ciclo de inversión en agua y gas. En FY2022, con la materia prima +51 % y pedidos aplazados, las ventas cayeron un 36 % y hubo pérdidas [4]; en 2020 la empresa no cotizaba. El 2T27 muestra el otro riesgo: la logística (guerra en Ormuz y Bab el-Mandeb) cortó la producción un 40 % [8, 14]. La demanda de fondo sigue (contratos de Aramco por 837 M en septiembre), pero los precios de la tonelada ya no suben más que los costes [7].</w:t>
      </w:r>
    </w:p>
    <w:p>
      <w:pPr>
        <w:pStyle w:val="Heading2"/>
      </w:pPr>
      <w:r>
        <w:t xml:space="preserve">Regulación</w:t>
      </w:r>
    </w:p>
    <w:p>
      <w:pPr>
        <w:spacing w:after="100"/>
      </w:pPr>
      <w:r>
        <w:t xml:space="preserve">Dos normas sostienen la demanda y la posición local: el programa de contenido local de Aramco (IKTVA) y las preferencias de compra pública saudí, que favorecen al fabricante nacional homologado [12]. La Estrategia Nacional del Agua 2030 (desalación, transporte y reservas de siete días) y el objetivo de +80 % de gas de venta en 2030 fijan el volumen de obra [12]. En lo fiscal, zakat del 2,5 % sobre la base saudí e impuesto del 20 % sobre la parte extranjera (Welspun) [1]. No hay cambios en tramitación identificados que afecten a las cifras.</w:t>
      </w:r>
    </w:p>
    <w:p>
      <w:pPr>
        <w:pStyle w:val="Heading2"/>
      </w:pPr>
      <w:r>
        <w:t xml:space="preserve">Tendencias y disrupción</w:t>
      </w:r>
    </w:p>
    <w:p>
      <w:pPr>
        <w:spacing w:after="100"/>
      </w:pPr>
      <w:r>
        <w:t xml:space="preserve">Tres tendencias: más conducciones de agua desalada de la costa al interior y más gasoductos (East-West, Master Gas System), que favorecen al tubo HSAW de gran diámetro [12, 14]; la seguridad de suministro tras la guerra, que valora las conducciones terrestres frente a Ormuz [12]; y la posible exportación, que la dirección estudia ahora que la planta tiene 500.000 t [14]. En contra, los competidores locales (Arabian Pipes, Saudi Steel Pipe) y la importación india (Welspun, Jindal Saw) presionan los precios cuando baja la licitación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fabricante de tubo HSAW de Arabia Saudí por capacidad y ventas; ≈ 24 % del tubo de acero saudí en 2025 (ventas de FY2026 ÷ mercado de P&amp;S) [1,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Saudi Steel Pipe (SSP)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1320.SR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Tubo soldado longitudinal (ERW) y espiral; cliente Aramco; datos de los últimos doce meses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Arabian Pipes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2200.SR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Tubo ERW y espiral para agua y petróleo; ventas −37 % interanual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 Yamamah Steel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1304.SR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Tubo y perfiles y torres eléctricas; solo una parte compite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Welspun Corp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WELCORP.NS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(26,5 %) y proveedor ocasional de tubo; compite en exportación al Golfo [1,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Jindal Saw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JINDALSAW.NS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Tubo SAW y de fundición dúctil para agua; exporta a Oriente Medio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Tenaris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45.162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Tubo sin soldadura para pozos; compite poco en conducción de gran diámetro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venta por proyecto.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de Aramco (acuerdo marco por séptimo año) y de la Agencia del Agua; pero cada contrato se licita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local y licencias API; sin patentes relevantes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26,7 % en FY2026 frente al 15,3 % de SSP y el 7,8 % de Arabian Pipes; planta integrada con revestimiento y doble unión [A1, B3].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500.000 t de capacidad nominal en un mercado de ≈ 9.700 M SAR; mayor fabricante HSAW del país [A13, B1].</w:t>
            </w:r>
          </w:p>
        </w:tc>
      </w:tr>
    </w:tbl>
    <w:p>
      <w:pPr>
        <w:spacing w:after="160" w:before="0"/>
      </w:pPr>
    </w:p>
    <w:p>
      <w:pPr>
        <w:pStyle w:val="Heading2"/>
      </w:pPr>
      <w:r>
        <w:t xml:space="preserve">Amenazas</w:t>
      </w:r>
    </w:p>
    <w:p>
      <w:pPr>
        <w:spacing w:after="100"/>
      </w:pPr>
      <w:r>
        <w:t xml:space="preserve">La principal amenaza es el precio: cuando la licitación de Aramco y del agua se frene, Arabian Pipes (margen operativo del 7,8 %) y Saudi Steel Pipe (15,3 %) pujarán para llenar sus plantas y el margen de East Pipes (26,7 % operativo en FY2026) volverá hacia el de ellos (probabilidad media en 2-3 años) [1, 16]. Segunda, el propio accionista: Welspun Corp fabrica el mismo tubo en India y Estados Unidos y ya le vendió 112 M SAR en FY2026 [1, 18]. Tercera, la logística de la bobina, que no se controla [8].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spacing w:after="100"/>
      </w:pPr>
      <w:r>
        <w:t xml:space="preserve">Crecimiento anual compuesto FY2022-FY2026: ingresos </w:t>
      </w:r>
      <w:r>
        <w:rPr>
          <w:b/>
          <w:bCs/>
        </w:rPr>
        <w:t xml:space="preserve">40,0 %</w:t>
      </w:r>
      <w:r>
        <w:t xml:space="preserve">, EBITDA </w:t>
      </w:r>
      <w:r>
        <w:rPr>
          <w:b/>
          <w:bCs/>
        </w:rPr>
        <w:t xml:space="preserve">101,4 %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A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597 M SAR en FY2022 a 2.298 M en FY2026, todo orgánico y por volumen y precio de los grandes contratos de agua y gas [1, 4]. El margen EBITDA (sin intereses de la caja) subió del 6,5 % al 27,9 %, 2.140 puntos básicos: apalancamiento operativo sobre ≈ 160 M de costes fijos, mejor mezcla y precio por tonelada por encima del coste de la bobina [1]. El beneficio neto creció de −3,2 M a 573,3 M; en FY2026 ayudaron 15,8 M de intereses de los depósitos y menos gastos financieros [1]. El 1S FY2027 da la vuelta: ventas de 865,5 M (−9,5 %) y beneficio de 200,9 M (−19,3 %), con el 2T27 a 344,8 M (−39,6 %) y 78,0 M (−50,8 %) por la bobina retrasada y los fletes [7, 8]. Los doce meses a septiembre de 2026 suman 2.207 M de ventas y 525 M de beneficio [7, 9].</w:t>
      </w:r>
    </w:p>
    <w:p>
      <w:pPr>
        <w:pStyle w:val="Heading2"/>
      </w:pPr>
      <w:r>
        <w:t xml:space="preserve">Ajustes y partidas no recurrentes</w:t>
      </w:r>
    </w:p>
    <w:p>
      <w:pPr>
        <w:spacing w:after="100"/>
      </w:pPr>
      <w:r>
        <w:t xml:space="preserve">Usamos las cifras publicadas. Dos diferencias de definición: el EBITDA del informe excluye los intereses de los depósitos (15,8 M en FY2026, 4,3 M en FY2025), que la empresa incluye en su EBITDA (655,8 M); y el EBIT del LTM a septiembre de 2026 es una estimación propia (beneficio de explotación publicado de los doce meses, 557,5 M, más ≈ 0,3 M de otros ingresos), porque el balance y la cuenta completos del semestre aún no se han publicado [5, 7, 8]. No hay partidas no recurrentes relevantes: la reversión de pérdidas esperadas (0,8 M) y las notas de crédito de proveedores de FY2025 (5,1 M) son menores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la empresa celebra una reunión virtual con analistas tras los resultados semestrales (la del 30-oct-2025) sin acta publicada [12]. En la nota del 1S FY2027 la dirección atribuye la caída del 2T27 a «retrasos en la recepción de materia prima por la situación geopolítica» y dice que la demanda de agua y gas «sigue fuerte» y que los contratos de Aramco de septiembre dan visibilidad al 2S y más allá [7, 8]. En julio, el consejero delegado en funciones explicó en Al Arabiya que los barcos de bobina se desvían de Ormuz y Bab el-Mandeb a Yeda y Yanbu, con esperas de hasta cuatro semanas y fletes un 15-20 % más caros, y que los contratos permiten repercutir parte [14]. Lo que no contesta: cuánto falta de cartera, cuándo se normaliza el suministro y cuánto del sobrecoste se recupera.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(FY2024: el activo total crece un 51 % y los ingresos un 7 %).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es la variable del balance. Con los pedidos de Aramco de FY2024 los clientes subieron a 810 M y el flujo operativo fue de 10,7 M; en FY2025 se pagaron 354 M de anticipos a proveedores; en FY2026 todo se dio la vuelta y el flujo operativo fue de 973 M [1, 3]. Los días de cobro del FY2026 fueron 101 y el ciclo de caja de 145 días. En el 1S FY2027 se liberaron otros 267,6 M y la caja llegó a 995,2 M, el 53 % del activo [7]. Con menos pedidos, el circulante se libera; con más, absorbe caja: no proyectamos caja en balance más allá de la que generan los flujos.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1.041</w:t>
      </w:r>
      <w:r>
        <w:t xml:space="preserve">, conversión </w:t>
      </w:r>
      <w:r>
        <w:rPr>
          <w:b/>
          <w:bCs/>
        </w:rPr>
        <w:t xml:space="preserve">79 %</w:t>
      </w:r>
      <w:r>
        <w:t xml:space="preserve"> del beneficio neto; adquisiciones 0, dividendos 268, recompras 0.</w:t>
      </w:r>
    </w:p>
    <w:p>
      <w:pPr>
        <w:spacing w:after="100"/>
      </w:pPr>
      <w:r>
        <w:t xml:space="preserve">La conversión de beneficio en caja es muy irregular por el circulante: flujo operativo de −99,5 M en FY2022, 17,8 M en FY2023, 10,7 M en FY2024, 237,6 M en FY2025 y 973,1 M en FY2026 (161 % del beneficio) [1, 3, 4]. En cinco años, el flujo libre suma 1.041 M frente a 1.336 M de beneficio (79 %). El capex es pequeño: 3-8 M al año hasta FY2025 y 42,4 M en FY2026 (nueva línea de 100.000 t); estimación propia: mantenimiento ≈ 15-20 M (≈ 0,8 % de las ventas, por debajo de la amortización de 25 M) y el resto crecimiento (revestimiento exterior y manipulación por ≈ 33,6 M en FY2027) [1, 12].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Professional Services (FY2025 y FY2026); PricewaterhouseCoopers en FY2022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(FY2026, sin salvedades; asunto clave: pérdidas esperadas de clientes, el 32,3 % del activo). Revisión limitada del 1S FY2027 sin salvedades [1,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un solo negocio, sin fondo de comercio, sin I+D capitalizada, sin pagos en acciones y con ingresos reconocidos al entregar (tubo) o a lo largo del servicio (revestimiento) [1]. El auditor (EY) señala como asunto clave las pérdidas esperadas de clientes (32,3 % del activo) y da opinión favorable; la revisión del 1S FY2027 es sin salvedades [1, 8]. Indicadores del motor: Altman Z de 11,97 (sin riesgo de quiebra: caja neta), Piotroski F de 9 de 9 y Beneish M de −3,29 (lejos del umbral de manipulación). Lo que miraríamos: la reversión de la provisión de clientes (0,8 M) y los «bienes recibidos sin factura» de 102,9 M, que dependen del corte de las entregas [1]. Las compras de tubo a Welspun (112,2 M) son a precio de mercado según el consejo, que se abstuvo [18].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cobros en dos clientes públicos (96 %)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plazo, no de impago: la pérdida esperada es del 0,02 %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tubo al accionista de referencia (Welspun Corp)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173,2 M SAR (jul-2025) para acelerar un gasoducto; los consejeros de Welspun se abstuvieron [1, 18].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 delegado en funciones que es a la vez director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2025; una sola persona firma las cuentas como primer ejecutivo y responsable financiero [1, 12].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FY2026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162,9 % · </w:t>
      </w:r>
      <w:r>
        <w:rPr>
          <w:b/>
          <w:bCs/>
        </w:rPr>
        <w:t xml:space="preserve">WACC</w:t>
      </w:r>
      <w:r>
        <w:t xml:space="preserve">: 12,5 %.</w:t>
      </w:r>
    </w:p>
    <w:p>
      <w:pPr>
        <w:spacing w:after="100"/>
      </w:pPr>
      <w:r>
        <w:t xml:space="preserve">Crea valor en la parte alta del ciclo, no a lo largo de él. El ROIC del motor fue del 1,5 % en FY2022, 30,9 % en FY2024 y 52,8 % en FY2026 frente a un WACC del 12,49 %: el salto viene del margen (margen neto del −0,5 % al 25 %) y de la rotación (0,67 a 1,27 veces) sobre un capital invertido casi fijo de ≈ 900-1.170 M, que es sobre todo circulante. El ROIC incremental histórico es altísimo porque las ventas se cuadruplicaron con la misma fábrica. Frente a los competidores, el margen operativo de FY2026 (26,7 %) dobla al de Saudi Steel Pipe (15,3 %) y triplica al de Arabian Pipes (7,8 %) [16]. A mitad de ciclo (margen EBITDA del 20,5 %), estimación propia: ROIC ≈ 35-40 % con el circulante del 33 %, todavía muy por encima del WACC.</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995,2 M SAR a 30-sep-2026 y ninguna deuda bancaria (se amortizaron 104 M en FY2026) [5, 7]; los depósitos a menos de tres meses rentaron un 5,1 % de media en FY2026 [1]. El 5-nov-2026 se pagan 63 M de dividendo del 1S FY2027 (2 SAR por acción) [21].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bancaria desde FY2026 (se devolvieron 104 M) [5]. Garantías y cartas de crédito por 625 M SAR (768 M en FY2025), propias de las licitaciones públicas, y depósitos de garantía de 23,4 M [1]. Indemnizaciones por cese no fondeadas de 34,4 M (en el puente, como pensiones) [1]. Arrendamientos de 21,5 M (terreno de la ciudad industrial y equipos) [1]. Provisión de zakat e impuesto de 56,5 M [1]. Anticipos de clientes de 46,8 M, compensables con entregas (circulante) [1]. Dividendo de 63 M aprobado el 21-oct-2026 y pagadero el 5-nov (en el puente como ajuste) [21]. Ninguna contingencia legal declarada.</w:t>
      </w:r>
    </w:p>
    <w:p>
      <w:pPr>
        <w:pStyle w:val="Heading1"/>
      </w:pPr>
      <w:r>
        <w:t xml:space="preserve">12. Asignación de capital</w:t>
      </w:r>
    </w:p>
    <w:p>
      <w:pPr>
        <w:pStyle w:val="Confianza"/>
        <w:spacing w:after="100"/>
      </w:pPr>
      <w:r>
        <w:t xml:space="preserve">Confianza: Alta</w:t>
      </w:r>
    </w:p>
    <w:p>
      <w:pPr>
        <w:spacing w:after="100"/>
      </w:pPr>
      <w:r>
        <w:t xml:space="preserve">Dividendo semestral sin porcentaje fijo: el consejo lo decide según beneficio, caja, previsiones e inversiones [12]. Pagó 1 SAR por acción por FY2023, 1,5 por FY2024, 4 por FY2025 y 6 por FY2026 (2 + 4); el 21-oct-2026 aprobó 2 SAR del 1S FY2027 (63 M) [1, 3, 21]. Sin recompras. Prioridades declaradas: ejecutar la cartera, ampliar capacidad (nueva línea de 100.000 t, revestimiento exterior a 8,2 M m², manipulación por 33,6 M) y estudiar la exportación [12,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Asignación prudente y sin compras: el flujo libre de cinco años (1.041 M) se ha destinado a pagar toda la deuda (≈ 290 M en FY2024), 268 M de dividendos y a acumular caja [1]. La caja de 995 M (182 % del beneficio de los doce meses, el 18 % de la capitalización) rinde ≈ 5 % y es el punto débil: si no hay ampliaciones grandes, debería repartirse; la dirección no lo ha dicho. No hay dilución (31,5 M acciones desde 2022). La ampliación de capacidad de FY2026 (≈ 40 M para +100.000 t) es barata frente a lo que genera la planta.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Mohamed Saleh Ali Darweesh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en funciones y director financiero;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ago-2021 y consejero delegado en funciones desde 2025, tras la salida de Mohammed Al-Shaheen; antes, director financiero de Middle East Paper (2016-2021) y de Qassim Cement (2009-2016). Con él, deuda cero y caja de 995 M SAR [7,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Vipul Shiv Sahai Mathur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representa a Welspun Corp)</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desde la constitución del consejo cotizado; se abstuvo en la compra de tubo a Welspun Corp [12,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Mohammed Saleh AlShamrani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15-ene-2026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Sanjay Kant Shrivastava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planta de Dammam; puesta en marcha de la nueva línea de 100.000 t en marzo de 2026 [12,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Khalid Ali Babakri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de calidad, salud y seguridad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Homologaciones de Aramco y de la Agencia del Agua [12].</w:t>
            </w:r>
          </w:p>
        </w:tc>
      </w:tr>
    </w:tbl>
    <w:p>
      <w:pPr>
        <w:spacing w:after="160" w:before="0"/>
      </w:pPr>
    </w:p>
    <w:p>
      <w:pPr>
        <w:spacing w:after="100"/>
      </w:pPr>
      <w:r>
        <w:t xml:space="preserve">Equipo pequeño y técnico, con el primer ejecutivo en funciones: Mohammed Al-Shaheen dejó el cargo en 2025 y el director financiero, Mohamed Darweesh, lleva las dos funciones; un año después no hay nombramiento definitivo [1, 12]. Darweesh ha ejecutado bien el balance (deuda cero) [7]. La empresa no publica guía numérica, así que no hay historial de cumplimiento que medir [5]. Las operaciones las dirige un vicepresidente desde 2018 y Welspun, accionista de referencia, aporta experiencia industrial [12]. Plan de sucesión: no publicado; es la principal pregunta de gobierno.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Vipul Shiv Sahai Mathur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Yazeed Abdulrahman Nasser Altoaimi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Fahad Mohammed Saleh Al-Hammadi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Aziz Mohammed Mubarak Algahtani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Suhail Amin Nathani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Walid Abdullah Suliman Al-Zakri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Faris Abdulrahman Ibrahim Alfaris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Viswanathan Hariharan Kollengode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(FY2026, sin salvedades; asunto clave: pérdidas esperadas de clientes, el 32,3 % del activo). Revisión limitada del 1S FY2027 sin salvedades [1, 8]</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Welspun Corp (Welspun Pipes Inc 22,0 % + Welspun Mauritius Holdings 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(Welspun Corp, India)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Traspaso interno de 22 % a Welspun Pipes Inc el 23-mar-2026; total sin cambios [1,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Saleh Muhammad Hamad Al-Hammadi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 (familia Al-Hammadi, con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cinco directivos mejor pagados (incluidos consejero delegado y director financiero) cobraron 7,66 M SAR en FY2026: 5,82 M fijos y 1,71 M de variable a corto plazo, sin plan a largo plazo ni acciones [12]. El consejo cobró 3,71 M (2,74 M en FY2025) [1]. El variable no está ligado a rentabilidad del capital ni al TSR. Con un primer ejecutivo en funciones, no hay contrato de consejero delegado que analizar. No hemos podido leer los votos de la junta del 27-jul-2026 (47,6 % de asistencia) [19].</w:t>
      </w:r>
    </w:p>
    <w:p>
      <w:pPr>
        <w:pStyle w:val="Heading2"/>
      </w:pPr>
      <w:r>
        <w:t xml:space="preserve">Operaciones vinculadas, estructura de control y defensas</w:t>
      </w:r>
    </w:p>
    <w:p>
      <w:pPr>
        <w:spacing w:after="100"/>
      </w:pPr>
      <w:r>
        <w:t xml:space="preserve">Welspun Corp controla de hecho la empresa con el 26,5 % (22 % por Welspun Pipes Inc desde el traspaso interno del 23-mar-2026 y 4,5 % por Welspun Mauritius), el presidente y otro consejero [1, 20]. La familia Al-Hammadi tiene el 9,98 % y un consejero [1]. Cinco de los ocho consejeros son independientes y presiden auditoría y nombramientos [12]. Una acción, un voto. Operaciones vinculadas relevantes: compras de tubo a Welspun Corp (orden de 173,2 M SAR en julio de 2025; 112,2 M facturados en FY2026), aprobadas con la abstención de los consejeros de Welspun [1, 18]. Ningún blindaje estatutario.</w:t>
      </w:r>
    </w:p>
    <w:p>
      <w:pPr>
        <w:pStyle w:val="Heading2"/>
      </w:pPr>
      <w:r>
        <w:t xml:space="preserve">Señales de alerta</w:t>
      </w:r>
    </w:p>
    <w:p>
      <w:pPr>
        <w:pStyle w:val="ListParagraph"/>
        <w:numPr>
          <w:ilvl w:val="0"/>
          <w:numId w:val="2"/>
        </w:numPr>
        <w:spacing w:after="60"/>
      </w:pPr>
      <w:r>
        <w:t xml:space="preserve">Consejero delegado en funciones desde 2025, que además es director financiero [12].</w:t>
      </w:r>
    </w:p>
    <w:p>
      <w:pPr>
        <w:pStyle w:val="ListParagraph"/>
        <w:numPr>
          <w:ilvl w:val="0"/>
          <w:numId w:val="2"/>
        </w:numPr>
        <w:spacing w:after="60"/>
      </w:pPr>
      <w:r>
        <w:t xml:space="preserve">Compras de tubo al accionista de referencia (Welspun Corp) por 173,2 M SAR [18].</w:t>
      </w:r>
    </w:p>
    <w:p>
      <w:pPr>
        <w:pStyle w:val="ListParagraph"/>
        <w:numPr>
          <w:ilvl w:val="0"/>
          <w:numId w:val="2"/>
        </w:numPr>
        <w:spacing w:after="60"/>
      </w:pPr>
      <w:r>
        <w:t xml:space="preserve">Welspun fabrica el mismo producto: posible conflicto en la asignación de pedidos y en la exportación [14, 16].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publica guía numérica [5, 7]. En la nota del 1S FY2027 (21-oct-2026) dice que la demanda de agua y de petróleo y gas «sigue fuerte», que los contratos de Aramco firmados en septiembre (837 M SAR con IVA) dan visibilidad al 2S y más allá y que se centra en la entrega, la eficiencia y el coste [7]. La única cifra de plan es de capacidad: 500.000 t nominales (hasta 600.000 t) desde marzo de 2026 y revestimiento exterior de 8,2 M m² [12,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 analistas (previo al 2T27)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185,00 – 280,00</w:t>
            </w:r>
          </w:p>
        </w:tc>
      </w:tr>
    </w:tbl>
    <w:p>
      <w:pPr>
        <w:spacing w:after="160" w:before="0"/>
      </w:pPr>
    </w:p>
    <w:p>
      <w:pPr>
        <w:pStyle w:val="Heading2"/>
      </w:pPr>
      <w:r>
        <w:t xml:space="preserve">Revisiones de estimaciones</w:t>
      </w:r>
    </w:p>
    <w:p>
      <w:pPr>
        <w:spacing w:after="100"/>
      </w:pPr>
      <w:r>
        <w:t xml:space="preserve">Solo hay tres analistas (uno de ellos EFG-Hermes, con «comprar») y las estimaciones de MarketScreener son anteriores al 2T27: 2.324 M de ventas y 15,13 SAR de BPA en FY2027e, cuando el 1S ya va en 865,5 M y 6,38 SAR [8, 23]. Esperamos recortes: para cumplir FY2027e haría falta un 2S de 1.458 M de ventas, un 52 % más que el 2S FY2026 recortado por la bobina. No hay serie de revisiones a 3 y 12 meses gratuita.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subido un 33,2 % en un año y un 42,3 % anual en tres, frente a −12,5 % y +0,5 % del ETF de Arabia Saudí: el mercado ha pagado el salto del beneficio (de 99,9 M en FY2023 a 573,3 M) [1, 22]. Máximo de 231,10 SAR el 9-jul-2026 con el 1T27 en ciernes; desde entonces −25 %: −10 % el 22-jul tras el 1T27 (margen −70 pb y fletes), y −18,6 % en el último mes (de 214 a 173) antes del 2T27 [6, 22]. Beta mensual de 5 años de 1,32 y volatilidad del 39,6 %. Liquidez suficiente: ≈ 43 M SAR al día [22].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 / -13,2 % / -5,8 % / +31,4 %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-23,7 % / +36,6 %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2027-02-01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Traspaso interno del 22 % de Welspun (bloque de 7,3 M acciones el 24-mar), puesta en marcha de la nueva línea (15-mar) y cierre de un FY2026 récord [5, 13,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10 % el 22-jul, al día siguiente del 1T27: ventas +35 % pero margen EBITDA −70 pb y fletes de la bobina un 15-20 % más caros por la guerra [6,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214 SAR (20-sep, contrato de Aramco de 771 M) a 173 SAR: −8 % el 29-sep sin anuncio propio; el mercado se anticipó al 2T27 débil (ventas −39,6 %, beneficio −50,8 %, publicado el 21-oct tras el cierre) [8,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2T27: ventas de 344,8 M SAR (−39,6 %) y beneficio de 78,0 M (−50,8 %) por la bobina retrasada; 1S FY2027 −9,5 % y −19,3 %; caja de 995,2 M. Publicado a las 15:49 de Riad, después del cierre: el precio de hoy no lo recoge [7,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2 SAR por acción del 1S FY2027 (63 M), con derecho el 22-oct y pago el 5-nov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Aramco de más de 771 M SAR con IVA a seis meses (4T FY2027-1T FY2028); con otros dos, 837 M en septiembre [29,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ordinaria con el consejero delegado en funciones; sigue sin nombramiento definitivo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Welspun Mauritius traspasa el 22 % a Welspun Pipes Inc (filial de Welspun Corp): sin venta al mercado; el grupo mantiene el 26,5 % [1,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2025-09-26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 de compra de tubo a Welspun Corp (vinculada) por 173,2 M SAR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El precio cae un 18,6 % en un mes y un 23,7 % desde el máximo, por una causa que el análisis ya recoge: el 2T27 hundido por la bobina retrasada, que se publicó hoy después del cierre y que nuestro caso base incorpora (ventas de FY2027e −14,5 %). No hay colocaciones, ampliaciones ni ofertas pendientes; Welspun no vende (el traspaso de marzo fue interno). El precio del domingo 25-oct puede caer al conocerse el 2T27, pero eso no es un hecho pendiente ajeno al análisis. Veredicto: no cambia; la recomendación es Mantener por valoración, no por noticias.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Solo hay cinco cierres desde la salida a bolsa (feb-2022). En base adelantada el PER fue de 16,4x (FY2022, beneficio deprimido), 6,0x (FY2023), 10,5x (FY2024), 8,2x (FY2025) y 11,2x (FY2026): mediana de 10,55x. Hoy cotiza a 11,2x nuestro BPA de FY2028e, algo por encima de su mediana, en lo alto de un ciclo y con el beneficio a la baja: no hay descuento histórico que capturar. El mercado nunca le ha pagado múltiplos de empresa de calidad estable (Tenaris cotiza a 12x), porque el beneficio de un fabricante de tubo por proyecto es cíclico.</w:t>
      </w:r>
    </w:p>
    <w:p>
      <w:pPr>
        <w:pStyle w:val="Heading1"/>
      </w:pPr>
      <w:r>
        <w:t xml:space="preserve">18. Comparables cotizados</w:t>
      </w:r>
    </w:p>
    <w:p>
      <w:pPr>
        <w:pStyle w:val="Confianza"/>
        <w:spacing w:after="100"/>
      </w:pPr>
      <w:r>
        <w:t xml:space="preserve">Confianza: Media</w:t>
      </w:r>
    </w:p>
    <w:p>
      <w:pPr>
        <w:spacing w:after="100"/>
      </w:pPr>
      <w:r>
        <w:t xml:space="preserve">Fabricantes de tubo de acero cotizados: los tres saudíes que compiten por los mismos contratos (Saudi Steel Pipe, Arabian Pipes, Al Yamamah Steel), los dos grandes indios de tubo soldado que exportan al Golfo (Welspun Corp, que además es su accionista, y Jindal Saw), Tenaris (referencia mundial, tubo sin soldadura), Tubacex y el fabricante estadounidense de tubo de agua NWPX. Fuera ArcelorMittal y las acerías saudíes (Hadeed no cotiza; Al Ittefaq y Rajhi Steel, otro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 Pipes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Saudi Steel Pipe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Arabian Pipes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 Yamamah Steel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Welspun 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Jindal Saw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Tenaris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Tubacex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NWPX Infrastructure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11,3x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12,0x / 17,1x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 1,7x / 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East Pipes cotiza a 7,8x EV/EBITDA de los últimos doce meses y a un PER NTM de 10,0x (con el consenso anterior al 2T27), por debajo de la mediana de los comparables (PER 12,0x) pese a tener el mejor margen. El descuento se explica: el beneficio está en lo alto del ciclo y va a bajar, depende de dos clientes y de una planta, y cotiza en un mercado emergente con poca cobertura. El valor implícito por comparables (208,67 SAR) usa el BPA del consenso, que todavía no recoge el 2T27: lo ponderamos solo un 20 %. Welspun (22,9x) y NWPX (18,7x) estiran la media; los saudíes directos están a 9,4x (Arabian Pipes) y 15,4x (Saudi Steel Pipe).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−14,5 % (1.965 M SAR): el 1S ya está publicado (865,5 M) y el 2S ≈ 1.100 M supone un 3T aún afectado por la bobina (≈ 480 M) y un 4T con el arranque del contrato de Aramco de 771 M con IVA (≈ 620 M) [7, 29]. FY2028e: +12 % (2.200 M), con Aramco hasta el 1T FY2028 y el agua. Después, +3 %, 0 %, +1,5 % y +3 %: el ciclo de grandes conducciones se normaliza y la cuota baja del 23,8 % al 17,7 % del mercado de P&amp;S (que crece un 5,7 %) [15]. El consenso (anterior al 2T27) da 2.324 M y 2.702 M en FY2027e y FY2028e [23].</w:t>
      </w:r>
    </w:p>
    <w:p>
      <w:pPr>
        <w:keepNext/>
        <w:spacing w:after="100"/>
      </w:pPr>
      <w:r>
        <w:rPr>
          <w:b/>
          <w:bCs/>
        </w:rPr>
        <w:t xml:space="preserve">Márgenes.</w:t>
      </w:r>
    </w:p>
    <w:p>
      <w:pPr>
        <w:spacing w:after="100"/>
      </w:pPr>
      <w:r>
        <w:t xml:space="preserve">Margen EBITDA (sin intereses de la caja) del 25 % en FY2027e (≈ 25,5 % en el 1S con el 2T27 al ≈ 24,6 %), 24 % en FY2028e y bajada de un punto al año hasta el 20,5 % de FY2032e [7]. Es la media de mitad de ciclo: 26 % en FY2021, 6,5 % en FY2022, 11,2 % en FY2023, 22,9 % en FY2024, 25,2 % en FY2025 y 27,9 % en FY2026 [1, 3, 4]. Saudi Steel Pipe tiene el 25,6 % y Arabian Pipes el 15,4 % en los últimos doce meses [16]. El consenso supone el 26 % en FY2027e-FY2029e: es el supuesto que más nos separa [23].</w:t>
      </w:r>
    </w:p>
    <w:p>
      <w:pPr>
        <w:keepNext/>
        <w:spacing w:after="100"/>
      </w:pPr>
      <w:r>
        <w:rPr>
          <w:b/>
          <w:bCs/>
        </w:rPr>
        <w:t xml:space="preserve">Inversión y circulante.</w:t>
      </w:r>
    </w:p>
    <w:p>
      <w:pPr>
        <w:spacing w:after="100"/>
      </w:pPr>
      <w:r>
        <w:t xml:space="preserve">Capex del 2,5 % de las ventas en FY2027e y FY2028e (revestimiento exterior, manipulación por 33,6 M, nueva línea) y del 1,5-1,8 % después, por encima de la amortización del 1,2-1,3 % [1, 12]. Circulante comercial del 33 % de las ventas (34,4 % en FY2026, 52,7 % en FY2025 y 68 % en FY2024): los grandes pedidos públicos se cobran a 101 días [1]. Zakat e impuesto del 8 % (7,7 % en FY2026).</w:t>
      </w:r>
    </w:p>
    <w:p>
      <w:pPr>
        <w:keepNext/>
        <w:spacing w:after="100"/>
      </w:pPr>
      <w:r>
        <w:rPr>
          <w:b/>
          <w:bCs/>
        </w:rPr>
        <w:t xml:space="preserve">Coste del capital.</w:t>
      </w:r>
    </w:p>
    <w:p>
      <w:pPr>
        <w:spacing w:after="100"/>
      </w:pPr>
      <w:r>
        <w:t xml:space="preserve">Coste del capital propio del 12,49 % = tasa libre del 5,66 % (Treasury a 10 años del 5,15 % [26] más el diferencial soberano saudí del 0,51 % [27], porque el riyal está anclado al dólar) + beta de 1,10 × prima de mercado del 5,5 % + prima de país del 0,78 % [27]. La beta es la media razonable entre la mensual de 5 años frente al ETF KSA (1,32), la semanal de 2 años (1,18) y la semanal de 5 años (0,85) [22]. Sin deuda: WACC del 12,49 %. Con la prima implícita del mercado (4,2 %) [28], el WACC baja al 11,06 %.</w:t>
      </w:r>
    </w:p>
    <w:p>
      <w:pPr>
        <w:keepNext/>
        <w:spacing w:after="100"/>
      </w:pPr>
      <w:r>
        <w:rPr>
          <w:b/>
          <w:bCs/>
        </w:rPr>
        <w:t xml:space="preserve">Valor terminal.</w:t>
      </w:r>
    </w:p>
    <w:p>
      <w:pPr>
        <w:spacing w:after="100"/>
      </w:pPr>
      <w:r>
        <w:t xml:space="preserve">Gordon con crecimiento del 3,0 % en riyales (inflación de dólar ≈ 2,5 % y algo de crecimiento real del agua y el gas), por debajo de la tasa libre del 5,66 % menos medio punto. El valor terminal es el 52 % del valor y equivale a 8,7 veces el EBITDA, en línea con la mediana de EV/EBITDA de los saudíes cotizados (8,5-10,4x) [25]. El método del múltiplo (9x) da un valor terminal parecido (4.502 M frente a 4.371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(reinvierte el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 (histórico: 162,9 %)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 frente al 1,1 %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 (hoy: 23,8 %)</w:t>
            </w:r>
          </w:p>
        </w:tc>
      </w:tr>
    </w:tbl>
    <w:p>
      <w:pPr>
        <w:spacing w:after="160" w:before="0"/>
      </w:pPr>
    </w:p>
    <w:p>
      <w:pPr>
        <w:spacing w:after="100"/>
      </w:pPr>
      <w:r>
        <w:t xml:space="preserve">La proyección apenas necesita inversión neta de la amortización (reinversión acumulada de 100 M, el 3 % del NOPAT, con un capex bruto medio del 1,8 % de las ventas). En un negocio de activos ligeros, el crecimiento medio del 1,1 % tiene que salir de subir precios y de ganar volumen sin capital nuevo, y la prueba es el poder de precios y la cuota (17,7 % del mercado en FY2030e, frente al 23,8 %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−17 %: la producción del 2T27 cayó por la bobina retrasada y el 3T arranca aún con la logística por Yeda y Yanbu [8, 14]; precio +2,5 % (el precio medio por tonelada subió en el 1T27)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+11 %: contrato de Aramco de 771 M con IVA hasta el 1T FY2028 y reposición del 2T27 perdido [29]; precio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con la planta de 500.000 t; precio plano.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y precio −1 %: la licitación se normaliza y los competidores pujan por precio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+1,5 %, en línea con la mitad del mercado.</w:t>
            </w:r>
          </w:p>
        </w:tc>
      </w:tr>
    </w:tbl>
    <w:p>
      <w:pPr>
        <w:spacing w:after="160" w:before="0"/>
      </w:pPr>
    </w:p>
    <w:p>
      <w:pPr>
        <w:spacing w:after="100"/>
      </w:pPr>
      <w:r>
        <w:t xml:space="preserve">Sí: la proyección no pide nada que la empresa no haya demostrado. El crecimiento medio es del 1,1 % anual, con la cuota bajando del 23,8 % al 17,7 % del mercado saudí de tubo de acero en FY2030e, y la reinversión es mínima (3 % del NOPAT) porque la planta ya tiene 500.000 t de capacidad [13]. El margen proyectado (del 25 % al 20,5 %) está por debajo del de FY2025-FY2026 y del de Saudi Steel Pipe [16]. El foso es estrecho (homologación de Aramco y del agua, coste y escala), pero basta para una proyección que ya supone la normalización del ciclo. La duda no es la sostenibilidad del crecimiento, sino el nivel del margen.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(base: 1,1 %)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 (base: 20,5 %)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 (WACC: 12,5 %)</w:t>
            </w:r>
          </w:p>
        </w:tc>
      </w:tr>
    </w:tbl>
    <w:p>
      <w:pPr>
        <w:spacing w:after="160" w:before="0"/>
      </w:pPr>
    </w:p>
    <w:p>
      <w:pPr>
        <w:spacing w:after="100"/>
      </w:pPr>
      <w:r>
        <w:t xml:space="preserve">El DCF da 151,78 SAR por acción, un 12,4 % por debajo del precio, con un WACC del 12,49 % y el 52 % del valor en el terminal. El DCF inverso dice que el precio descuenta un crecimiento anual del 5,6 % en FY2027e-FY2033e y un margen del 23,8 %, frente a nuestro 1,1 % y 20,5 %: el mercado espera que el ciclo de grandes conducciones siga y que el margen se quede cerca del de FY2025. No es una exigencia absurda (el mercado de P&amp;S crece un 5,7 % y East Pipes ha crecido un 40 % anual en cuatro años), pero supone mantener la cuota con la planta llena y el margen en la parte alta, justo cuando el 2T27 muestra que el precio no cubre los costes extra. La rentabilidad implícita en el precio es del 11,0 %, por debajo del WACC (12,49 %) y casi igual a la que pide el mercado (11,06 %): con la prima implícita del mercado el DCF sube a 172,03 SAR, el precio. Conclusión: el precio es justo con supuestos de mitad de ciclo optimistas; no hay margen de seguridad.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acaba el ciclo de grandes contratos: la Agencia del Agua y Aramco aplazan licitaciones (como en FY2022), la logística sigue cara y los competidores pujan por precio. Ventas −18 % sobre FY2026 en FY2029e y margen EBITDA hacia el 14-17 %.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FY2027e recortado por la bobina (−14,5 %), recuperación en FY2028e con Aramco (+12 %) y normalización del margen del 25 % al 20,5 % de mitad de ciclo, con la planta de 500.000 t poco llena.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agua y el gas mantienen la licitación alta varios años, la exportación arranca y el margen se queda en el 26-28 %: ventas de 2.500-2.700 M en FY2029e.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SAR) · precio actual 173,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149,75 SAR (-13,6 %).</w:t>
      </w:r>
    </w:p>
    <w:p>
      <w:pPr>
        <w:spacing w:after="100"/>
      </w:pPr>
      <w:r>
        <w:t xml:space="preserve">Asimetría desfavorable: el alcista vale 198,31 SAR (+14,4 %) y el bajista 97,11 (−44,0 %), una relación de 0,33 veces. El ponderado (149,75) queda por debajo del precio. La regla a 12 meses lo confirma: con el PER mínimo de cinco años (6,0x) el bajista a 12 meses se va a 57,18 SAR. Para que compense, el precio tendría que bajar a la zona de compra (≤ 140,51 SAR) o el margen tendría que demostrarse sostenible por encima del 24 % en dos o tres trimestres sin la ayuda de un ciclo excepcional.</w:t>
      </w:r>
    </w:p>
    <w:p>
      <w:pPr>
        <w:pStyle w:val="Heading1"/>
      </w:pPr>
      <w:r>
        <w:t xml:space="preserve">22. Suma de partes</w:t>
      </w:r>
    </w:p>
    <w:p>
      <w:pPr>
        <w:pStyle w:val="Confianza"/>
        <w:spacing w:after="100"/>
      </w:pPr>
      <w:r>
        <w:t xml:space="preserve">Confianza: Media</w:t>
      </w:r>
    </w:p>
    <w:p>
      <w:pPr>
        <w:spacing w:after="100"/>
      </w:pPr>
      <w:r>
        <w:t xml:space="preserve">No aplica: el revestimiento (219 M SAR, el 9,5 % de las ventas de FY2026) se vende casi siempre con el tubo, a los mismos clientes y en la misma planta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SAR) · precio actual 173,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162,35 SAR (-6,3 % sobre 173,30).</w:t>
      </w:r>
    </w:p>
    <w:p>
      <w:pPr>
        <w:spacing w:after="100"/>
      </w:pPr>
      <w:r>
        <w:t xml:space="preserve">Pesos: DCF 40 %, escenarios 40 % y comparables 20 %. El DCF y los escenarios recogen lo esencial (ciclo y margen); los comparables pesan poco porque su valor implícito (208,67 SAR) se apoya en el BPA del consenso anterior al 2T27 y en una mediana inflada por Welspun y NWPX. Sin transacciones con múltiplo publicado ni suma de partes. Síntesis: 162,35 SAR (−6,3 %), entre el DCF (151,78) y los comparables. La dispersión es grande (de 97 a 233 SAR entre escenarios y regla a 12 meses), propia de un negocio cíclico de proyecto. Con la prima del mercado el objetivo es 178,40 SAR (+2,9 %): incluso en la lectura más benigna, la rentabilidad total no llega al 15 %.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(11.2x) a mitad de camino hacia abajo, hacia la mediana de 5 años (10.6x)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r>
    </w:tbl>
    <w:p>
      <w:pPr>
        <w:spacing w:after="160" w:before="0"/>
      </w:pPr>
    </w:p>
    <w:p>
      <w:pPr>
        <w:spacing w:after="100"/>
      </w:pPr>
      <w:r>
        <w:rPr>
          <w:b/>
          <w:bCs/>
        </w:rPr>
        <w:t xml:space="preserve">Objetivo a 12 meses (ponderado):</w:t>
      </w:r>
      <w:r>
        <w:t xml:space="preserve"> 155,59 SAR · rentabilidad -6,8 % (base -0,7 %) · señal Mantener.</w:t>
      </w:r>
    </w:p>
    <w:p>
      <w:pPr>
        <w:spacing w:after="100"/>
      </w:pPr>
      <w:r>
        <w:t xml:space="preserve">Para comparar, con la regla v2 (historia al cierre, mismo precio): 8,8x / 11,2x / 13,1x, 1,5 %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FY2028e (15,46 SAR) queda un 19 % por debajo del consenso (19,17) y el de FY2029e (15,24) un 30 % (21,86). Dos causas: el consenso es anterior al 2T27 (ventas −39,6 %, margen bruto del 24,6 %) y supone ventas de 2.702 M en FY2028e y un margen EBITDA del 26,4 %, el de la cima del ciclo; nosotros, 2.200 M y el 24 %, bajando al 20,5 % de mitad de ciclo [8, 23]. No acercamos la cifra: el margen de FY2026 es el máximo de la historia de la empresa (6,5 % en FY2022) y los contratos se licitan.</w:t>
      </w:r>
    </w:p>
    <w:p>
      <w:pPr>
        <w:keepNext/>
        <w:spacing w:after="100"/>
      </w:pPr>
      <w:r>
        <w:rPr>
          <w:b/>
          <w:bCs/>
        </w:rPr>
        <w:t xml:space="preserve">Del valor intrínseco al objetivo a 12 meses.</w:t>
      </w:r>
    </w:p>
    <w:p>
      <w:pPr>
        <w:spacing w:after="100"/>
      </w:pPr>
      <w:r>
        <w:t xml:space="preserve">El objetivo a 12 meses es de 155,59 SAR ponderado y 166,12 SAR en el base, frente a 173,30 SAR: rentabilidad con dividendo del -6,8 % ponderada y del -0,7 % en el base. El base aplica n.d. veces (a mitad de camino entre el PER actual de 11,2x y la mediana adelantada de 10,6x) a nuestro BPA de FY2029e (15,24), que queda por debajo del de FY2026 (18,20) porque el margen vuelve hacia la mitad del ciclo. El bajista pesa mucho (57,18 SAR): PER mínimo de su corta historia (6,0x, FY2023) sobre un beneficio de margen del 17 %. Es duro, pero es lo que pagó el mercado la última vez que dudó del ciclo. La v2 de control da +1,5 %: tampoco llega a comprar.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sesión con los resultados del 2T27 publicados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Reacción a ventas −39,6 % y beneficio −50,8 %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del dividendo del 1S FY2027 (2 SAR)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 3,5 % anual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del contrato de Aramco de 771 M SAR con IVA (4T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volumen; confirma si el 2S llega a ≈ 1.100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1-feb-2027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normalización del suministro y del margen bruto (umbral: 26 %)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dividendo del 2S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caída del año y el uso de la caja (995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un consejero delegado definitivo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principal duda de gobierno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licitaciones de agua (Agencia del Agua) y del gasoducto Este-Oeste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más allá del 1T FY2028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licitación de agua y gas (pocos grandes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(escenario bajista: 97,11 SAR)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marco de Aramco por séptimo año; Estrategia del Agua 2030; caja de 995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anunciados a Tadawul por debajo de ≈ 1.500 M SAR en doce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el precio por tonelada no cubre la bobina, los fletes y los seguros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2 puntos de margen EBITDA permanentes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contra pedido confirmado; cláusulas de repercusión parcial [1,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24 % (24,6 % en el 2T27)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Logística de la materia prima (Ormuz, Bab el-Mandeb, guerra)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trimestre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Desvío a Yeda y Yanbu; existencias de bobina de 216 M [1,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3T27 por debajo de 450 M SAR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dos clientes públicos (96 % de los cobros)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(circulante y plazos)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soberano; pérdida esperada del 0,02 %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cobro por encima de 120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primer ejecutivo en funciones y operaciones con Welspun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(descuento de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independientes; abstención de los consejeros de Welspun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órdenes vinculadas o un consejero delegado del grupo Welspun sin proceso abierto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Uso de la caja (995 M SAR, 18 % de la capitalización) en una ampliación o compra mal pagada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capex pequeño y dividendos crecientes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inversión de más de 300 M sin cartera que la respalde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por precio de Saudi Steel Pipe, Arabian Pipes e importación india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y escala superiores; contenido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Arabian Pipes o SSP subiendo mientras el de East Pipes baja</w:t>
            </w:r>
          </w:p>
        </w:tc>
      </w:tr>
    </w:tbl>
    <w:p>
      <w:pPr>
        <w:spacing w:after="160" w:before="0"/>
      </w:pPr>
    </w:p>
    <w:p>
      <w:pPr>
        <w:pStyle w:val="Heading2"/>
      </w:pPr>
      <w:r>
        <w:t xml:space="preserve">Pre-mortem</w:t>
      </w:r>
    </w:p>
    <w:p>
      <w:pPr>
        <w:spacing w:after="100"/>
      </w:pPr>
      <w:r>
        <w:t xml:space="preserve">Octubre de 2029: la acción ha perdido un 40 % y cotiza a ≈ 105 SAR. La historia más probable: el 2T27 no fue un bache logístico sino el primer aviso del fin del ciclo. Aramco cumplió los contratos de 2026, pero la siguiente ronda del gasoducto se aplazó con el petróleo a la baja, y la Agencia del Agua repartió los tramos de 2027-2028 entre más fabricantes para no depender de uno. Con la planta de 500.000 t a media carga y Arabian Pipes y Saudi Steel Pipe pujando para llenar las suyas, el precio por tonelada cayó y el margen EBITDA volvió al 14-16 % de los competidores. El beneficio pasó de 573 M a ≈ 280 M y el mercado aplicó el PER mínimo de su historia (6x) a un beneficio a la baja, aunque la caja amortiguó parte (≈ 30 SAR por acción). Lo que lo habría anticipado: los contratos anunciados a Tadawul por debajo de 1.500 M en doce meses, el margen bruto trimestral por debajo del 24 % dos trimestres seguidos y los días de cobro subiendo.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0 % a +2 %</w:t>
      </w:r>
    </w:p>
    <w:p>
      <w:pPr>
        <w:spacing w:after="100"/>
      </w:pPr>
      <w:r>
        <w:t xml:space="preserve">Riesgo de IA bajo. El producto es tubo de acero de gran diámetro para conducciones de agua y gas: ningún sistema de IA lo sustituye ni reduce su demanda, que depende de la obra pública y de Aramco [1]. La IA puede ayudar en el control de calidad (ensayos no destructivos por ultrasonidos y radiografía, que ya son automáticos) y en la planificación de la producción y de las compras de bobina, con un efecto pequeño sobre un coste de personal de ≈ 120 M SAR [1, 12]. Indirectamente, la demanda de centros de datos en el Golfo pide agua de refrigeración y energía, un empujón marginal. La señal que cambiaría el juicio: competidores que ganen licitaciones por coste gracias a fábricas muy automatizadas; hoy no la vemos.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con efecto en las cifras: la seguridad laboral en una planta de soldadura pesada (la empresa tiene una vicepresidencia de calidad, salud y seguridad) [12]; la huella de carbono del acero importado, que hoy no tiene coste en Arabia Saudí pero sí lo tendría en la exportación a Europa (CBAM) [12]; y el contenido local y el empleo saudí, que puntúan en las licitaciones de Aramco [12]. La empresa reduce el consumo de agua y energía en la planta según su informe del consejo, sin cifras auditadas [12].</w:t>
      </w:r>
    </w:p>
    <w:p>
      <w:pPr>
        <w:pStyle w:val="Heading2"/>
      </w:pPr>
      <w:r>
        <w:t xml:space="preserve">Controversias</w:t>
      </w:r>
    </w:p>
    <w:p>
      <w:pPr>
        <w:spacing w:after="100"/>
      </w:pPr>
      <w:r>
        <w:t xml:space="preserve">No encontramos sanciones, litigios ni incidentes en los tres últimos años en los anuncios a Tadawul ni en las cuentas (sin contingencias legales declaradas) [1, 12]. Las operaciones con Welspun son el único asunto de gobierno.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cartera de pedidos firmada a 30-sep-2026, cuánto se entrega en el 2S FY2027 y cuánto en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publica desde 2022 y es la variable que decide FY2028e; el consenso supone 2.702 M de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sobrecoste de fletes y seguros del 2T27 se recupera de los clientes y cuándo?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cayó al 24,6 %; cada 2 puntos de margen permanente valen ≈ 10 %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Suministro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ha normalizado la llegada de bobina en octubre? ¿Hay proveedores locales (Hadeed) que la sustituyan?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el 3T27 y si el bache es de un trimestre.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la empresa con 995 M SAR de caja: dividendo extraordinario, recompra o inversión?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18 % de la capitalización y rinde ≈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habrá consejero delegado definitivo y quién lo propone?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lleva las dos funciones desde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Welspun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reparten los pedidos y la exportación entre East Pipes y Welspun Corp?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vinculadas de 173,2 M SAR y posible conflicto en la exportación.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han evolucionado el precio por tonelada y el coste por tonelada en el 1S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Separa el efecto volumen del efecto margen en la caída del 2T27.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27 controles correctos y 7 explicados. Fuentes: 31 (21 primarias); citas distintas en el texto: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9,9 %: explica la causa (créditos fiscales, regularizaciones, mezcla de países) y no lo proyectes en el DCF. Explicación: Zakat (2,5 % de la base de los accionistas saudíes) más impuesto de sociedades del 20 % solo sobre la parte extranjera (Welspun, ≈ 26,5 %): 9,9 %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10,2 %: explica la causa (créditos fiscales, regularizaciones, mezcla de países) y no lo proyectes en el DCF. Explicación: Mismo régimen: zakat de 17,6 M e impuesto de 25,5 M sobre 425,3 M (10,2 %)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7,7 %: explica la causa (créditos fiscales, regularizaciones, mezcla de países) y no lo proyectes en el DCF. Explicación: Zakat de 25,5 M e impuesto de 22,1 M sobre 620,8 M (7,7 %); el DCF usa un 8 %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perímetro declarado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activo total crece un 51 % y los ingresos un 7 %: si hubo una compra cerca del cierre, decláralo en financieros.cambios_perimetro y explícalo. Explicación: No hubo compras: el activo sube por el circulante de los grandes pedidos de Aramco (clientes de 559 a 810 M y existencias de 65 a 256 M)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17,7 % en FY2030e frente al 23,8 %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34,4 % real: genera una variación de circulante de -142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-18,7 % frente al consenso: justifica la diferencia en el DCF. Explicación: El consenso (3 analistas) es anterior al 2T27 y supone el margen de la cima del ciclo; lo explica valoracion.objetivo_12m.diferencia_consenso y la justificación de márgenes del DCF [8, 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-25,9 % frente al consenso: justifica la diferencia en el DCF. Explicación: El consenso (3 analistas) es anterior al 2T27 y supone el margen de la cima del ciclo; lo explica valoracion.objetivo_12m.diferencia_consenso y la justificación de márgenes del DCF [8, 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(FY2029e)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-30,1 % frente al consenso: justifica la diferencia en el DCF. Explicación: El consenso (3 analistas) es anterior al 2T27 y supone el margen de la cima del ciclo; lo explica valoracion.objetivo_12m.diferencia_consenso y la justificación de márgenes del DCF [8, 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11, 17,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FY2024-FY2026 e informe del consejo FY2026: solo «substantial backlog», sin cifra (la última publicada, 648,7 M SAR a 31-mar-2022); 2) notas de resultados y presentaciones de 1T y 1S FY2027: sin cifra; 3) prensa (Enterprise, Argaam):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los contratos anunciados a Tadawul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3T26 y 4T26 y trimestres de 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Anuncios a Tadawul: solo ventas, bruto, explotación y neto; 2) notas de resultados: EBITDA solo semestral o del 1T; 3) derivar: el EBITDA de la empresa incluye intereses de la caja; no se deriva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sin transcripciones; 2) anuncio de la reunión virtual del 30-oct-2025: sin acta publicada; 3) prensa: entrevista del consejero delegado en funciones a Al Arabiya resumida por Enterprise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resume el anuncio y la entrevista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sin cuotas; 2) P&amp;S, IMARC: listas de empresas sin cuotas; 3) suma de ventas de los cotizados: mezcla de perímetros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e informe de sostenibilidad: sin calificaciones externas; 2) Sustainalytics y MSCI: sin ficha pública; 3) S&amp;P Global CSA: no aparece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FY2026: solo el total de los cinco directivos mejor pagados (7,66 M SAR); 2) cuentas, nota 20: 9,77 M para todo el personal clave; 3) actas de la junta: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total de los cinco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 la junta del 27-jul-2026: resultados en adjunto no accesible; 2) web de inversores: sin actas; 3) Argaam: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Tadawul de 12 meses: sin operaciones de consejeros; 2) informe del consejo: participaciones de consejeros &lt; 0,002 %; 3) sin registro consultable de operaciones de directivos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puede afirmar que no hubo operaciones)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FY2023-FY2027: sin guía numérica; 2) informes del consejo: solo objetivos cualitativos; 3) prensa: sin guía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empresa no publica guía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Fabricantes de tubo soldado vendidos en 2019-2026 (Saudi Steel Pipe, Arabian Pipes, Welspun Middle East): sin múltiplos publicados; 2) Argaam y Mubasher: solo ampliaciones y traspasos internos; 3) operaciones internacionales (Tenaris-Benteler, ArcelorMittal-tubos): sin EV/EBITDA publicado y perímetro distinto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roic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sin EBITDA adelantado; 2) MarketScreener: solo de algunas; 3) cuentas de cada una: fuera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EV/EBITDA de doce meses y PER adelantado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Tadawul: sin registro público de cortos por valor; 2) Stock Analysis: sin dato; 3) préstamo de valores en Tadawul: sin estadística por valor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a 3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la foto actual; 2) Yahoo: tendencia de un analista; 3) Argaam: sin previsiones del 2T27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que el consenso es anterior al 2T27</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1321.SR): 404; Hawamer e Investing (comentarios): 403; 2) TradingView ideas: 14 análisis técnicos sin fecha visible y sin debate de fondo; 3) Reddit y Seeking Alpha: la empresa no tiene debate en inglés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solo ROE; 2) cuentas de Arabian Pipes y Saudi Steel Pipe: fuera del tiempo del análisis; 3) Stock Analysis: sin ROIC homogéneo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comparan márgenes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statements and independent auditor's report for the year ended 31 March 2026 (EY; cuenta, balance, flujos y notas: ingresos por tipo, costes, otros ingresos, zakat, existencias, clientes, anticipos, vinculadas, accionistas, dividendos, garantías)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 Pipes Integrated Company for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https://www.eastpipes.com/wp-content/uploads/2026/06/2763_0_2026-05-21_17-43-42_En.pdf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statements for the year ended 31 March 2025 (EY; concentración de clientes)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 Pipes Integrated Company for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https://www.eastpipes.com/wp-content/uploads/2025/07/East-pipe-English-signed-FS-2025-F.pdf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statements for the year ended 31 March 2024 (cuenta, balance y flujos de FY2024 y FY2023; ingresos por tipo;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Integrated Company for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https://www.eastpipes.com/wp-content/uploads/2024/07/2763_0_2024-06-02_13-54-25_En.pdf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statements for the year ended 31 March 2022 (PwC; estados de FY2022 y FY2021 escaneados; cartera de 648,7 M SAR a 31-mar-2022)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Integrated Company for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https://www.eastpipes.com/wp-content/uploads/2022/06/East-Pipes-FS-FY-2021-22-En-2.pdf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FY26 (ending 31 Mar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Integrated Company for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https://www.saudiexchange.sa/Resources/fsPdf/12939_2763_2026-05-13_15-49-48_en.pdf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1Q-FY27 (ending 30 Jun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Integrated Company for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https://www.saudiexchange.sa/Resources/fsPdf/12939_2763_2026-07-21_16-09-49_en.pdf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H1-FY27 (ending 30 Sep 2026): ventas −9,5 %, EBITDA 241,2 M, beneficio 200,9 M, caja 995,2 M, sin deuda bancaria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Integrated Company for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https://www.saudiexchange.sa/Resources/fsPdf/12637_2763_2026-10-21_15-49-42_en.pdf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Announces its Interim Financial results for the Period Ending on 2026-09-30 (Six Months): 2T27 ventas 344,8 M (−39,6 %), beneficio 78,0 M (−50,8 %), causa: retrasos en la materia prima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https://www.eastpipes.com/announcements/east-pipes-integrated-company-for-industry-announces-its-interim-financial-results-for-the-period-ending-on-2026-09-30-six-months/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Announces its Interim Financial results for the Period Ending on 2025-12-31 (Nine Months)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https://www.eastpipes.com/announcements/east-pipes-integrated-company-for-industry-announces-its-interim-financial-results-for-the-period-ending-on-2025-12-31-nine-months/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financial statements, three and six months ended 30 September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Integrated Company for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https://www.eastpipes.com/wp-content/uploads/2025/11/2763_0_2024-11-07_13-44-11_En.pdf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financial statements, three months ended 30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Integrated Company for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https://www.eastpipes.com/wp-content/uploads/2025/11/2763_0_2025-07-30_14-27-31_En.pdf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Board of Directors Report 2025-2026 (capacidad, contratos, Green Riyadh, riesgos de la bobina laminada en caliente, consejo, remuneraciones,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Integrated Company for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https://www.eastpipes.com/wp-content/uploads/2026/07/EPIC-Annual-BoD-Report-25-26-EN.pdf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completion of new HSAW production line (capacidad nominal de 400.000 a 500.000 t; hasta 600.000 t según la mezcla)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Integrated Company for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https://www.saudiexchange.sa/Resources/fsPdf/13598_2763_2026-03-14_21-28-07_en.pdf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Volumes and prices lift East Pipes as shipping disruptions raise costs (desvío de la materia prima de Ormuz y Bab el-Mandeb a Yeda y Yanbu; fletes +15-20 %)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Enterprise AM (KSA)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https://enterpriseam.com/ksa/2026/07/26/volumes-and-prices-lift-east-pipes-as-shipping-disruptions-raise-costs/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Arabia Steel Pipes Market: USD 2.446,1 M en 2024, 2.574,3 M en 2025 y 3.413,1 M en 2030 (TCAC 5,7 %)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P&amp;S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https://psmarketresearch.com/market-analysis/saudi-arabia-steel-pipes-market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Arabian Pipes Co. (2200.SR), Saudi Steel Pipe (1320.SR), Al Yamamah Steel (1304.SR), Welspun Corp (WELCORP.NS), Jindal Saw (JINDALSAW.NS), Tenaris (TS): ventas, márgenes y valoración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https://finance.yahoo.com/quote/2200.SR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(FY2023-24)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Integrated Company for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https://www.eastpipes.com/wp-content/uploads/2024/07/East-Pipes-Annual-Report-2024-En-v15.pdf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Issues Purchase Order to Welspun Corp Limited (Related Party) por 173,2 M 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https://www.eastpipes.com/announcements/east-pipes-integrated-company-for-industry-issues-purchase-order-to-welspun-corp-limited-related-party/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Announces the Results of the Ordinary General Assembly Meeting FY 2025-2026 (27-jul-2026; asistencia del 47,6 %)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https://www.eastpipes.com/announcements/east-pipes-integrated-company-for-industry-announces-the-results-of-the-ordinary-general-assembly-meeting-fy-2025-2026-first-meeting/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from a shareholder owning more than 5 % about the transfer of ownership (Welspun Mauritius → Welspun Pipes Inc, 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https://www.eastpipes.com/announcements/east-pipes-integrated-company-for-industry-announces-that-it-has-received-a-letter-from-one-of-its-shareholders-who-owns-more-than-5-of-the-companys-shares-informing-about-the-transfer-of-ownershi/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decision to distribute cash dividends for first half of FY 2026-2027 (2 SAR por acción; derecho el 22-oct, pago el 5-nov-2026)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https://www.eastpipes.com/announcements/east-pipes-integrated-company-for-industry-announces-the-board-of-directors-decision-to-distribute-cash-dividends-for-for-first-half-period-of-fy-2026-2027/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1321.SR, KSA y SLX (precio, rango, volumen, rentabilidades,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https://finance.yahoo.com/quote/1321.SR/history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Integrated Company for Industry: estimaciones anuales (3 analistas; FY2027-FY2029), objetivo medio 228,67 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https://www.marketscreener.com/quote/stock/EAST-PIPES-INTEGRATED-COM-132327898/finances/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TADAWUL:1321 forecast: 3 analistas, objetivo medio 228,67 SAR, máximo 280 y mínimo 185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https://www.tradingview.com/symbols/TADAWUL-1321/forecast-price-target/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quoteSummary de 2200.SR, 1320.SR, 1304.SR, WELCORP.NS, JINDALSAW.NS, TS, TUB.MC y NWPX; tipos de cambio USD/SAR, EUR/SAR y USD/INR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https://finance.yahoo.com/quote/1320.SR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5,15 %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(Arabia Saudí: Aa3, diferencial soberano 0,51 %, prima de país 0,78 %)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en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 Sign Off with Saudi Arabian Oil Co. (Aramco): &gt; 771 M SAR con IVA, seis meses, efecto del 4T FY2027 al 1T FY2028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https://www.eastpipes.com/announcements/east-pipes-integrated-company-for-industry-announces-contract-sign-off-with-saudi-arabian-oil-co-aramco-3/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 Sign Off with Saudi Arabian Oil Co. (Aramco): ≈ 20 M SAR con IVA, cuatro meses, efecto en el 4T FY2027 (y nota de resultados del 1S FY2027: tres contratos de Aramco por 837 M SAR en septiembre)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Pipes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https://www.eastpipes.com/announcements/east-pipes-integrated-company-for-industry-announces-contract-sign-off-with-saudi-arabian-oil-co-aramco-2/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Access the Saudi Exchange with your IBKR account (acceso de clientes minoristas extranjeros vía SNB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https://interactivebrokers.ie/en/trading/saudi-exchange.php</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77,9 %</w:t>
      </w:r>
      <w:r>
        <w:t xml:space="preserve"> · Secciones con menos del 60 % de campos cubiertos: </w:t>
      </w:r>
      <w:r>
        <w:rPr>
          <w:b/>
          <w:bCs/>
        </w:rPr>
        <w:t xml:space="preserve">capital, directivos, gobierno, transacciones, sentimiento</w:t>
      </w:r>
      <w:r>
        <w:t xml:space="preserve"> · Generado el 21 oct 2026.</w:t>
      </w:r>
    </w:p>
    <w:p>
      <w:pPr>
        <w:pStyle w:val="Nota"/>
        <w:spacing w:after="100"/>
      </w:pPr>
      <w:r>
        <w:t xml:space="preserve">Ejercicio cerrado a 31 de MARZO, con etiqueta del año en que termina (FY2026 = abr-2025 a mar-2026); los trimestres llevan etiqueta fiscal (1T27 = abr-jun 2026). Sin XBRL: cuentas auditadas de FY2026 y FY2025 (EY), FY2024 (con FY2023 comparativo) y FY2022 (PwC; estados escaneados, leídos como imagen); FY2025 con la reclasificación del anticipo de impuestos que hace la cuenta de FY2026. El 1S FY2027 (a 30-sep-2026) sale de la nota de resultados y del anuncio a Tadawul del 21-oct-2026, publicados después del cierre de la sesión: el balance completo y los flujos del semestre aún no se han publicado (arrendamientos e indemnizaciones del puente, de marzo de 2026). EBITDA y EBIT del informe SIN los intereses de los depósitos (van al resultado financiero); el EBITDA que publica la empresa sí los incluye (655,8 M en FY2026 frente a 640,0 M aquí). Precio: cierre del 21-oct-2026 (173,30 SAR; Tadawul cierra a las 12:00 UTC); no recoge aún los resultados del 2T27. Índice: el TASI no tiene serie en Yahoo; beta y rentabilidades frente al ETF KSA y el sector frente al ETF SLX. Comparables en SAR a los tipos de cambio del 21-oct (USD 3,751; EUR 4,2116; INR 0,0397). Sin foros con debate útil: la sección de sentimiento no se imprime.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East Pipes Integrated Company for Industry (1321.SR)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173,30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(126,20 – 231,10)</c:v>
                </c:pt>
                <c:pt idx="1">
                  <c:v>Precio objetivo de los analistas (185,00 – 280,00)</c:v>
                </c:pt>
                <c:pt idx="2">
                  <c:v>Comparables: PER NTM (199,11 – 296,49)</c:v>
                </c:pt>
                <c:pt idx="3">
                  <c:v>DCF (WACC y g ± 0,5) (142,93 – 162,65)</c:v>
                </c:pt>
                <c:pt idx="4">
                  <c:v>Escenarios (bajista – alcista) (97,11 – 198,31)</c:v>
                </c:pt>
                <c:pt idx="5">
                  <c:v>DCF con la prima implícita del mercado (4,2 %)</c:v>
                </c:pt>
                <c:pt idx="6">
                  <c:v>Precio actual (173,30)</c:v>
                </c:pt>
              </c:strCache>
            </c:strRef>
          </c:cat>
          <c:val>
            <c:numRef>
              <c:f>Hoja1!$B$2:$B$8</c:f>
              <c:numCache>
                <c:formatCode>#,##0</c:formatCode>
                <c:ptCount val="7"/>
                <c:pt idx="0">
                  <c:v>126.2</c:v>
                </c:pt>
                <c:pt idx="1">
                  <c:v>185</c:v>
                </c:pt>
                <c:pt idx="2">
                  <c:v>199.11</c:v>
                </c:pt>
                <c:pt idx="3">
                  <c:v>142.93</c:v>
                </c:pt>
                <c:pt idx="4">
                  <c:v>97.11</c:v>
                </c:pt>
                <c:pt idx="5">
                  <c:v>164.18</c:v>
                </c:pt>
                <c:pt idx="6">
                  <c:v>172.43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(126,20 – 231,10)</c:v>
                </c:pt>
                <c:pt idx="1">
                  <c:v>Precio objetivo de los analistas (185,00 – 280,00)</c:v>
                </c:pt>
                <c:pt idx="2">
                  <c:v>Comparables: PER NTM (199,11 – 296,49)</c:v>
                </c:pt>
                <c:pt idx="3">
                  <c:v>DCF (WACC y g ± 0,5) (142,93 – 162,65)</c:v>
                </c:pt>
                <c:pt idx="4">
                  <c:v>Escenarios (bajista – alcista) (97,11 – 198,31)</c:v>
                </c:pt>
                <c:pt idx="5">
                  <c:v>DCF con la prima implícita del mercado (4,2 %)</c:v>
                </c:pt>
                <c:pt idx="6">
                  <c:v>Precio actual (173,30)</c:v>
                </c:pt>
              </c:strCache>
            </c:strRef>
          </c:cat>
          <c:val>
            <c:numRef>
              <c:f>Hoja1!$C$2:$C$8</c:f>
              <c:numCache>
                <c:formatCode>#,##0</c:formatCode>
                <c:ptCount val="7"/>
                <c:pt idx="0">
                  <c:v>104.89999999999999</c:v>
                </c:pt>
                <c:pt idx="1">
                  <c:v>95</c:v>
                </c:pt>
                <c:pt idx="2">
                  <c:v>97.38</c:v>
                </c:pt>
                <c:pt idx="3">
                  <c:v>19.72</c:v>
                </c:pt>
                <c:pt idx="4">
                  <c:v>101.2</c:v>
                </c:pt>
                <c:pt idx="5">
                  <c:v>16.75</c:v>
                </c:pt>
                <c:pt idx="6">
                  <c:v>1.7399999999999807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(SAR, millones)</a:t>
            </a:r>
          </a:p>
        </c:rich>
      </c:tx>
      <c:overlay val="0"/>
    </c:title>
    <c:autoTitleDeleted val="0"/>
    <c:plotArea>
      <c:layout/>
      <c:barChart>
        <c:barDir val="col"/>
        <c:grouping val="stacked"/>
        <c:varyColors val="0"/>
        <c:ser>
          <c:idx val="0"/>
          <c:order val="0"/>
          <c:tx>
            <c:strRef>
              <c:f>Hoja1!$B$1</c:f>
              <c:strCache>
                <c:ptCount val="1"/>
                <c:pt idx="0">
                  <c:v>Venta de tubos</c:v>
                </c:pt>
              </c:strCache>
            </c:strRef>
          </c:tx>
          <c:spPr>
            <a:solidFill>
              <a:srgbClr val="2A78D6"/>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Hoja1!$B$2:$B$5</c:f>
              <c:numCache>
                <c:formatCode>#,##0</c:formatCode>
                <c:ptCount val="4"/>
                <c:pt idx="0">
                  <c:v>1284.5</c:v>
                </c:pt>
                <c:pt idx="1">
                  <c:v>1447.3</c:v>
                </c:pt>
                <c:pt idx="2">
                  <c:v>1673.6</c:v>
                </c:pt>
                <c:pt idx="3">
                  <c:v>2078.8</c:v>
                </c:pt>
              </c:numCache>
            </c:numRef>
          </c:val>
        </c:ser>
        <c:ser>
          <c:idx val="1"/>
          <c:order val="1"/>
          <c:tx>
            <c:strRef>
              <c:f>Hoja1!$C$1</c:f>
              <c:strCache>
                <c:ptCount val="1"/>
                <c:pt idx="0">
                  <c:v>Servicios de revestimiento</c:v>
                </c:pt>
              </c:strCache>
            </c:strRef>
          </c:tx>
          <c:spPr>
            <a:solidFill>
              <a:srgbClr val="EB6834"/>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Hoja1!$C$2:$C$5</c:f>
              <c:numCache>
                <c:formatCode>#,##0</c:formatCode>
                <c:ptCount val="4"/>
                <c:pt idx="0">
                  <c:v>154.1</c:v>
                </c:pt>
                <c:pt idx="1">
                  <c:v>95.9</c:v>
                </c:pt>
                <c:pt idx="2">
                  <c:v>159.2</c:v>
                </c:pt>
                <c:pt idx="3">
                  <c:v>219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Venta de tubos</c:v>
                </c:pt>
                <c:pt idx="1">
                  <c:v>Servicios de revestimiento</c:v>
                </c:pt>
              </c:strCache>
            </c:strRef>
          </c:cat>
          <c:val>
            <c:numRef>
              <c:f>Hoja1!$B$2:$B$3</c:f>
              <c:numCache>
                <c:formatCode>General</c:formatCode>
                <c:ptCount val="2"/>
                <c:pt idx="0">
                  <c:v>90.5</c:v>
                </c:pt>
                <c:pt idx="1">
                  <c:v>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Arabia Saudí</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SAR)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2024</c:v>
                </c:pt>
                <c:pt idx="1">
                  <c:v>2025</c:v>
                </c:pt>
                <c:pt idx="2">
                  <c:v>2030e</c:v>
                </c:pt>
              </c:strCache>
            </c:strRef>
          </c:cat>
          <c:val>
            <c:numRef>
              <c:f>Hoja1!$B$2:$B$4</c:f>
              <c:numCache>
                <c:formatCode>#,##0</c:formatCode>
                <c:ptCount val="3"/>
                <c:pt idx="0">
                  <c:v>9175</c:v>
                </c:pt>
                <c:pt idx="1">
                  <c:v>9656</c:v>
                </c:pt>
                <c:pt idx="2">
                  <c:v>12803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5</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East Pipes</c:v>
                </c:pt>
                <c:pt idx="1">
                  <c:v>Saudi Steel Pipe (SSP)</c:v>
                </c:pt>
                <c:pt idx="2">
                  <c:v>Arabian Pipes</c:v>
                </c:pt>
                <c:pt idx="3">
                  <c:v>Al Yamamah Steel</c:v>
                </c:pt>
                <c:pt idx="4">
                  <c:v>Welspun Corp</c:v>
                </c:pt>
                <c:pt idx="5">
                  <c:v>Jindal Saw</c:v>
                </c:pt>
                <c:pt idx="6">
                  <c:v>Tenaris</c:v>
                </c:pt>
              </c:strCache>
            </c:strRef>
          </c:cat>
          <c:val>
            <c:numRef>
              <c:f>Hoja1!$B$2:$B$8</c:f>
              <c:numCache>
                <c:formatCode>0.0"%"</c:formatCode>
                <c:ptCount val="7"/>
                <c:pt idx="0">
                  <c:v>26.8</c:v>
                </c:pt>
                <c:pt idx="1">
                  <c:v>15.3</c:v>
                </c:pt>
                <c:pt idx="2">
                  <c:v>7.8</c:v>
                </c:pt>
                <c:pt idx="3">
                  <c:v>16.7</c:v>
                </c:pt>
                <c:pt idx="4">
                  <c:v>13.9</c:v>
                </c:pt>
                <c:pt idx="5">
                  <c:v>2.1</c:v>
                </c:pt>
                <c:pt idx="6">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(SAR,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strCache>
            </c:strRef>
          </c:cat>
          <c:val>
            <c:numRef>
              <c:f>Hoja1!$B$2:$B$13</c:f>
              <c:numCache>
                <c:formatCode>#,##0</c:formatCode>
                <c:ptCount val="12"/>
                <c:pt idx="0">
                  <c:v>597.5</c:v>
                </c:pt>
                <c:pt idx="1">
                  <c:v>1438.6</c:v>
                </c:pt>
                <c:pt idx="2">
                  <c:v>1543.2</c:v>
                </c:pt>
                <c:pt idx="3">
                  <c:v>1832.8</c:v>
                </c:pt>
                <c:pt idx="4">
                  <c:v>2297.7</c:v>
                </c:pt>
                <c:pt idx="5">
                  <c:v>1965</c:v>
                </c:pt>
                <c:pt idx="6">
                  <c:v>2200</c:v>
                </c:pt>
                <c:pt idx="7">
                  <c:v>2266</c:v>
                </c:pt>
                <c:pt idx="8">
                  <c:v>2266</c:v>
                </c:pt>
                <c:pt idx="9">
                  <c:v>2300</c:v>
                </c:pt>
                <c:pt idx="10">
                  <c:v>2369</c:v>
                </c:pt>
                <c:pt idx="11">
                  <c:v>2440</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strCache>
            </c:strRef>
          </c:cat>
          <c:val>
            <c:numRef>
              <c:f>Hoja1!$C$2:$C$13</c:f>
              <c:numCache>
                <c:formatCode>#,##0</c:formatCode>
                <c:ptCount val="12"/>
                <c:pt idx="0">
                  <c:v>38.9</c:v>
                </c:pt>
                <c:pt idx="1">
                  <c:v>160.8</c:v>
                </c:pt>
                <c:pt idx="2">
                  <c:v>352.7</c:v>
                </c:pt>
                <c:pt idx="3">
                  <c:v>461.9</c:v>
                </c:pt>
                <c:pt idx="4">
                  <c:v>640</c:v>
                </c:pt>
                <c:pt idx="5">
                  <c:v>491</c:v>
                </c:pt>
                <c:pt idx="6">
                  <c:v>528</c:v>
                </c:pt>
                <c:pt idx="7">
                  <c:v>521</c:v>
                </c:pt>
                <c:pt idx="8">
                  <c:v>499</c:v>
                </c:pt>
                <c:pt idx="9">
                  <c:v>483</c:v>
                </c:pt>
                <c:pt idx="10">
                  <c:v>486</c:v>
                </c:pt>
                <c:pt idx="11">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5.8</c:v>
                </c:pt>
                <c:pt idx="1">
                  <c:v>10.8</c:v>
                </c:pt>
                <c:pt idx="2">
                  <c:v>22.7</c:v>
                </c:pt>
                <c:pt idx="3">
                  <c:v>25.1</c:v>
                </c:pt>
                <c:pt idx="4">
                  <c:v>28.1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6.5</c:v>
                </c:pt>
                <c:pt idx="1">
                  <c:v>11.2</c:v>
                </c:pt>
                <c:pt idx="2">
                  <c:v>22.9</c:v>
                </c:pt>
                <c:pt idx="3">
                  <c:v>25.2</c:v>
                </c:pt>
                <c:pt idx="4">
                  <c:v>27.9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2.5</c:v>
                </c:pt>
                <c:pt idx="1">
                  <c:v>9.4</c:v>
                </c:pt>
                <c:pt idx="2">
                  <c:v>21.1</c:v>
                </c:pt>
                <c:pt idx="3">
                  <c:v>23.8</c:v>
                </c:pt>
                <c:pt idx="4">
                  <c:v>26.8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-0.5</c:v>
                </c:pt>
                <c:pt idx="1">
                  <c:v>6.9</c:v>
                </c:pt>
                <c:pt idx="2">
                  <c:v>17.3</c:v>
                </c:pt>
                <c:pt idx="3">
                  <c:v>20.8</c:v>
                </c:pt>
                <c:pt idx="4">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3T25</c:v>
                </c:pt>
                <c:pt idx="1">
                  <c:v>4T25</c:v>
                </c:pt>
                <c:pt idx="2">
                  <c:v>1T26</c:v>
                </c:pt>
                <c:pt idx="3">
                  <c:v>2T26</c:v>
                </c:pt>
                <c:pt idx="4">
                  <c:v>3T26</c:v>
                </c:pt>
                <c:pt idx="5">
                  <c:v>4T26</c:v>
                </c:pt>
                <c:pt idx="6">
                  <c:v>1T27</c:v>
                </c:pt>
                <c:pt idx="7">
                  <c:v>2T27</c:v>
                </c:pt>
              </c:strCache>
            </c:strRef>
          </c:cat>
          <c:val>
            <c:numRef>
              <c:f>Hoja1!$B$2:$B$9</c:f>
              <c:numCache>
                <c:formatCode>0.0"%"</c:formatCode>
                <c:ptCount val="8"/>
                <c:pt idx="2">
                  <c:v>5.7</c:v>
                </c:pt>
                <c:pt idx="3">
                  <c:v>5.7</c:v>
                </c:pt>
                <c:pt idx="4">
                  <c:v>21.4</c:v>
                </c:pt>
                <c:pt idx="5">
                  <c:v>75</c:v>
                </c:pt>
                <c:pt idx="6">
                  <c:v>35.2</c:v>
                </c:pt>
                <c:pt idx="7">
                  <c:v>-39.6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229</c:v>
                </c:pt>
                <c:pt idx="1">
                  <c:v>142</c:v>
                </c:pt>
                <c:pt idx="2">
                  <c:v>192</c:v>
                </c:pt>
                <c:pt idx="3">
                  <c:v>121</c:v>
                </c:pt>
                <c:pt idx="4">
                  <c:v>101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26</c:v>
                </c:pt>
                <c:pt idx="1">
                  <c:v>18</c:v>
                </c:pt>
                <c:pt idx="2">
                  <c:v>78</c:v>
                </c:pt>
                <c:pt idx="3">
                  <c:v>104</c:v>
                </c:pt>
                <c:pt idx="4">
                  <c:v>58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20</c:v>
                </c:pt>
                <c:pt idx="1">
                  <c:v>8</c:v>
                </c:pt>
                <c:pt idx="2">
                  <c:v>5</c:v>
                </c:pt>
                <c:pt idx="3">
                  <c:v>8</c:v>
                </c:pt>
                <c:pt idx="4">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(SAR,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-108.6</c:v>
                </c:pt>
                <c:pt idx="1">
                  <c:v>7.6000000000000005</c:v>
                </c:pt>
                <c:pt idx="2">
                  <c:v>-0.6000000000000005</c:v>
                </c:pt>
                <c:pt idx="3">
                  <c:v>222</c:v>
                </c:pt>
                <c:pt idx="4">
                  <c:v>921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-3.2</c:v>
                </c:pt>
                <c:pt idx="1">
                  <c:v>99.9</c:v>
                </c:pt>
                <c:pt idx="2">
                  <c:v>267.5</c:v>
                </c:pt>
                <c:pt idx="3">
                  <c:v>382.1</c:v>
                </c:pt>
                <c:pt idx="4">
                  <c:v>573.3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1.5</c:v>
                </c:pt>
                <c:pt idx="1">
                  <c:v>15.6</c:v>
                </c:pt>
                <c:pt idx="2">
                  <c:v>30.9</c:v>
                </c:pt>
                <c:pt idx="3">
                  <c:v>33.6</c:v>
                </c:pt>
                <c:pt idx="4">
                  <c:v>52.8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12.5</c:v>
                </c:pt>
                <c:pt idx="1">
                  <c:v>12.5</c:v>
                </c:pt>
                <c:pt idx="2">
                  <c:v>12.5</c:v>
                </c:pt>
                <c:pt idx="3">
                  <c:v>12.5</c:v>
                </c:pt>
                <c:pt idx="4">
                  <c:v>12.5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-0.6</c:v>
                </c:pt>
                <c:pt idx="1">
                  <c:v>17.7</c:v>
                </c:pt>
                <c:pt idx="2">
                  <c:v>36.5</c:v>
                </c:pt>
                <c:pt idx="3">
                  <c:v>38.5</c:v>
                </c:pt>
                <c:pt idx="4">
                  <c:v>42.5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5.63</c:v>
                </c:pt>
                <c:pt idx="1">
                  <c:v>1.27</c:v>
                </c:pt>
                <c:pt idx="2">
                  <c:v>0.65</c:v>
                </c:pt>
                <c:pt idx="3">
                  <c:v>0.25</c:v>
                </c:pt>
                <c:pt idx="4">
                  <c:v>-1.03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(SAR,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0</c:v>
                </c:pt>
                <c:pt idx="1">
                  <c:v>0</c:v>
                </c:pt>
                <c:pt idx="2">
                  <c:v>31.5</c:v>
                </c:pt>
                <c:pt idx="3">
                  <c:v>94.5</c:v>
                </c:pt>
                <c:pt idx="4">
                  <c:v>141.8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Independiente</c:v>
                </c:pt>
              </c:strCache>
            </c:strRef>
          </c:cat>
          <c:val>
            <c:numRef>
              <c:f>Hoja1!$B$2:$B$3</c:f>
              <c:numCache>
                <c:formatCode>0</c:formatCode>
                <c:ptCount val="2"/>
                <c:pt idx="0">
                  <c:v>3</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Grupo Welspun Corp (Welspun Pipes Inc 22,0 % + Welspun Mauritius Holdings 4,5 %)</c:v>
                </c:pt>
                <c:pt idx="1">
                  <c:v>Saleh Muhammad Hamad Al-Hammadi</c:v>
                </c:pt>
                <c:pt idx="2">
                  <c:v>Capital flotante</c:v>
                </c:pt>
              </c:strCache>
            </c:strRef>
          </c:cat>
          <c:val>
            <c:numRef>
              <c:f>Hoja1!$B$2:$B$4</c:f>
              <c:numCache>
                <c:formatCode>0.0"%"</c:formatCode>
                <c:ptCount val="3"/>
                <c:pt idx="0">
                  <c:v>26.5</c:v>
                </c:pt>
                <c:pt idx="1">
                  <c:v>9.98</c:v>
                </c:pt>
                <c:pt idx="2">
                  <c:v>63.52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121.8</c:v>
                </c:pt>
                <c:pt idx="1">
                  <c:v>74.1</c:v>
                </c:pt>
                <c:pt idx="2">
                  <c:v>3.2</c:v>
                </c:pt>
              </c:numCache>
            </c:numRef>
          </c:val>
        </c:ser>
        <c:ser>
          <c:idx val="1"/>
          <c:order val="1"/>
          <c:tx>
            <c:strRef>
              <c:f>Hoja1!$C$1</c:f>
              <c:strCache>
                <c:ptCount val="1"/>
                <c:pt idx="0">
                  <c:v>Índice</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15</c:v>
                </c:pt>
                <c:pt idx="1">
                  <c:v>-0.2</c:v>
                </c:pt>
                <c:pt idx="2">
                  <c:v>-8.2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47.7</c:v>
                </c:pt>
                <c:pt idx="1">
                  <c:v>11.3</c:v>
                </c:pt>
                <c:pt idx="2">
                  <c:v>12.1</c:v>
                </c:pt>
                <c:pt idx="3">
                  <c:v>10.5</c:v>
                </c:pt>
                <c:pt idx="4">
                  <c:v>6.8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10.9</c:v>
                </c:pt>
                <c:pt idx="1">
                  <c:v>10.9</c:v>
                </c:pt>
                <c:pt idx="2">
                  <c:v>10.9</c:v>
                </c:pt>
                <c:pt idx="3">
                  <c:v>10.9</c:v>
                </c:pt>
                <c:pt idx="4">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East Pipes</c:v>
                </c:pt>
                <c:pt idx="1">
                  <c:v>Saudi Steel Pipe</c:v>
                </c:pt>
                <c:pt idx="2">
                  <c:v>Arabian Pipes</c:v>
                </c:pt>
                <c:pt idx="3">
                  <c:v>Al Yamamah Steel</c:v>
                </c:pt>
                <c:pt idx="4">
                  <c:v>Welspun Corp</c:v>
                </c:pt>
                <c:pt idx="5">
                  <c:v>Jindal Saw</c:v>
                </c:pt>
                <c:pt idx="6">
                  <c:v>Tenaris</c:v>
                </c:pt>
                <c:pt idx="7">
                  <c:v>Tubacex</c:v>
                </c:pt>
                <c:pt idx="8">
                  <c:v>NWPX Infrastructure</c:v>
                </c:pt>
              </c:strCache>
            </c:strRef>
          </c:cat>
          <c:val>
            <c:numRef>
              <c:f>Hoja1!$B$2:$B$10</c:f>
              <c:numCache>
                <c:formatCode>0.0"x"</c:formatCode>
                <c:ptCount val="9"/>
                <c:pt idx="0">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(SAR,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546</c:v>
                </c:pt>
                <c:pt idx="1">
                  <c:v>355</c:v>
                </c:pt>
                <c:pt idx="2">
                  <c:v>419</c:v>
                </c:pt>
                <c:pt idx="3">
                  <c:v>425</c:v>
                </c:pt>
                <c:pt idx="4">
                  <c:v>401</c:v>
                </c:pt>
                <c:pt idx="5">
                  <c:v>391</c:v>
                </c:pt>
                <c:pt idx="6">
                  <c:v>403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(SAR,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1857</c:v>
                </c:pt>
                <c:pt idx="1">
                  <c:v>2048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(SAR) · precio actual 173,30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97.11</c:v>
                </c:pt>
                <c:pt idx="1">
                  <c:v>151.78</c:v>
                </c:pt>
                <c:pt idx="2">
                  <c:v>198.31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173,30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(126,20 – 231,10)</c:v>
                </c:pt>
                <c:pt idx="1">
                  <c:v>Precio objetivo de los analistas (185,00 – 280,00)</c:v>
                </c:pt>
                <c:pt idx="2">
                  <c:v>Comparables: PER NTM (199,11 – 296,49)</c:v>
                </c:pt>
                <c:pt idx="3">
                  <c:v>DCF (WACC y g ± 0,5) (142,93 – 162,65)</c:v>
                </c:pt>
                <c:pt idx="4">
                  <c:v>Escenarios (bajista – alcista) (97,11 – 198,31)</c:v>
                </c:pt>
                <c:pt idx="5">
                  <c:v>DCF con la prima implícita del mercado (4,2 %)</c:v>
                </c:pt>
                <c:pt idx="6">
                  <c:v>Precio actual (173,30)</c:v>
                </c:pt>
              </c:strCache>
            </c:strRef>
          </c:cat>
          <c:val>
            <c:numRef>
              <c:f>Hoja1!$B$2:$B$8</c:f>
              <c:numCache>
                <c:formatCode>#,##0</c:formatCode>
                <c:ptCount val="7"/>
                <c:pt idx="0">
                  <c:v>126.2</c:v>
                </c:pt>
                <c:pt idx="1">
                  <c:v>185</c:v>
                </c:pt>
                <c:pt idx="2">
                  <c:v>199.11</c:v>
                </c:pt>
                <c:pt idx="3">
                  <c:v>142.93</c:v>
                </c:pt>
                <c:pt idx="4">
                  <c:v>97.11</c:v>
                </c:pt>
                <c:pt idx="5">
                  <c:v>164.18</c:v>
                </c:pt>
                <c:pt idx="6">
                  <c:v>172.43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(126,20 – 231,10)</c:v>
                </c:pt>
                <c:pt idx="1">
                  <c:v>Precio objetivo de los analistas (185,00 – 280,00)</c:v>
                </c:pt>
                <c:pt idx="2">
                  <c:v>Comparables: PER NTM (199,11 – 296,49)</c:v>
                </c:pt>
                <c:pt idx="3">
                  <c:v>DCF (WACC y g ± 0,5) (142,93 – 162,65)</c:v>
                </c:pt>
                <c:pt idx="4">
                  <c:v>Escenarios (bajista – alcista) (97,11 – 198,31)</c:v>
                </c:pt>
                <c:pt idx="5">
                  <c:v>DCF con la prima implícita del mercado (4,2 %)</c:v>
                </c:pt>
                <c:pt idx="6">
                  <c:v>Precio actual (173,30)</c:v>
                </c:pt>
              </c:strCache>
            </c:strRef>
          </c:cat>
          <c:val>
            <c:numRef>
              <c:f>Hoja1!$C$2:$C$8</c:f>
              <c:numCache>
                <c:formatCode>#,##0</c:formatCode>
                <c:ptCount val="7"/>
                <c:pt idx="0">
                  <c:v>104.89999999999999</c:v>
                </c:pt>
                <c:pt idx="1">
                  <c:v>95</c:v>
                </c:pt>
                <c:pt idx="2">
                  <c:v>97.38</c:v>
                </c:pt>
                <c:pt idx="3">
                  <c:v>19.72</c:v>
                </c:pt>
                <c:pt idx="4">
                  <c:v>101.2</c:v>
                </c:pt>
                <c:pt idx="5">
                  <c:v>16.75</c:v>
                </c:pt>
                <c:pt idx="6">
                  <c:v>1.7399999999999807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