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FANUC CORPORATION</w:t>
      </w:r>
    </w:p>
    <w:p>
      <w:pPr>
        <w:spacing w:after="60"/>
        <w:rPr>
          <w:color w:val="52514E"/>
          <w:sz w:val="22"/>
          <w:szCs w:val="22"/>
        </w:rPr>
      </w:pPr>
      <w:r>
        <w:rPr>
          <w:color w:val="52514E"/>
          <w:sz w:val="22"/>
          <w:szCs w:val="22"/>
        </w:rPr>
        <w:t xml:space="preserve">6954 · Tokyo Stock Exchange (Prime) · ISIN JP3802400006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5.639,00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6.126,75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+10,9 % (base +11,7 %)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4.085,99 JPY · mercado 4.300,26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5.215.590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FANUC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6954 / JP3802400006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Tokyo Stock Exchange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 (ETF 1305.T para la rentabilidad total); también Nikkei 225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(GICS: Industrial Machinery &amp; Supplies &amp; Components)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Oshino-mura, Minamitsuru-gun, Yamanashi (Japón)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https://www.fanuc.co.jp/eindex.html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5.639,00 (26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4.761,00 – 8.880,00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5.215.590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4.000.821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35.500 M JPY/día (5,8 M de acciones; 3 meses) [78]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6.126,75 JPY</w:t>
      </w:r>
      <w:r>
        <w:t xml:space="preserve"> frente a 5.639,00 · Rentabilidad a 12 meses </w:t>
      </w:r>
      <w:r>
        <w:rPr>
          <w:b/>
          <w:bCs/>
        </w:rPr>
        <w:t xml:space="preserve">+10,9 % (base +11,7 %)</w:t>
      </w:r>
      <w:r>
        <w:t xml:space="preserve"> · Valor intrínseco 4.085,99 JPY · con la prima implícita del mercado: 4.300,26 (-23,7 %) · Alcista / bajista -25,5 % / -52,1 %</w:t>
      </w:r>
    </w:p>
    <w:p>
      <w:pPr>
        <w:spacing w:after="100"/>
      </w:pPr>
      <w:r>
        <w:rPr>
          <w:b/>
        </w:rPr>
        <w:t xml:space="preserve">La recomendación y por qué.</w:t>
      </w:r>
      <w:r>
        <w:t xml:space="preserve"> Mantener, con convicción media. A 5.639 JPY, el objetivo a 12 meses ponderado es de 6.126,75 JPY: una rentabilidad del 10,9 % con el dividendo del 2,3 % (11,7 % en el caso base), por debajo del 15 % que pide la regla para comprar y lejos del −10 % de vender. El valor intrínseco, 4.085,99 JPY (−27,5 %), sigue por debajo del precio: el precio descuenta una rentabilidad anual del 5,2 %, frente a un WACC del 9,06 %. Las dos cifras no se contradicen: a un año manda el múltiplo, hoy por debajo de su historia; a largo plazo, la tasa y la inversión. Convicción media: las dos reglas coinciden en Mantener y la ponderada está a cuatro puntos del umbral de compra; subiría la convicción un book-to-bill por encima de 1,1 en el 3T sin márgenes a la baja, y la bajaría una caída de pedidos que convierta el bajista en el caso central.</w:t>
      </w:r>
    </w:p>
    <w:p>
      <w:pPr>
        <w:spacing w:after="100"/>
      </w:pPr>
      <w:r>
        <w:rPr>
          <w:b/>
        </w:rPr>
        <w:t xml:space="preserve">Qué ha cambiado desde el 7-oct.</w:t>
      </w:r>
      <w:r>
        <w:t xml:space="preserve"> Los resultados del 23-oct contestaron al temor de agosto: margen operativo del 26,0 % en el 2T, pedidos récord (+49 %), guía subida por segunda vez y otra recompra de hasta 50.000 M [26, 27]. Y la acción cayó de 6.220 a 5.639 JPY con el sector de IA [121]. Más beneficio y menos precio: el PER sobre nuestro BPA de FY2027e baja de 27,7x a 22,8x, y la rentabilidad a 12 meses pasa del 5,7 % (16-oct) al 10,9 %. La recomendación sigue en Mantener.</w:t>
      </w:r>
    </w:p>
    <w:p>
      <w:pPr>
        <w:spacing w:after="100"/>
      </w:pPr>
      <w:r>
        <w:rPr>
          <w:b/>
        </w:rPr>
        <w:t xml:space="preserve">El negocio.</w:t>
      </w:r>
      <w:r>
        <w:t xml:space="preserve"> Líder en controles CNC y robots, con servicio de por vida sobre su base instalada [23], Fanuc tiene el mayor margen del sector: 24,6 % operativo en el 1S FY26, frente al 8,7-14,9 % de Yaskawa, ABB Robotics o Siemens [26, 43, 45, 46]. Pero el ROIC (12,1 %) supera el WACC (9,06 %) solo en tres puntos y el incremental de la década es del 3,9 %. </w:t>
      </w:r>
      <w:r>
        <w:rPr>
          <w:b/>
        </w:rPr>
        <w:t xml:space="preserve">La calidad sostiene el crecimiento solo en parte</w:t>
      </w:r>
      <w:r>
        <w:t xml:space="preserve">: el foso protege el margen, no la inversión; con el capex histórico (9 % de las ventas), la reinversión financia un 3,6 % anual frente al 4,5 % proyectado.</w:t>
      </w:r>
    </w:p>
    <w:p>
      <w:pPr>
        <w:spacing w:after="100"/>
      </w:pPr>
      <w:r>
        <w:rPr>
          <w:b/>
        </w:rPr>
        <w:t xml:space="preserve">Sector y ciclo.</w:t>
      </w:r>
      <w:r>
        <w:t xml:space="preserve"> Tramo alto del ciclo: pedidos de máquina herramienta japonesa en récord en septiembre (+60,4 %) y de FA de Fanuc +130 % en el 2T, en parte adelantados por los plazos, según la dirección [21, 27, 56]. China (26,6 % de las ventas) es el punto débil: robots −14,3 % en el 2T [27, 36].</w:t>
      </w:r>
    </w:p>
    <w:p>
      <w:pPr>
        <w:spacing w:after="100"/>
      </w:pPr>
      <w:r>
        <w:rPr>
          <w:b/>
        </w:rPr>
        <w:t xml:space="preserve">Finanzas y gobierno.</w:t>
      </w:r>
      <w:r>
        <w:t xml:space="preserve"> Sin deuda, caja de 787.085 M y flujo libre de 251.203 M en doce meses [26]; las participadas chinas al 50 % (38.783 M de resultado, fuera del EBIT) se valoran a 10x. Consejo con un 60 % de independientes y sin accionista de control; resta una retribución variable sin objetivo de rentabilidad [59, 60].</w:t>
      </w:r>
    </w:p>
    <w:p>
      <w:pPr>
        <w:spacing w:after="100"/>
      </w:pPr>
      <w:r>
        <w:rPr>
          <w:b/>
        </w:rPr>
        <w:t xml:space="preserve">Valoración.</w:t>
      </w:r>
      <w:r>
        <w:t xml:space="preserve"> DCF de 3.305,85 JPY (2.938,60 el 13-oct: guía nueva, más caja y bono más bajo); comparables, 5.395,32 JPY por EV/EBITDA y 4.634,99 JPY por PER NTM. Fanuc cotiza a 24,5x PER NTM, con prima del 22 % sobre el sector, pero en el percentil 10-20 de su propia historia. El DCF inverso no encuentra un crecimiento que justifique el precio y pide un margen EBITDA del 48,2 %.</w:t>
      </w:r>
    </w:p>
    <w:p>
      <w:pPr>
        <w:spacing w:after="100"/>
      </w:pPr>
      <w:r>
        <w:rPr>
          <w:b/>
        </w:rPr>
        <w:t xml:space="preserve">Riesgos y catalizadores.</w:t>
      </w:r>
      <w:r>
        <w:t xml:space="preserve"> Que los pedidos récord sean adelantos (bajista de 2.700,80 JPY por DCF y 3.176,63 JPY a 12 meses) o, en contra de la prudencia, que la IA física alargue el ciclo (alcista a 12 meses de 8.986,09 JPY). Catalizadores: la recompra desde el 26-oct, la JIMTOF [124] y los resultados del 3T hacia el 26-ene-2027 [86].</w:t>
      </w:r>
    </w:p>
    <w:p>
      <w:pPr>
        <w:spacing w:after="100"/>
      </w:pPr>
      <w:r>
        <w:rPr>
          <w:b/>
        </w:rPr>
        <w:t xml:space="preserve">Qué cambiaría la decisión.</w:t>
      </w:r>
      <w:r>
        <w:t xml:space="preserve"> Compraríamos por debajo de 4.085,99 JPY, donde coinciden el valor intrínseco y la regla a 12 meses; por encima de 6.950,06 JPY la regla dice vender o reducir. Revisaríamos al alza si el book-to-bill sigue por encima de 1,1 dos trimestres más sin que se normalicen los plazos, y a la baja si cae de 1,0.</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6.126,75 JPY</w:t>
      </w:r>
      <w:r>
        <w:t xml:space="preserve"> (rentabilidad +10,9 % (base +11,7 %)) · Valor intrínseco: 4.085,99 JPY (-27,5 % sobre 5.639,00) · con la prima implícita del mercado: 4.300,26 (-23,7 %)</w:t>
      </w:r>
    </w:p>
    <w:p>
      <w:pPr>
        <w:spacing w:after="100"/>
      </w:pPr>
      <w:r>
        <w:t xml:space="preserve">Fanuc es el líder mundial en controles CNC y uno de los cuatro grandes en robots industriales, sin deuda y con 787.085 M JPY de caja. Gana más que cualquier competidor gracias a una base instalada atada por costes de cambio y servicio de por vida [23, 26, 43, 46]. Está en el tramo alto del ciclo: pedidos +43 % en el 1S FY26, margen operativo del 26,0 % en el 2T y guía subida dos veces [26, 27].</w:t>
      </w:r>
    </w:p>
    <w:p>
      <w:pPr>
        <w:spacing w:after="100"/>
      </w:pPr>
      <w:r>
        <w:t xml:space="preserve">El precio de 5.639 JPY ya no es el de mayo (8.880 JPY), pero sigue descontando más de lo que vale el negocio a largo plazo. Con previsiones por encima del consenso previo, el DCF inverso dice que el precio equivale a una rentabilidad anual del 5,2 %, frente al 9,06 % que exigimos, o a un margen EBITDA del 48,2 %.</w:t>
      </w:r>
    </w:p>
    <w:p>
      <w:pPr>
        <w:spacing w:after="100"/>
      </w:pPr>
      <w:r>
        <w:t xml:space="preserve">A 12 meses la cuenta es otra: el PER sobre nuestro BPA de FY2027e (22,8x) está por debajo de su mediana adelantada de cinco años (26,6x), y la regla espera que recorra la mitad del camino. Eso da un 10,9 % ponderado, insuficiente para comprar con un bajista que pierde un 41 % si los pedidos eran adelantos. Mantener.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6.126,75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 × 161,25 = 3.176,63 · 24,6x × 250,90 = 6.172,14 · 31,6x × 284,37 = 8.986,09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 / 11,7 %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7.256,70 (nuestro base -14,9 %)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4.085,99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 / -52,1 %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 frente a 9,1 %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4.300,26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(4,5 % anual proyectado; financiable al ROIC actual: 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4.085,99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4.085,99 y 6.950,06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6.950,06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4.085,99 JPY, pasaríamos a Comprar; por encima de 6.950,06 JPY, a Vender o reducir.</w:t>
      </w:r>
    </w:p>
    <w:p>
      <w:pPr>
        <w:pStyle w:val="ListParagraph"/>
        <w:numPr>
          <w:ilvl w:val="0"/>
          <w:numId w:val="2"/>
        </w:numPr>
        <w:spacing w:after="60"/>
      </w:pPr>
      <w:r>
        <w:t xml:space="preserve">Si el consenso de BPA de FY2027e supera 280 JPY (hoy 237,9 JPY, sin actualizar) con un book-to-bill ≥ 1,1, revisaríamos el base al alza [79].</w:t>
      </w:r>
    </w:p>
    <w:p>
      <w:pPr>
        <w:pStyle w:val="ListParagraph"/>
        <w:numPr>
          <w:ilvl w:val="0"/>
          <w:numId w:val="2"/>
        </w:numPr>
        <w:spacing w:after="60"/>
      </w:pPr>
      <w:r>
        <w:t xml:space="preserve">Si el book-to-bill del 3T baja de 1,0, pasaríamos el bajista a caso central [27].</w:t>
      </w:r>
    </w:p>
    <w:p>
      <w:pPr>
        <w:pStyle w:val="ListParagraph"/>
        <w:numPr>
          <w:ilvl w:val="0"/>
          <w:numId w:val="2"/>
        </w:numPr>
        <w:spacing w:after="60"/>
      </w:pPr>
      <w:r>
        <w:t xml:space="preserve">Si el bono japonés a 10 años baja del 2,0 % (hoy 2,837 %), el WACC caería en torno a un punto y revisaríamos el valor [88].</w:t>
      </w:r>
    </w:p>
    <w:p>
      <w:pPr>
        <w:pStyle w:val="ListParagraph"/>
        <w:numPr>
          <w:ilvl w:val="0"/>
          <w:numId w:val="2"/>
        </w:numPr>
        <w:spacing w:after="60"/>
      </w:pPr>
      <w:r>
        <w:t xml:space="preserve">Si Fanuc publica márgenes por división que muestren un margen de ROBOT por encima del 25 %, revisaríamos el margen a largo plazo.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física y los humanoides abren un ciclo largo de robots y máquina herramienta y que Fanuc, con su base instalada y sus alianzas con NVIDIA, Google, Hitachi y Fujitsu, lo captura [53, 54, 58]. El objetivo medio de 19 analistas es de 7.256,7 JPY (8 comprar, 10 mantener, 1 vender), aunque los objetivos bajan desde agosto [80, 84, 85].</w:t>
      </w:r>
    </w:p>
    <w:p>
      <w:pPr>
        <w:keepNext/>
        <w:spacing w:after="100"/>
      </w:pPr>
      <w:r>
        <w:rPr>
          <w:b/>
          <w:bCs/>
        </w:rPr>
        <w:t xml:space="preserve">Lo que creemos nosotros.</w:t>
      </w:r>
    </w:p>
    <w:p>
      <w:pPr>
        <w:spacing w:after="100"/>
      </w:pPr>
      <w:r>
        <w:t xml:space="preserve">Compartimos las cifras del próximo año (nuestro BPA de FY2027e, 247,53 JPY, supera el consenso previo de 237,9) pero no la tasa ni la inversión: una rentabilidad implícita del 5,2 % no paga el riesgo de una cíclica con caídas de ventas del 12-20 % cada tres o cuatro años, y crecer le exige un capex como el de su historia (9 % de las ventas). A 12 meses, el múltiplo puede recuperarse; a largo plazo, el valor está en 3.305,85 JPY por DCF y en 4.635-5.395 JPY por comparables.</w:t>
      </w:r>
    </w:p>
    <w:p>
      <w:pPr>
        <w:keepNext/>
        <w:spacing w:after="100"/>
      </w:pPr>
      <w:r>
        <w:rPr>
          <w:b/>
          <w:bCs/>
        </w:rPr>
        <w:t xml:space="preserve">Por qué podemos tener razón.</w:t>
      </w:r>
    </w:p>
    <w:p>
      <w:pPr>
        <w:spacing w:after="100"/>
      </w:pPr>
      <w:r>
        <w:t xml:space="preserve">Porque el bono a 10 años en el 2,837 % es nuevo y el múltiplo histórico de Fanuc es el de la época del tipo cero [88, 125]. Porque la dirección admite pedidos adelantados por plazos y clientes perdidos en China [21]. Y porque el último pico de pedidos (FY2017) acabó en una caída de ventas del 20 % dos años después [7, 9].</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5.63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5.015,16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pStyle w:val="Heading2"/>
      </w:pPr>
      <w:r>
        <w:t xml:space="preserve">A favor</w:t>
      </w:r>
    </w:p>
    <w:p>
      <w:pPr>
        <w:pStyle w:val="ListParagraph"/>
        <w:numPr>
          <w:ilvl w:val="0"/>
          <w:numId w:val="2"/>
        </w:numPr>
        <w:spacing w:after="60"/>
      </w:pPr>
      <w:r>
        <w:rPr>
          <w:b/>
        </w:rPr>
        <w:t xml:space="preserve">Margen líder del sector</w:t>
      </w:r>
      <w:r>
        <w:t xml:space="preserve">: 26,0 % de margen operativo en el 2T FY26 y 21,4 % en FY2025, frente al 8,7 % de Yaskawa [26, 43].</w:t>
      </w:r>
    </w:p>
    <w:p>
      <w:pPr>
        <w:pStyle w:val="ListParagraph"/>
        <w:numPr>
          <w:ilvl w:val="0"/>
          <w:numId w:val="2"/>
        </w:numPr>
        <w:spacing w:after="60"/>
      </w:pPr>
      <w:r>
        <w:rPr>
          <w:b/>
        </w:rPr>
        <w:t xml:space="preserve">Ciclo al alza</w:t>
      </w:r>
      <w:r>
        <w:t xml:space="preserve">: pedidos récord de 306,0 mil M en el 2T (+49 %) y book-to-bill de 1,26 [27].</w:t>
      </w:r>
    </w:p>
    <w:p>
      <w:pPr>
        <w:pStyle w:val="ListParagraph"/>
        <w:numPr>
          <w:ilvl w:val="0"/>
          <w:numId w:val="2"/>
        </w:numPr>
        <w:spacing w:after="60"/>
      </w:pPr>
      <w:r>
        <w:rPr>
          <w:b/>
        </w:rPr>
        <w:t xml:space="preserve">Guía prudente que se sube</w:t>
      </w:r>
      <w:r>
        <w:t xml:space="preserve">: dos subidas en FY2026; el 1S batió en un 11,7 % la guía semestral de beneficio operativo [26].</w:t>
      </w:r>
    </w:p>
    <w:p>
      <w:pPr>
        <w:pStyle w:val="ListParagraph"/>
        <w:numPr>
          <w:ilvl w:val="0"/>
          <w:numId w:val="2"/>
        </w:numPr>
        <w:spacing w:after="60"/>
      </w:pPr>
      <w:r>
        <w:rPr>
          <w:b/>
        </w:rPr>
        <w:t xml:space="preserve">Más retorno al accionista</w:t>
      </w:r>
      <w:r>
        <w:t xml:space="preserve">: recompra de 50.011 M completada y otra de hasta 50.000 M desde el 26-oct [26].</w:t>
      </w:r>
    </w:p>
    <w:p>
      <w:pPr>
        <w:pStyle w:val="ListParagraph"/>
        <w:numPr>
          <w:ilvl w:val="0"/>
          <w:numId w:val="2"/>
        </w:numPr>
        <w:spacing w:after="60"/>
      </w:pPr>
      <w:r>
        <w:rPr>
          <w:b/>
        </w:rPr>
        <w:t xml:space="preserve">Múltiplo por debajo de su historia</w:t>
      </w:r>
      <w:r>
        <w:t xml:space="preserve">: percentil 10 en EV/EBITDA y 20 en PER de los últimos 12 meses.</w:t>
      </w:r>
    </w:p>
    <w:p>
      <w:pPr>
        <w:pStyle w:val="Heading2"/>
      </w:pPr>
      <w:r>
        <w:t xml:space="preserve">En contra</w:t>
      </w:r>
    </w:p>
    <w:p>
      <w:pPr>
        <w:pStyle w:val="ListParagraph"/>
        <w:numPr>
          <w:ilvl w:val="0"/>
          <w:numId w:val="2"/>
        </w:numPr>
        <w:spacing w:after="60"/>
      </w:pPr>
      <w:r>
        <w:rPr>
          <w:b/>
        </w:rPr>
        <w:t xml:space="preserve">Precio exigente a largo plazo</w:t>
      </w:r>
      <w:r>
        <w:t xml:space="preserve">: rentabilidad implícita del 5,2 %, frente a un WACC del 9,06 % [88].</w:t>
      </w:r>
    </w:p>
    <w:p>
      <w:pPr>
        <w:pStyle w:val="ListParagraph"/>
        <w:numPr>
          <w:ilvl w:val="0"/>
          <w:numId w:val="2"/>
        </w:numPr>
        <w:spacing w:after="60"/>
      </w:pPr>
      <w:r>
        <w:rPr>
          <w:b/>
        </w:rPr>
        <w:t xml:space="preserve">Prima sobre el sector</w:t>
      </w:r>
      <w:r>
        <w:t xml:space="preserve">: 24,5x PER NTM frente a 20,1x de los comparables.</w:t>
      </w:r>
    </w:p>
    <w:p>
      <w:pPr>
        <w:pStyle w:val="ListParagraph"/>
        <w:numPr>
          <w:ilvl w:val="0"/>
          <w:numId w:val="2"/>
        </w:numPr>
        <w:spacing w:after="60"/>
      </w:pPr>
      <w:r>
        <w:rPr>
          <w:b/>
        </w:rPr>
        <w:t xml:space="preserve">Pedidos adelantados</w:t>
      </w:r>
      <w:r>
        <w:t xml:space="preserve">: la dirección admite que los plazos largos adelantan pedidos; el bajista vale 2.700,80 JPY [21].</w:t>
      </w:r>
    </w:p>
    <w:p>
      <w:pPr>
        <w:pStyle w:val="ListParagraph"/>
        <w:numPr>
          <w:ilvl w:val="0"/>
          <w:numId w:val="2"/>
        </w:numPr>
        <w:spacing w:after="60"/>
      </w:pPr>
      <w:r>
        <w:rPr>
          <w:b/>
        </w:rPr>
        <w:t xml:space="preserve">Creación de valor escasa</w:t>
      </w:r>
      <w:r>
        <w:t xml:space="preserve">: ROIC del 12,1 % y ROIC incremental del 3,9 % en una década; crecer exige un capex del 9 % de las ventas.</w:t>
      </w:r>
    </w:p>
    <w:p>
      <w:pPr>
        <w:pStyle w:val="ListParagraph"/>
        <w:numPr>
          <w:ilvl w:val="0"/>
          <w:numId w:val="2"/>
        </w:numPr>
        <w:spacing w:after="60"/>
      </w:pPr>
      <w:r>
        <w:rPr>
          <w:b/>
        </w:rPr>
        <w:t xml:space="preserve">China</w:t>
      </w:r>
      <w:r>
        <w:t xml:space="preserve">: 26,6 % de las ventas, robots −14,3 % en el 2T y marcas locales con el 55 % del mercado [27, 36].</w:t>
      </w:r>
    </w:p>
    <w:p>
      <w:pPr>
        <w:pStyle w:val="Heading2"/>
      </w:pPr>
      <w:r>
        <w:t xml:space="preserve">Qué tiene que pasar para que la tesis funcione</w:t>
      </w:r>
    </w:p>
    <w:p>
      <w:pPr>
        <w:spacing w:after="100"/>
      </w:pPr>
      <w:r>
        <w:t xml:space="preserve">La tesis depende de que el ciclo actual tenga su caída, como todos los anteriores, y de que el margen del 2T (26,0 %) no sea el nuevo normal. La señal de que nos equivocamos por prudentes: dos trimestres más con book-to-bill por encima de 1,1, ventas de robots en China de nuevo al alza y revisiones del BPA del consenso por encima de 280 JPY para FY2027e. La de que el bajista llega: book-to-bill por debajo de 1,0 en el 3T.</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(2T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(confirma el adelanto de pedidos) o &gt; 1,1 dos trimestres más (contra la tesis prudente)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Distingue ciclo real de adelanto [27]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FA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 mil M JPY (+130,1 %, 2T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 es el negocio de más margen y el más adelantado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 (2T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aranceles y precios [21]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robots en China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 interanual (2T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Negativas dos trimestres más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cuota frente a marcas locales [27]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japonés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3,5 % (refuerza la prudencia) o &lt; 2,0 % (la debilita)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Separa nuestro valor intrínseco del precio [88]</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 / 13,8x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26,4x / 24,5x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(FY2016-FY2025)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 · -3,2x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Fanuc nace del control numérico. En 1955 Fuji Tsushinki (hoy Fujitsu) crea un equipo de control y en 1956 desarrolla el primer CNC y servo comerciales de una empresa privada japonesa [23]; el ingeniero al frente era Seiuemon Inaba [35]. En 1972 la división se escinde de Fujitsu como FUJITSU FANUC (FANUC LTD desde 1982) [23]. Sobre la base CNC-servo se expandió a robots (empresa conjunta con General Motors en 1982) y a máquinas propias (ROBODRILL, ROBOSHOT, ROBOCUT); con General Electric formó GE Fanuc Automation en 1986 y la disolvió en 2009 [23]. Cotiza en la primera sección de Tokio desde 1983 [23]. Yoshiharu Inaba, en la empresa desde 1973, la dirigió como presidente y consejero delegado desde junio de 2003, presidió el consejo desde 2016 y lo dejó en junio de 2025 para pasar a asesor especial [30, 31]. Kenji Yamaguchi es presidente desde junio de 2016 y consejero delegado desde abril de 2019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Fuji Tsushinki (Fujitsu) desarrolla el primer CNC y servo comerciales de una empresa privada japonesa: el origen de la división FA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división de control numérico se escinde de Fujitsu como FUJITSU FANUC Ltd.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 llamarse FANUC LTD y crea con General Motors la empresa conjunta GMFanuc Robotics en EE. UU., base del negocio de robots en América [23]. Ese año ya tenía la mitad del mercado mundial de CNC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 en la primera sección de la Bolsa de Tokio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 con General Electric GE Fanuc Automation en EE. UU.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 en China SHANGHAI-FANUC Robotics con Shanghai Electric; antes había creado BEIJING-FANUC Mechatronics con el Beijing Machine Tool Research Institute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disuelve la empresa conjunta con General Electric; Fanuc se queda con el negocio de CNC [23,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Kenji Yamaguchi, presidente y director general de operaciones; Yoshiharu Inaba pasa a presidente del consejo [23, 30]. Yamaguchi es consejero delegado desde abril de 2019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 los 5 millones de CNC producidos acumulados; en 2023, el millón de robots enviados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Suspende los envíos de ROBOCUT a Europa por ensayos de compatibilidad electromagnética no conformes con las normas armonizadas de la UE; comité especial de investigación, informe en noviembre-diciembre de 2024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Yoshiharu Inaba deja el consejo en la junta del 27 de junio de 2025 y pasa a asesor especial [31]. En diciembre, Fanuc abre sus robots a ROS 2 y Python (plataforma abierta para la «IA física») [52].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Alianzas de IA física con Google (mayo), NVIDIA (mayo), Fujitsu (julio) e Hitachi (septiembre); nueva fábrica de robots en EE. UU. por 90 M USD anunciada en marzo [34, 53, 54].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Fanuc fabrica automatización industrial a partir de una tecnología básica: el control numérico (CNC) y los servomotores, que aplica a tres negocios [1, 23]. </w:t>
      </w:r>
      <w:r>
        <w:rPr>
          <w:b/>
        </w:rPr>
        <w:t xml:space="preserve">FA</w:t>
      </w:r>
      <w:r>
        <w:t xml:space="preserve"> (24,3 % de las ventas del FY2025, 208.478 M JPY) vende CNC, servos y láseres a fabricantes de máquina herramienta, que los montan en sus máquinas. </w:t>
      </w:r>
      <w:r>
        <w:rPr>
          <w:b/>
        </w:rPr>
        <w:t xml:space="preserve">ROBOT</w:t>
      </w:r>
      <w:r>
        <w:t xml:space="preserve"> (44,1 %, 378.610 M JPY) vende robots industriales, colaborativos CRX y software (ROBOGUIDE) a automoción, electrónica e industria general, en buena parte a través de integradores. </w:t>
      </w:r>
      <w:r>
        <w:rPr>
          <w:b/>
        </w:rPr>
        <w:t xml:space="preserve">ROBOMACHINE</w:t>
      </w:r>
      <w:r>
        <w:t xml:space="preserve"> (15,1 %, 129.600 M JPY) vende máquinas propias: centros de mecanizado compactos ROBODRILL, inyectoras eléctricas ROBOSHOT y electroerosión por hilo ROBOCUT. </w:t>
      </w:r>
      <w:r>
        <w:rPr>
          <w:b/>
        </w:rPr>
        <w:t xml:space="preserve">Servicio</w:t>
      </w:r>
      <w:r>
        <w:t xml:space="preserve"> (16,5 %, 141.143 M JPY) mantiene todo lo anterior [1]. Ventas totales del FY2025 (abril 2025-marzo 2026): 857.831 M JPY. Por destino, Asia es el 41,1 %, América el 27,1 %, Europa el 17,8 % y Japón el 12,9 % [1]; China, en torno al 27 % (estimación propia sumando los cuatro trimestres del FY2025 publicados: 228.400 M JPY) y el 30,0 % en el primer trimestre del FY2026 [18]. La producción está concentrada en Japón (79 % del inmovilizado material) [1].</w:t>
      </w:r>
    </w:p>
    <w:p>
      <w:pPr>
        <w:pStyle w:val="Heading2"/>
      </w:pPr>
      <w:r>
        <w:t xml:space="preserve">Cómo gana dinero</w:t>
      </w:r>
    </w:p>
    <w:p>
      <w:pPr>
        <w:spacing w:after="100"/>
      </w:pPr>
      <w:r>
        <w:t xml:space="preserve">Vende bienes de equipo de precio unitario alto y los mantiene </w:t>
      </w:r>
      <w:r>
        <w:rPr>
          <w:b/>
        </w:rPr>
        <w:t xml:space="preserve">mientras el cliente los use</w:t>
      </w:r>
      <w:r>
        <w:t xml:space="preserve">: el servicio (16,5 % de las ventas) es la parte recurrente [1, 23]. El margen de explotación fue del 21,4 % en el FY2025 y del 23,2 % en el primer trimestre del FY2026, con un coste de ventas en torno al 60 % [18]. El apalancamiento operativo es alto porque fabrica en Japón con fábricas muy automatizadas: en 2008-10 las ventas cayeron de 468.399 M JPY (ejercicio a marzo de 2008) a 253.393 M (marzo de 2010) y el margen, del 40,5 % al 21,7 % [33]; en el ejercicio a marzo de 2020 bajó al 17,4 % [23]. El margen depende del volumen, de la mezcla (Fanuc no publica el margen por división) y del yen, porque el 87 % de las ventas es fuera de Japón [1]. Para el FY2026 prevé un 23,0 % con 150 JPY/USD y 175 JPY/EUR de julio a marzo, descontando la subida de componentes y los aranceles de EE. UU. [18, 21].</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 (CNC y servomotores)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208.478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ROBOMACHINE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141.143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 (CNC y servomotores)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208.478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329.566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378.610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ROBOMACHINE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137.588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130.558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135.151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141.143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Fanuc reporta un solo segmento y no publica concentración de clientes: la nota de información por clientes principales no recoge ninguno [1]. Sus clientes son fabricantes de máquina herramienta (FA), fabricantes de automóviles y de componentes, de electrónica (3C) y de industria general (ROBOT y ROBOMACHINE) [1, 22]. La cartera se llena: en el primer trimestre del FY2026 los pedidos fueron 281.900 M JPY frente a 231.000 M de ventas (relación 1,22), con los pedidos de FA un 63,8 % por encima del año anterior [18]. Poder de precios: la dirección reconoce un desfase entre la subida de componentes y su traslado a precio, que decide según «valor del producto, oferta y demanda, relación con el cliente y competencia» [21]; aun así el margen subió 1,6 puntos en el trimestre [18]. Señal en contra: por los plazos de entrega largos en China, algunos clientes han comprado a competidores [21].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del ejercicio (consolidado)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796,1 mil M JPY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883,4 mil M JPY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de los pedidos trimestrales publicados en las presentaciones [19, 20]. Fanuc no publica pedidos anuales ni cartera en el Tanshin.</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del ejercicio (pedidos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Cálculo propio con pedidos de las presentaciones y ventas del Tanshin [1, 19,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del 1S (abr-sep)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 mil M JPY (1S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587,9 mil M JPY (1S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281,9 mil M en el 1T y 306,0 mil M en el 2T (récord trimestral; +49,0 %); book-to-bill de 1,26 en el 2T (306,0/242,7) [18, 27]. La dirección atribuyó en julio parte del alza a pedidos adelantados por los plazos de entrega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FA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 mil M (FY2024); 55,0 mil M (1T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 mil M (FY2025); 90,2 y 112,2 mil M (1T y 2T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 anual; +63,8 % y +130,1 % en el 1T y el 2T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(centros de datos de IA, semiconductores, piezas de humanoides, vehículo eléctrico), Japón, Corea, Taiwán e India [18, 27].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ROBOT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317,3 mil M (FY2024); 90,6 mil M (1T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 mil M (FY2025); 97,9 y 103,4 mil M (1T y 2T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 anual; +8,1 % y +12,6 % en el 1T y el 2T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Américas (inversión en automatización ligada a la IA y repunte del automóvil) y China; las ventas de robots en China cayeron un 14,3 % en el 2T [27].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ROBOMACHINE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 mil M (FY2024); 29,0 mil M (1T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 mil M (FY2025); 57,6 y 51,2 mil M (1T y 2T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anual; +98,3 % y +72,3 % en el 1T y el 2T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ROBODRILL y ROBOSHOT para piezas de servidores de IA y 3C, sobre todo en China [18, 27].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350,6 mil M JPY (mar-23, máximo)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 mil M JPY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 desde el máximo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292,2 mil M a mar-26; suben 8.526 M en el 1S con los pedidos récord [1, 26].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I+D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mil M JPY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mil M JPY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5,2 % de las ventas en FY2025; 10,8 mil M en el 1T FY26 [18,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 (2T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 (2T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de ventas plano frente al 1T con un 5,0 % más de ventas; 23,2 % en el 1T FY26 [27].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Fanuc vende en dos mercados mundiales ligados al mismo ciclo de inversión industrial: </w:t>
      </w:r>
      <w:r>
        <w:rPr>
          <w:b/>
        </w:rPr>
        <w:t xml:space="preserve">robots industriales</w:t>
      </w:r>
      <w:r>
        <w:t xml:space="preserve"> (ROBOT, 44 % de las ventas) y </w:t>
      </w:r>
      <w:r>
        <w:rPr>
          <w:b/>
        </w:rPr>
        <w:t xml:space="preserve">controles CNC para máquina herramienta</w:t>
      </w:r>
      <w:r>
        <w:t xml:space="preserve"> (FA, 24 %; ROBOMACHINE vende máquinas en el mismo ciclo) [1]. Usamos como mercado relevante los robots industriales medidos por la IFR en unidades instaladas (la estadística más completa y comparable, con serie anual mundial) [37]; para el CNC no hay una estadística pública de tamaño, así que usamos dos indicadores de la demanda de máquina herramienta: los pedidos de los fabricantes japoneses (JMTBA, mensuales) [39] y la producción y el consumo mundiales de máquina herramienta (VDW)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Robots: 603.000 unidades instaladas en 2025 (+11 %) y un parque operativo de 5 millones [37]; China instaló 354.000, el 59 % [36]. Máquina herramienta: producción mundial de unos 81.000 M EUR en 2025 (estimación propia: China produjo unos 30.000 M EUR, el 37 % del total) y consumo de China de 25.200 M EUR, el 32 % del mundial [42]; pedidos de los fabricantes japoneses de 1,60 billones de JPY en 2025 (+8,0 %) [39]. Previsión: la IFR esperaba superar las 700.000 instalaciones en 2028 [38] (dato de 2028e de la serie; el crecimiento previsto, 5,1 % anual desde 2025, es estimación propia sobre esa cifra).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robots industriales instalados al año (IF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por falta de mano de obra, sobre todo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instaló 354.000 robots en 2025 (59 % del mundo) y la IFR espera que crezca un 5-10 % anual hasta 2029 por la escasez de mano de obra; el 15.º Plan Quinquenal (2026-2030) orienta la IA a aplicaciones físicas [36].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inversión en máquina herramienta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JMTBA: 1,76 billones de JPY en 2022 (récord), −15,5 % en 2023, −0,1 % en 2024, +8,0 % en 2025 [39]; +65,4 % en agosto y +60,4 % en septiembre de 2026, con 223.209 M JPY, máximo histórico mensual [40, 56].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semiconductores, centros de datos de IA, 3C y componentes de humanoides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Fanuc atribuye a estos sectores el salto de los pedidos de CNC en China, Japón, Corea y Taiwán: pedidos FA +63,8 % en el 1T y +130,1 % en el 2T del FY2026 (112,2 mil M) [18, 21, 27]. Los pedidos de máquina herramienta japonesa desde China subieron un 55,8 % en enero-julio de 2026 (341.801 M JPY) [39].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Fabricantes chinos ganando cuota en su mercado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chinas hicieron el 55 % de las instalaciones de robots en China en 2025 (57 % en 2024; unos 28 % una década antes) [36, 38]. Fanuc admite que en CNC hay fabricantes chinos de muy bajo coste que no cubre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relocalización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abrió el 2 de septiembre de 2025 una investigación de la Sección 232 sobre importaciones de robots y maquinaria industrial, incluidos los centros de mecanizado CNC [55]; Fanuc invierte 90 M USD en una fábrica de robots en EE. UU. [34] y ve relocalización de la industria en la demanda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del yen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87 % de las ventas es fuera de Japón y el 79 % del inmovilizado está en Japón [1]; en el 1S FY2026 el dólar medio fue 159,37 JPY frente a 146,04 un año antes, con ventas +16,2 %, y la guía del 2S supone 150 JPY por dólar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robots compiten ABB, Yaskawa, KUKA y fabricantes chinos con márgenes muy distintos: Fanuc 21,4 % frente a Yaskawa 8,7 %, ABB Robotics 12,6 % y KUKA 2,1 % [18, 43, 45, 48]. En CNC la rivalidad es menor (Siemens y Mitsubishi Electric) salvo en la gama baja china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fabricantes de máquina herramienta y de automóviles compran grandes volúmenes; cuando los plazos de Fanuc se alargaron en China, parte de los clientes compró a competidores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Plazos largos en semiconductores, componentes eléctricos y piezas mecánicas en 2026; Fanuc recurre a segundas y terceras fuentes y prevé subida de costes de componentes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chinas de robots crecieron un 15 % en 2025 y tienen el 55 % de su mercado [36]; SoftBank compra ABB Robotics para entrar en la IA física [50]. En CNC la entrada es más difícil por la base instalada y la certificación en cada máquina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humanoides y la IA física por ahora generan demanda para Fanuc (mecanizado de piezas de humanoides en China) más que sustitución; casi todas las aplicaciones de IA física están en prueba [21, 22].</w:t>
            </w:r>
          </w:p>
        </w:tc>
      </w:tr>
    </w:tbl>
    <w:p>
      <w:pPr>
        <w:spacing w:after="160" w:before="0"/>
      </w:pPr>
    </w:p>
    <w:p>
      <w:pPr>
        <w:pStyle w:val="Heading2"/>
      </w:pPr>
      <w:r>
        <w:t xml:space="preserve">Ciclo</w:t>
      </w:r>
    </w:p>
    <w:p>
      <w:pPr>
        <w:spacing w:after="100"/>
      </w:pPr>
      <w:r>
        <w:t xml:space="preserve">Pedidos de máquina herramienta japonesa en máximo histórico: 223.209 M JPY en septiembre de 2026 (+60,4 % interanual, decimocuarto mes de subida; exterior +66,8 %), +43,3 % en enero-septiembre [56]; los de Fanuc, récord de 306,0 mil M en el 2T FY26 (+49,0 %; FA +130,1 %), en parte adelantados por plazos largos [21, 27]. El PMI manufacturero oficial de China volvió a 50,1 en septiembre [41]. En 2009 los pedidos JMTBA cayeron un 68,4 % [39] y las ventas de Fanuc, un 46 % de pico a valle (ejercicios a marzo de 2008-2010) [33]; en 2020 los pedidos bajaron un 26,7 % [39] y Fanuc vendió un 20 % menos [23]; tras el récord de 2022, cayeron un 15,5 % en 2023 [39]. Catorce meses de subidas y un récord sitúan el ciclo en su tramo alto.</w:t>
      </w:r>
    </w:p>
    <w:p>
      <w:pPr>
        <w:pStyle w:val="Heading2"/>
      </w:pPr>
      <w:r>
        <w:t xml:space="preserve">Regulación</w:t>
      </w:r>
    </w:p>
    <w:p>
      <w:pPr>
        <w:spacing w:after="100"/>
      </w:pPr>
      <w:r>
        <w:t xml:space="preserve">Tres frentes afectan a las cifras. </w:t>
      </w:r>
      <w:r>
        <w:rPr>
          <w:b/>
        </w:rPr>
        <w:t xml:space="preserve">Aranceles de EE. UU.</w:t>
      </w:r>
      <w:r>
        <w:t xml:space="preserve">: Fanuc los incorpora a su previsión del FY2026 suponiendo que se mantienen los vigentes [21, 22], y el Departamento de Comercio investiga desde septiembre de 2025 (Sección 232) las importaciones de robots y máquinas CNC, sin resultado publicado a la fecha de corte que hayamos encontrado [55]. </w:t>
      </w:r>
      <w:r>
        <w:rPr>
          <w:b/>
        </w:rPr>
        <w:t xml:space="preserve">Normas de producto en la UE</w:t>
      </w:r>
      <w:r>
        <w:t xml:space="preserve">: los ensayos de compatibilidad electromagnética no conformes de ROBOCUT obligaron a suspender los envíos a Europa entre abril y julio-agosto de 2024 [32]. </w:t>
      </w:r>
      <w:r>
        <w:rPr>
          <w:b/>
        </w:rPr>
        <w:t xml:space="preserve">Política industrial china</w:t>
      </w:r>
      <w:r>
        <w:t xml:space="preserve">: el 15.º Plan Quinquenal (2026-2030) prioriza la autosuficiencia tecnológica en robótica [36], lo que favorece a los proveedores locales.</w:t>
      </w:r>
    </w:p>
    <w:p>
      <w:pPr>
        <w:pStyle w:val="Heading2"/>
      </w:pPr>
      <w:r>
        <w:t xml:space="preserve">Tendencias y disrupción</w:t>
      </w:r>
    </w:p>
    <w:p>
      <w:pPr>
        <w:spacing w:after="100"/>
      </w:pPr>
      <w:r>
        <w:t xml:space="preserve">La </w:t>
      </w:r>
      <w:r>
        <w:rPr>
          <w:b/>
        </w:rPr>
        <w:t xml:space="preserve">IA física</w:t>
      </w:r>
      <w:r>
        <w:t xml:space="preserve"> (robots que aprenden tareas sin programación pieza a pieza) es la tendencia que mueve el sector: Fanuc publicó en diciembre de 2025 el controlador de sus robots para ROS 2, ejecución de Python y entrada de órdenes externas a alta velocidad [52]; integra su simulador ROBOGUIDE con NVIDIA Isaac Sim y prueba el modelo Isaac GR00T y la plataforma Jetson Thor [53]; en septiembre de 2026 firmó con Hitachi una alianza para comercializar IA física desde el FY2027 [54] y presentó un robot que usa Gemini Enterprise de Google [58]; en la feria IMTS de Chicago (septiembre) enseñó cinco sistemas de IA física con NVIDIA y Google y un CNC con IA generativa y gemelo digital [27]. La dirección dice que los proyectos de «varios miles de unidades» se están convirtiendo en pedidos [22]. En contra: los fabricantes chinos ya superan la mitad de su mercado de robots [36], y SoftBank compra ABB Robotics con la misma tesis (cierre aún pendiente) [50, 57].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proveedor mundial de controles CNC y uno de los primeros en robots industriales, según su propia estimación, que no da cifra [23]; también dice tener las primeras cuotas mundiales en centros de mecanizado compactos (ROBODRILL) e inyectoras eléctricas (ROBOSHOT) [23]. En 1982 ya tenía la mitad del mercado mundial de CNC [35]. Ha producido más de 5 millones de CNC y enviado más de 1 millón de robots [23].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Yaskawa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6506.T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542.122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febrero de 2026. Robots (247.012 M JPY, margen 8,3 %) y control de movimiento/servos (236.053 M JPY, margen 10,3 %) [43]. Compite con Fanuc en robots y servos, no en CNC.</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 Robotics (división de ABB, en venta a SoftBank)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ingresos 2.331 M USD y resultado de explotación 294 M USD como operación interrumpida, sin 123 M USD de costes centrales que antes se le imputaban [45]. Convertido a 156,67 JPY/USD del 31-12-2025 [51]. Venta a SoftBank por un valor de empresa de 5.375 M USD anunciada el 8-10-2025, con cierre previsto en el segundo semestre de 2026 sujeto a aprobaciones de la UE, China y EE. UU. [44, 45, 50]; la UE la aprobó el 11-mar-2026 y a 24-oct-2026 seguía sin cerrar, pendiente de China y EE. UU. [57].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KUKA (grupo Midea)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 / 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2024 (los de 2025 no están publicados en su web): ventas de unos 3.700 M EUR (−7,9 %) y EBIT de 76,5 M EUR (−51,6 %) [48]. Convertido a 163,06 JPY/EUR del 31-12-2024 [51]. Fuerte en automoción europea y en China.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Digital Industries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3.090.800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septiembre de 2025: ingresos 17.788 M EUR y beneficio del segmento 2.643 M EUR [46]. Incluye software industrial y PLC; su CNC Sinumerik es el principal rival de Fanuc en controles. Convertido a 173,76 JPY/EUR del 30-09-2025 [51].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Mitsubishi Electric, sistemas de automatización industrial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6503.T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798.200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marzo de 2026: ingresos 798.200 M JPY (+10 %) y resultado de explotación 76.600 M JPY [47]. Compite en CNC, servos, PLC y robots pequeños.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Teradyne Robotics (Universal Robots y MiR)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 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ingresos 308,3 M USD (−15,5 %) y pérdida antes de impuestos del segmento de 99,4 M USD [49]. Universal Robots es el líder histórico en robots colaborativos (más de 110.000 vendidos), frente a los CRX de Fanuc [49]. Convertido a 156,67 JPY/USD [51].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de más de 5 millones de CNC y 1 millón de robots [5]: operarios formados y programas escritos para Fanuc, integradores y la FANUC Academy; la apertura a ROS 2 busca sumar desarrolladores externos [28]. Es un efecto indirecto, no de red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CNC se diseña dentro de cada máquina herramienta y el usuario final programa y mantiene en Fanuc; la compañía garantiza servicio mientras el producto se use [5]. El servicio genera el 16,5 % de las ventas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Elegida Top 100 Global Innovator de Clarivate cinco años seguidos (2026) [10, 5]; reputación de fiabilidad («Reliable, Predictable, Easy to Repair») [1], dañada en parte por el caso ROBOCUT de 2024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explotación del 21,4 % en el FY2025 [2] frente al 8,7 % de Yaskawa, 9,6 % de Mitsubishi Electric FA, 12,6 % de ABB Robotics, 14,9 % de Siemens DI y 2,1 % de KUKA [19, 21-24]. Entre los ejercicios a marzo de 2016 y 2025 su margen se movió entre el 17,4 % y el 34,6 % [5], y en el peor año de 2008-10 fue del 21,7 %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CNC es un mercado de pocos proveedores (Fanuc, Siemens, Mitsubishi Electric) por la certificación y el servicio mundial; en robots la escala no frena a los fabricantes chinos, que ya tienen el 55 % de su mercado [12].</w:t>
            </w:r>
          </w:p>
        </w:tc>
      </w:tr>
    </w:tbl>
    <w:p>
      <w:pPr>
        <w:spacing w:after="160" w:before="0"/>
      </w:pPr>
    </w:p>
    <w:p>
      <w:pPr>
        <w:pStyle w:val="Heading2"/>
      </w:pPr>
      <w:r>
        <w:t xml:space="preserve">Amenazas</w:t>
      </w:r>
    </w:p>
    <w:p>
      <w:pPr>
        <w:spacing w:after="100"/>
      </w:pPr>
      <w:r>
        <w:t xml:space="preserve">La principal es </w:t>
      </w:r>
      <w:r>
        <w:rPr>
          <w:b/>
        </w:rPr>
        <w:t xml:space="preserve">China</w:t>
      </w:r>
      <w:r>
        <w:t xml:space="preserve">, el 27,4 % de las ventas del 2T FY26 [27], donde las ventas de robots cayeron un 14,3 % en el 2T mientras las de FA subían un 25,6 % [27]: las marcas locales de robots ya tienen el 55 % de las instalaciones [36], hay CNC chinos de muy bajo coste que Fanuc no cubre [22] y la empresa reconoce clientes perdidos por plazos largos [21]. La segunda es la </w:t>
      </w:r>
      <w:r>
        <w:rPr>
          <w:b/>
        </w:rPr>
        <w:t xml:space="preserve">IA física</w:t>
      </w:r>
      <w:r>
        <w:t xml:space="preserve">: si el valor pasa al software y a los modelos (NVIDIA, Google, SoftBank con ABB Robotics) [50, 53], el control propietario pesa menos; Fanuc responde abriendo su plataforma a ROS 2 y Python [52]. La tercera, </w:t>
      </w:r>
      <w:r>
        <w:rPr>
          <w:b/>
        </w:rPr>
        <w:t xml:space="preserve">aranceles</w:t>
      </w:r>
      <w:r>
        <w:t xml:space="preserve"> de EE. UU. sobre robots y máquinas CNC si la Sección 232 acaba en medidas [55]. Probabilidad: alta para la presión china (ya visible), media para las otras dos.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536.942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726.596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635.568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508.252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551.287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733.008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230.317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851.956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240.548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795.274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797.129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857.831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231.545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183.763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166.543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FY2016-FY2025: ingresos </w:t>
      </w:r>
      <w:r>
        <w:rPr>
          <w:b/>
          <w:bCs/>
        </w:rPr>
        <w:t xml:space="preserve">5,3 %</w:t>
      </w:r>
      <w:r>
        <w:t xml:space="preserve">, EBITDA </w:t>
      </w:r>
      <w:r>
        <w:rPr>
          <w:b/>
          <w:bCs/>
        </w:rPr>
        <w:t xml:space="preserve">2,9 %</w:t>
      </w:r>
      <w:r>
        <w:t xml:space="preserve">, BPA </w:t>
      </w:r>
      <w:r>
        <w:rPr>
          <w:b/>
          <w:bCs/>
        </w:rPr>
        <w:t xml:space="preserve">3,4 %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Diez años sin crecimiento estructural del margen. Las ventas pasaron de 536.942 M JPY (FY2016) a 857.831 M (FY2025), un 5,3 % anual, con dos ciclos completos: pico en FY2017 (726.596 M y margen EBIT del 31,6 %), valle en FY2019 (508.252 M y 17,4 %), récord de ventas en FY2022 (851.956 M y 22,5 %) y nuevo valle de margen en FY2023 (17,8 %) [1, 2, 3, 4, 5, 6, 7, 8, 9, 10]. Todo el crecimiento es orgánico: no hay adquisiciones relevantes en la década. El margen bruto bajó del 45,2 % (FY2017) al 38,3 % (FY2025) y los gastos generales subieron del 13,6 % al 16,9 % de las ventas. En ese tiempo ROBOT pasó del 31 % al 44 % de las ventas y FA del 31 % al 24 %; Fanuc no publica márgenes por división, así que el efecto de la mezcla no se puede medir [1, 9]. FY2025 recupera 150 pb de margen EBIT (del 19,9 % al 21,4 %) con un 7,6 % más de ventas. El 1S FY26 sube al 24,6 % (ventas +16,2 %; 26,0 % en el 2T) y el 23-oct-2026 la empresa elevó por segunda vez la guía de FY2026: ventas de 1.013.700 M (+18,2 %, primera vez por encima del billón) y resultado operativo de 240.700 M (23,7 %), con el yen a 150 por dólar en el 2S [26, 27]. Los últimos doce meses a septiembre suman 923.971 M de ventas y un margen EBIT del 23,2 % [1, 13, 26].</w:t>
      </w:r>
    </w:p>
    <w:p>
      <w:pPr>
        <w:pStyle w:val="Heading2"/>
      </w:pPr>
      <w:r>
        <w:t xml:space="preserve">Ajustes y partidas no recurrentes</w:t>
      </w:r>
    </w:p>
    <w:p>
      <w:pPr>
        <w:spacing w:after="100"/>
      </w:pPr>
      <w:r>
        <w:t xml:space="preserve">Cifras reportadas en JGAAP, sin ajustes. El EBIT es el beneficio de explotación (operating income); el EBITDA suma la amortización del estado de flujos y cuadra con el EBITDA de la tabla de diez años [23]. El resultado financiero = BAI − EBIT: en FY2025, 43.722 M = intereses 7.537 + dividendos 3.370 + participadas 30.531 + otros 6.110 − gastos no operativos 3.826 [1]. Partidas extraordinarias: +25.081 M en FY2018 (ganancia por traspaso de obligaciones de pensiones), −1.973 M en FY2019 y −1.224 M en FY2022 (deterioros) y −478 M en FY2021 [5, 7, 8]. Las participadas, BEIJING-FANUC Mechatronics y SHANGHAI-FANUC Robotics (50 % cada una) [24], van por puesta en equivalencia fuera del EBIT (no se suman al EBITDA): 30.531 M en FY2025 (13,4 % del BAI) y 22.977 M en el 1S FY26 (+56 % sobre los 14.725 M del 1S FY25) [1, 26]. Valen 167.210 M en balance a mar-26 (155.976 M a mar-25) [25]; dividendos cobrados de ellas, unos 23.400 M en FY2025 (estimación propia: intereses y dividendos cobrados 34.318 M menos ingresos por intereses y dividendos 10.907 M) [1]. Split 5:1 el 1-abr-2023: BPA de FY2016-FY2021 y DPA de FY2016-FY2022 divididos entre 5; dividendo extraordinario de 525,90 JPY en FY2018 y 70,86 JPY en FY2019 (antes del split) [7, 8]. Sin acciones dilutivas.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242.673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Del 1T al 2T FY26 el discurso pasó de la oferta a la demanda. En la conferencia del 31-jul-2026 la dirección explicó que parte del salto de los pedidos de FA (+63,8 %) eran clientes que pedían antes por los plazos de entrega, admitió que en China algunos clientes se iban a la competencia por esos plazos (sin concluir que perdiera cuota), justificó que el beneficio creciera menos que las ventas por el coste de los componentes, el desfase en trasladarlo a precios y los aranceles de EE. UU., y anunció más capacidad para FA [21]. El mercado leyó un problema de aprovisionamiento de componentes y la acción cayó un 14,3 % en un día [28]. El 23-oct-2026 los números contestaron a esa duda: margen operativo del 26,0 % en el 2T (23,2 % en el 1T), con un coste de ventas plano frente al 1T con un 5 % más de ventas, y pedidos récord de 306,0 mil M (+49,0 %; FA +130,1 % y ROBOMACHINE +72,3 %) [26, 27]. La guía sube por segunda vez (ventas 1,01 billones; BE 240.700 M) y la prensa recoge que se aleja el temor por los componentes [28]. Lo que la presentación no explica: la caída del 14,3 % de las ventas de robots en China en el 2T y por qué la guía del 2S supone un margen del 23,0 %, por debajo del 24,6 % del 1S, con el yen a 150 [27, 29]. El resumen de preguntas y respuestas de la conferencia del 23-oct no estaba publicado a la fecha de corte. Las cifras de cada trimestre salen de restar los acumulados de los Tanshin; el 2T FY26 supera en unos 7.000 M de BE al consenso de mercado previo [26, 28].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1.564.769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774.761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-774.761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1.363.155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1.729.080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1.461.590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1.625.340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1.437.775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1.512.499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1.355.100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1.625.191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586.784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-586.784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1.425.479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1.783.964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350.286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1.535.809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1.873.536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456.427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1.615.376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1.926.037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475.529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539.079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-539.079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1.705.556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1.937.031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606.504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-606.504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1.724.545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2.090.700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416.699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1.864.871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marca el ciclo de caja. Las existencias subieron de 164.268 M JPY (mar-21) a 362.546 M (mar-24) al acumular componentes durante la escasez de 2021-22, y bajaron a 292.186 M en mar-26. Esa liberación (52.489 M en FY2024 y 27.869 M en FY2025) sostuvo el flujo operativo [1, 2]. Los clientes crecen con las ventas (170.775 M, el 19,9 % de las ventas de FY2025). El patrimonio atribuido (1,86 billones JPY) es el 89 % del activo; la caja y los valores a corto (753.871 M) son el 36 % del activo y el 40 % del patrimonio. La caja vuelve a crecer desde FY2023 porque el reparto (dividendo del 60 % del beneficio y recompras pequeñas) queda por debajo del flujo libre [1]. En el 1S FY26 las existencias subieron 8.526 M hasta 300.712 M y los clientes bajaron a 162.142 M, mientras los proveedores pasaron de 46.262 M a 56.132 M: el circulante comercial queda en el 44,0 % de las ventas de los últimos doce meses, frente al 48,6 % de FY2025 [26].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250.896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229.715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166.543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FY2016-FY2025: FCF </w:t>
      </w:r>
      <w:r>
        <w:rPr>
          <w:b/>
          <w:bCs/>
        </w:rPr>
        <w:t xml:space="preserve">1.030.983</w:t>
      </w:r>
      <w:r>
        <w:t xml:space="preserve">, conversión </w:t>
      </w:r>
      <w:r>
        <w:rPr>
          <w:b/>
          <w:bCs/>
        </w:rPr>
        <w:t xml:space="preserve">73 %</w:t>
      </w:r>
      <w:r>
        <w:t xml:space="preserve"> del beneficio neto; adquisiciones 0, dividendos 946.081, recompras 154.428.</w:t>
      </w:r>
    </w:p>
    <w:p>
      <w:pPr>
        <w:spacing w:after="100"/>
      </w:pPr>
      <w:r>
        <w:t xml:space="preserve">La conversión del beneficio en caja es irregular. En FY2016-FY2018 un capex de 87.509-125.324 M JPY (14-20 % de las ventas), para ampliar las fábricas de robots y ROBOMACHINE, dejó el flujo libre entre el 27 % y el 40 % del beneficio [8, 9, 10]. En FY2021-22 la acumulación de existencias recortó el flujo operativo a 99.505 M en FY2022 (conversión del 31 %) [4]. En FY2024-25, con capex de 40.805 M y 21.181 M y existencias liberándose, el flujo libre fue de 214.468 M y 229.715 M, 1,4 veces el beneficio [1, 2]. Fanuc no separa el capex de mantenimiento del de crecimiento. Estimación propia: el de mantenimiento ronda la amortización (45-50 mil M anuales), así que el de FY2025 se quedó por debajo. La empresa anticipa más inversión para FA: el capex del 1S FY26 fue de 16.603 M, frente a 10.151 M un año antes [21, 26]. En el 1S FY26 el flujo operativo fue de 155.858 M (+21,8 %) y el flujo libre, de 139.255 M; en los últimos doce meses, 251.203 M (1,26 veces el beneficio) [26]. Los intereses y dividendos cobrados (34.318 M en FY2025) van en el flujo operativo; no hay intereses pagados ni pagos de arrendamientos separados.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ShinNihon LLC (EY新日本有限責任監査法人)</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sencillas: JGAAP, un solo segmento, sin deuda, sin fondo de comercio, sin I+D capitalizada (44.959 M JPY de gasto en FY2025) y sin acciones dilutivas [1, 25]. EY ShinNihon audita a Fanuc desde 1975 (51 ejercicios); los dos socios firmantes llevan siete años o menos [25]. Su informe de FY2025 es favorable sin salvedades [24]. El Tanshin no está auditado, pero sus cifras anuales coinciden con el balance y la cuenta auditados de la convocatoria [1, 24]. Los deterioros son pequeños (1.973 M en FY2019 y 1.224 M en FY2022) y la única partida extraordinaria relevante fue la ganancia de 25.081 M por el traspaso de obligaciones de pensiones en FY2018 [7, 8]. Lo que más pesa fuera del resultado operativo son las dos participadas chinas al 50 %: el 13,4 % del BAI de FY2025, sin consolidar, con un balance que no se publica [1]. Los informes del 1T y el 3T no traen estado de flujos (en Japón solo es obligatorio el semestral), así que el flujo trimestral no se puede seguir [11].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Participadas sin consolidar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BEIJING-FANUC y SHANGHAI-FANUC Robotics (50 % cada una) aportan 30.531 M JPY (13,4 % del BAI de FY2025) y 11.371 M solo en el 1T FY26, sin desglose de ventas ni de deuda [1, 11, 24].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51 años de mandato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ShinNihon desde 1975; los socios rotan (siete años o menos), pero la firma no cambia [25].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Oscilación del inventario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existencias pasaron de 164.268 M a 362.546 M y a 292.186 M en cinco años; explican gran parte de la diferencia entre beneficio y caja [1, 3,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por contrato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anticipos de clientes subieron de 26.785 M a 35.173 M en FY2025, en línea con los pedidos adelantados [25].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Reclasificaciones de presentación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Pequeñas reclasificaciones de gastos no operativos (diferencias de cambio, bajas de inmovilizado) en FY2019, FY2024 y FY2025; no afectan al resultado operativo [1, 2, 7].</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594.696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657.499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771.646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826.648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839.537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898.717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1.023.496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1.139.224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1.156.754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1.131.231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FY2025 (el 0 % del capital invertido medio); ha subido más de un 5 % en 0 de 9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3,9 % · </w:t>
      </w:r>
      <w:r>
        <w:rPr>
          <w:b/>
          <w:bCs/>
        </w:rPr>
        <w:t xml:space="preserve">WACC</w:t>
      </w:r>
      <w:r>
        <w:t xml:space="preserve">: 9,1 %.</w:t>
      </w:r>
    </w:p>
    <w:p>
      <w:pPr>
        <w:spacing w:after="100"/>
      </w:pPr>
      <w:r>
        <w:t xml:space="preserve">Fanuc crea valor, pero con poco margen y a ciclos. El ROIC del FY2025 es del 12,1 %, frente a un WACC del 9,06 %: tres puntos de diferencia. En diez años osciló entre el 25,5 % (FY2017) y el 7,9 % (FY2019), y quedó por debajo del WACC en FY2019 y en torno a él en FY2023. Lo mueve el margen, no la rotación: el capital invertido rota apenas 0,43 veces porque el circulante pesaba el 48,6 % de las ventas en marzo (44,0 % en septiembre) [1, 26]. El ROIC incremental de la década es solo del 3,9 %: el capital invertido pasó de 594.696 M a 1,13 billones y el beneficio operativo después de impuestos apenas creció. El primer semestre de FY2026 mejora la foto (margen operativo del 24,6 %, 26,0 % en el 2T) [26, 27], pero un semestre de subida del ciclo no cambia la media de diez años. Su ROIC de grupo dobla el de Yaskawa (5,9 %) y supera el de Mitsubishi Electric (8,4 %), según Stock Analysis [92, 102].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-787.085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-58.530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-845.615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deuda financiera. A 31-mar-2026: caja y depósitos 718.071 M JPY y valores negociables a corto 35.800 M, en total 753.871 M [1]. A 30-sep-2026: 746.285 M + 40.800 M = 787.085 M, ya después de pagar los 50.011 M de la recompra de julio-septiembre y 52.018 M de dividendos [26]; de ellos, 551.185 M son efectivo y equivalentes y el resto depósitos a más de tres meses. Aparte, inversiones a largo plazo (investment securities) de 242.860 M a sep-26 (223.287 M a mar-26): las participadas por puesta en equivalencia (167.210 M a mar-26) y acciones y otros valores [1, 25, 26]. No publica líneas de crédito.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deuda, covenants ni garantías relevantes publicadas. Pasivo neto por prestaciones definidas: 20.191 M JPY a mar-26 (31.208 M a mar-25) y 19.386 M a sep-26, con un activo de 1.310 M a mar-26; provisión de garantías, 8.870 M [1]. Pasivos por contrato (anticipos de clientes) de 35.173 M a mar-26, frente a 26.785 M un año antes, dentro de «otros pasivos corrientes» [25]: suben con los pedidos adelantados. La matriz aplica JGAAP, sin NIIF 16: los arrendamientos operativos no están en balance y no hay una línea de obligaciones por arrendamiento (las filiales extranjeras aplican NIIF 16 desde FY2019 sin importe material separado), por lo que los arrendamientos son cero [1, 7]. Participadas por puesta en equivalencia (BEIJING-FANUC Mechatronics y SHANGHAI-FANUC Robotics, 50 % cada una): 167.210 M en balance a mar-26, 30.531 M de resultado en FY2025 y unos 23.400 M de dividendos cobrados (estimación propia) [1, 24, 25]. Autocartera de 57,4 M de acciones a sep-26 (49,2 M a mar-26), tras comprar 8,27 M entre julio y septiembre; la norma es amortizar lo que exceda el 5 % del capital emitido [1, 26].</w:t>
      </w:r>
    </w:p>
    <w:p>
      <w:pPr>
        <w:pStyle w:val="Heading1"/>
      </w:pPr>
      <w:r>
        <w:t xml:space="preserve">12. Asignación de capital</w:t>
      </w:r>
    </w:p>
    <w:p>
      <w:pPr>
        <w:pStyle w:val="Confianza"/>
        <w:spacing w:after="100"/>
      </w:pPr>
      <w:r>
        <w:t xml:space="preserve">Confianza: Alta</w:t>
      </w:r>
    </w:p>
    <w:p>
      <w:pPr>
        <w:spacing w:after="100"/>
      </w:pPr>
      <w:r>
        <w:t xml:space="preserve">Dividendo del 60 % del beneficio consolidado como política básica; recompras flexibles según la cotización y la inversión en crecimiento, y amortización anual de la autocartera que exceda el 5 % del capital emitido [1]. En FY2018-19 la política incluía además dividendos extraordinarios para llevar el retorno total medio de cinco años al 80 % (525,90 y 70,86 JPY por acción antes del split) [7, 8]. El 24-abr-2026 aprobó una recompra de hasta 10 M de acciones (1,07 %) o 50.000 M JPY entre mayo de 2026 y abril de 2027 [1]. Esta se completó entre julio y el 17-sep-2026 (8.268.900 acciones por 50.011 M) [26]; la anterior, también de hasta 50.000 M, se ejecutó solo por 553 M [1, 22]. El 23-oct-2026 aprobó otra de hasta 10 M de acciones (1,08 %) o 50.000 M, del 26-oct-2026 al 30-abr-2027, en el mercado [26]. Dividendo a cuenta de FY2026: 72,54 JPY (51,33 un año antes) [26]. Dividendo de FY2025: 107,09 JPY (51,33 + 55,76)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229.715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94.459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Asignador prudente que empieza a usar la caja. En diez años no compró ninguna empresa y devolvió más que todo su flujo libre en dividendos y recompras [1, 2, 3, 4, 5, 6, 7, 8, 9, 10]. En 2026 acelera: completó en septiembre una recompra de 50.011 M (8,27 M de acciones) y el 23-oct aprobó otra de hasta 50.000 M o 10 M de acciones hasta abril de 2027, con un dividendo a cuenta de 72,54 JPY [26, 76]. Aun así la caja sube: 787.085 M en septiembre, el 15 % de la capitalización, porque el flujo libre de los últimos doce meses (251.203 M) supera lo que reparte [26]. Las recompras siguen atadas al precio: la de 2025 se quedó en 553 M «porque la cotización se mantuvo alta» [22]. El capex de FY2025 (2,5 % de las ventas) quedó por debajo de la amortización y la dirección anunció más capacidad en FA [21]: el informe proyecta el 9 % de las ventas, su media de diez años. Sin activista en el capital [77].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Kenji Yamaguchi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y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de la casa (entró en 1993); consejero desde 2008, presidente y COO en 2016 y CEO desde abril de 2019 [25]. Con él como CEO las ventas pasaron de 508.252 M JPY (FY2019) a 857.831 M JPY (FY2025) y el beneficio operativo de 88.350 M a 183.763 M JPY [1, 6]. Tiene 54.560 acciones, que suben unas 8.000 al año por las acciones restringidas (38.560 en 2024) [24, 64, 65].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Ryuji Sasuga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Senior Managing Officer y director financiero (CFO); director general de Finanzas Corporativas y de la Secretaría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Fanuc en 1992, fue director financiero de Fanuc Europe, pasó por LIXIL y Permasteelisa (2010-2015) y volvió en 2015; CFO desde junio de 2022 y consejero desde junio de 2023 [25]. Tiene 13.270 acciones [24]. En FY2025 cobró 140 M JPY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Hiroto Uozumi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directivo de Hitachi (presidente de Hitachi-GE Nuclear Energy) y presidente de la Japan Atomic Energy Association; consejero externo de Fanuc desde 2022 y presidente del consejo desde julio de 2025, cuando todas las presidencias del consejo y de sus comités pasaron a consejeros externos [24, 25, 73]. Tiene 500 acciones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J. Cicco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y CEO de FANUC America Corporation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FANUC America desde 1999 y su CEO desde julio de 2016; consejero de la matriz desde 2020 [25]. FANUC America facturó 228.485 M JPY en FY2025 (más del 10 % de las ventas del grupo) [25]. Fue el consejero mejor pagado en FY2025: 420 M JPY, 374 de ellos de la filial [25]. Tiene 4.780 acciones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Hiroshi Noda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Managing Officer; director general de la División de I+D de FA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I+D de CNC y servos (FA) [23, 60]. No es consejero, por lo que no se publican su participación ni su retribución.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Kenichiro Abe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Senior Managing Officer; director general de la División de I+D de ROBOT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I+D de robots [23, 60]. No es consejero, por lo que no se publican su participación ni su retribución.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Satoshi Takatsugi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Senior Managing Officer; director general de la División de I+D de ROBOMACHINE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la I+D de ROBODRILL, ROBOSHOT y ROBOCUT [23, 60]. No es consejero, por lo que no se publican su participación ni su retribución.</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anual al presentar resultados (COVID-19); solo la del primer semestre: ventas 197.900 y beneficio operativo 18.900 M JPY [7]. Primera guía anual en octubre de 2020: ventas 502.500, beneficio operativo 85.400 y beneficio neto 71.800 M JPY [72]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ventas 230.411 y beneficio operativo 32.321 M JPY [72]. Año: ventas 551.287, beneficio operativo 112.514 y beneficio neto 94.012 M JPY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657.100, beneficio operativo 148.400 y beneficio neto 120.500 M JPY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733.008, beneficio operativo 183.240 y beneficio neto 155.273 M JPY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825.500, beneficio operativo 197.300 y beneficio neto 166.200 M JPY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851.956, beneficio operativo 191.359 (un 3 % por debajo) y beneficio neto 170.587 M JPY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819.500, beneficio operativo 156.300 y beneficio neto 137.100 M JPY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795.274, beneficio operativo 141.919 (un 9 % por debajo) y beneficio neto 133.159 M JPY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746.400, beneficio operativo 121.000 y beneficio neto 107.300 M JPY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797.129, beneficio operativo 158.846 y beneficio neto 147.557 M JPY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anual en abril de 2025 (la empresa dijo que no podía calcularla razonablemente); primera guía el 25-7-2025: ventas 807.000, beneficio operativo 159.500 y beneficio neto 143.000 M JPY [2, 74]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857.831, beneficio operativo 183.763 y beneficio neto 166.543 M JPY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inicial de abril de 2026: ventas 909.600, beneficio operativo 212.200 y beneficio neto 184.900 M JPY; subida el 31-7-2026 (948.100 / 218.000 / 198.000) y el 23-10-2026 (1.013.700 / 240.700 / 228.300) [11, 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semestre: ventas 473.708 (+1,7 % sobre la guía semestral de julio), beneficio operativo 116.662 (+11,7 %) y beneficio neto 112.576 M JPY (+12,2 %) [26]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de la casa y estable, con poca exposición personal al capital: el CEO tiene un 0,006 % y lo que acumula son acciones restringidas [24, 25]. Fanuc da guía anual y semestral y la revisa cada trimestre, pero no la dio al presentar resultados en 2020 (COVID) ni en abril de 2025 [2, 7]. Contra la guía inicial batió en cuatro de seis años y falló en FY2023, con el beneficio operativo un 9 % por debajo [3, 4]. Para FY2026 subió la guía de beneficio operativo en julio (de 212.200 a 218.000 M JPY) y otra vez el 23-oct (a 240.700 M), tras batir en un 11,7 % la del primer semestre [11, 26]. El patrón es una guía prudente que se sube con el año: la de octubre supone el yen a 150 por dólar en el segundo semestre, frente a 159,37 en el primero [26]. El único relevo de cúpula fue la salida en junio de 2025 de Yoshiharu Inaba, presidente del consejo desde 2016 y CEO de 2003 a 2016; la presidencia pasó a un externo [31, 73]. La sucesión la lleva la Comisión de Nombramientos y Retribuciones, sin plan publicado [59].</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Kenji Yamaguchi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ejecutivo y CEO (President and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Ryuji Sasuga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Senior Managing Officer y director financiero (CFO)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J. Cicco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y CEO de FANUC America Corporation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Hiroto Uozumi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Naoko Yamazaki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Yoko Takeda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Toshiya Okada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miembro a tiempo completo del Comité de Auditoría y Supervisión (ex directivo de la casa)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Auditoría y Supervisión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Hidetoshi Yokoi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independiente (catedrático emérito de la Universidad de Tokio)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Auditoría y Supervisión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Mieko Tomita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 independiente (abogada, Nishi &amp; Partners)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Auditoría y Supervisión; 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Shigeo Igashima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externo independiente (auditor de cuentas y asesor fiscal)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Comité de Auditoría y Supervisión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Toshiya Okada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nominal (fondos de pensiones e índices japoneses)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218,49 M de acciones a 31-3-2026; es un registro de custodia, no un inversor único [24, 59]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nominal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96,28 M de acciones a 31-3-2026 [59]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Nomura Asset Management (con Nomura Securities)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(informe de gran participación)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8,30 % al 9,26 % (más 0,11 % de Nomura Securities) según el informe de cambio a 15-5-2026; la empresa no lo incluye entre los diez primeros porque no puede confirmar la titularidad real [59, 77]. Porcentaje sobre acciones emitidas (con autocartera) según los informes de gran participación; estas acciones suelen estar registradas a nombre de los custodios, así que se solapan con las dos primeras filas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(grupo, varias entidades)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(informe de gran participación)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informe de gran participación a 31-5-2023; la suma de las trece entidades del grupo da un 8,3 % (estimación propia sumando los porcentajes declarados). No hay informes posteriores [77]. Porcentaje sobre acciones emitidas (con autocartera) según los informes de gran participación; estas acciones suelen estar registradas a nombre de los custodios, así que se solapan con las dos primeras filas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Amova Asset Management y Sumitomo Mitsui Trust Asset Management (codetentores)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Gestoras de fondos (informe de gran participación)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4,13 % y 2,96 % según el informe de cambio a 15-9-2025 (antes 3,86 % y 2,92 %) [77]. Porcentaje sobre acciones emitidas (con autocartera) según los informes de gran participación; estas acciones suelen estar registradas a nombre de los custodios, así que se solapan con las dos primeras filas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Citibank N.A. - NY, depositario de los ADR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Depositario de ADR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27,71 M de acciones a 31-3-2026 [59]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57,36 M de acciones a 30-9-2026 (5,84 % del capital emitido de 982,27 M), tras comprar 8,27 M entre julio y el 17-9-2026 por 50.011 M JPY [26, 67]; la política es amortizar cada año lo que supere el 5 %: 13,04 M de acciones amortizadas en mayo de 2025 y 0,11 M en mayo de 2026 [68, 69]. El 23-10-2026 aprobó otra recompra de hasta 10 M de acciones (1,08 %) o 50.000 M JPY, en mercado, del 26-10-2026 al 30-4-2027 [26, 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ejecutivos cobran fijo, un bonus anual en efectivo y acciones restringidas que no pueden vender hasta dejar la empresa [59]. El bonus se ancla al beneficio neto del año anterior, con techo en el 0,7 % de ese beneficio: el 80 % se modula con el margen ordinario y el ROE, y el 20 % con compromiso de la plantilla, puntuación ESG y emisiones [59]. </w:t>
      </w:r>
      <w:r>
        <w:rPr>
          <w:b/>
        </w:rPr>
        <w:t xml:space="preserve">No hay objetivo de beneficio</w:t>
      </w:r>
      <w:r>
        <w:t xml:space="preserve">: la empresa dice que el bonus no depende de cumplir ninguno [59]. Las acciones restringidas (hasta 350 M JPY al año) no llevan métricas de desempeño; en agosto de 2026 se entregaron 7.840 a tres consejeros [59, 75]. Hay recuperación de acciones por conducta indebida [59]. En FY2025 el CEO cobró 366 M JPY y Michael J. Cicco 420 M [25]. La junta no vota la retribución desde 2021 [59, 61, 62, 63].</w:t>
      </w:r>
    </w:p>
    <w:p>
      <w:pPr>
        <w:pStyle w:val="Heading2"/>
      </w:pPr>
      <w:r>
        <w:t xml:space="preserve">Operaciones vinculadas, estructura de control y defensas</w:t>
      </w:r>
    </w:p>
    <w:p>
      <w:pPr>
        <w:spacing w:after="100"/>
      </w:pPr>
      <w:r>
        <w:t xml:space="preserve">Fanuc no tiene accionista de control ni matriz, y los extranjeros superan el 30 % [59]. Los dos primeros accionistas son custodios nominales (Master Trust Bank, 23,4 %; Custody Bank, 10,3 %), no inversores con voto unitario [59]. Una sola clase de acciones, sin blindajes ni píldoras; los consejeros se eligen cada año y los del Comité de Auditoría cada dos [25, 59]. Ningún activista aparece en los informes de gran participación de 2023-2026, solo gestoras [77]; en el diálogo de FY2025 los accionistas preguntaron por la caja, el coste del capital y el ROE [73]. Las participaciones cruzadas suman 11 cotizadas por 51.839 M JPY (31.877 M un año antes, por precio), sin ventas en FY2025; la mayor es Fuji Electric (28.399 M), que también es accionista de Fanuc [25]. No constan operaciones vinculadas relevantes [59].</w:t>
      </w:r>
    </w:p>
    <w:p>
      <w:pPr>
        <w:pStyle w:val="Heading2"/>
      </w:pPr>
      <w:r>
        <w:t xml:space="preserve">Señales de alerta</w:t>
      </w:r>
    </w:p>
    <w:p>
      <w:pPr>
        <w:pStyle w:val="ListParagraph"/>
        <w:numPr>
          <w:ilvl w:val="0"/>
          <w:numId w:val="2"/>
        </w:numPr>
        <w:spacing w:after="60"/>
      </w:pPr>
      <w:r>
        <w:t xml:space="preserve">Pruebas de compatibilidad electromagnética no conformes en ROBOCUT para Europa: en abril de 2024 se suspendieron los envíos a Europa y se creó una comisión de investigación externa; el informe (noviembre-diciembre de 2024) confirmó la mala conducta y los envíos se reanudaron en julio-agosto de 2024 con medidas correctoras. La respuesta: proyecto de prevención liderado por el presidente y una División de Gestión de Calidad independiente desde abril de 2025 con poder para parar envíos [32, 71].</w:t>
      </w:r>
    </w:p>
    <w:p>
      <w:pPr>
        <w:pStyle w:val="ListParagraph"/>
        <w:numPr>
          <w:ilvl w:val="0"/>
          <w:numId w:val="2"/>
        </w:numPr>
        <w:spacing w:after="60"/>
      </w:pPr>
      <w:r>
        <w:t xml:space="preserve">El consejero del Comité de Auditoría Toshiya Okada, ex directivo de la casa, recibió un 9,7 % de votos en contra en la junta de 2025 (90,1 % a favor), el peor resultado individual de las tres últimas juntas [62].</w:t>
      </w:r>
    </w:p>
    <w:p>
      <w:pPr>
        <w:pStyle w:val="ListParagraph"/>
        <w:numPr>
          <w:ilvl w:val="0"/>
          <w:numId w:val="2"/>
        </w:numPr>
        <w:spacing w:after="60"/>
      </w:pPr>
      <w:r>
        <w:t xml:space="preserve">El voto a favor del presidente Yamaguchi fue del 95,3 % en 2024 y del 95,8 % en 2025, y subió al 99,3 % en 2026; el del entonces presidente del consejo Yoshiharu Inaba fue del 93,4 % en 2024, antes de su salida en 2025 [61, 62, 63].</w:t>
      </w:r>
    </w:p>
    <w:p>
      <w:pPr>
        <w:pStyle w:val="ListParagraph"/>
        <w:numPr>
          <w:ilvl w:val="0"/>
          <w:numId w:val="2"/>
        </w:numPr>
        <w:spacing w:after="60"/>
      </w:pPr>
      <w:r>
        <w:t xml:space="preserve">El bonus de los consejeros no tiene objetivo de beneficio y el incentivo en acciones no tiene métricas de desempeño: la retribución variable no premia de forma explícita el rendimiento sobre el capital [59].</w:t>
      </w:r>
    </w:p>
    <w:p>
      <w:pPr>
        <w:pStyle w:val="ListParagraph"/>
        <w:numPr>
          <w:ilvl w:val="0"/>
          <w:numId w:val="2"/>
        </w:numPr>
        <w:spacing w:after="60"/>
      </w:pPr>
      <w:r>
        <w:t xml:space="preserve">Las participaciones cruzadas (51.839 M JPY) no se redujeron en FY2025 pese a la política declarada de reducir las de «significado tenue» [25, 59].</w:t>
      </w:r>
    </w:p>
    <w:p>
      <w:pPr>
        <w:pStyle w:val="ListParagraph"/>
        <w:numPr>
          <w:ilvl w:val="0"/>
          <w:numId w:val="2"/>
        </w:numPr>
        <w:spacing w:after="60"/>
      </w:pPr>
      <w:r>
        <w:t xml:space="preserve">Nomura Asset Management ha ido subiendo su participación hasta el 9,26 % (mayo de 2026); es una gestora de fondos, no un activista declarado. No hay informes de gran participación nuevos entre el 15-5-2026 y el 23-10-2026 [59, 77].</w:t>
      </w:r>
    </w:p>
    <w:p>
      <w:pPr>
        <w:pStyle w:val="ListParagraph"/>
        <w:numPr>
          <w:ilvl w:val="0"/>
          <w:numId w:val="2"/>
        </w:numPr>
        <w:spacing w:after="60"/>
      </w:pPr>
      <w:r>
        <w:t xml:space="preserve">Auditor externo: Ernst &amp; Young ShinNihon LLC firma las cuentas de FY2025 [24]; no consta rotación reciente del auditor en los documentos revisados.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Previsión de Fanuc para FY2026 (abr-2026 a mar-2027), subida por segunda vez el 23-oct-2026: ventas de 1.013.700 M JPY (antes 948.100; +6,9 %), beneficio de explotación de 240.700 M (antes 218.000; +10,4 %), beneficio ordinario de 308.800 M (antes 271.200; +13,9 %) y beneficio neto atribuido de 228.300 M (antes 198.000; +15,3 %), BPA de 246,01 JPY [26]. Supone 150 JPY/USD y 175 JPY/EUR de octubre a marzo, frente a 159,37 y 184,35 de media en el 1S [27]. La guía implica para el 2S ventas de 539.992 M (+19,9 %) y un margen operativo del 23,0 %, por debajo del 24,6 % del 1S. La de julio ya había subido la inicial de abril (909.600 / 212.200 / 184.900) [26]. Fanuc no publica objetivos a medio plazo. La guía nueva va por delante del consenso previo: IFIS daba el 23-oct ventas de 969.300 M, BE de 225.500 M y beneficio ordinario de 279.700 M [82].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969.483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consultado el 26-oct-2026, columna «2027» (ejercicio a mar-2027); cifras sin cambios desde el 7-oct: aún no recogen la guía del 23-oct [79]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1.035.109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columna «2028» (ejercicio a mar-2028), sin actualizar tras el 23-oct [79]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1.092.417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317.961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268.778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columna «2029» (ejercicio a mar-2029), sin actualizar tras el 23-oct [79]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1.020.819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969.483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293.996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276.885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1.071.860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1.035.109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312.983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298.566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1.104.016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1.092.417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320.165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317.961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10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7.256,70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4.900,00 – 8.700,00</w:t>
            </w:r>
          </w:p>
        </w:tc>
      </w:tr>
    </w:tbl>
    <w:p>
      <w:pPr>
        <w:spacing w:after="160" w:before="0"/>
      </w:pPr>
    </w:p>
    <w:p>
      <w:pPr>
        <w:pStyle w:val="Heading2"/>
      </w:pPr>
      <w:r>
        <w:t xml:space="preserve">Revisiones de estimaciones</w:t>
      </w:r>
    </w:p>
    <w:p>
      <w:pPr>
        <w:spacing w:after="100"/>
      </w:pPr>
      <w:r>
        <w:t xml:space="preserve">Tras los resultados, MarketScreener sigue con las estimaciones del 7-oct (sin la guía nueva) [79] y Stock Analysis con las del 4-sep [81]: no hay una fuente gratuita con el consenso de BPA ya revisado. IFIS (Kabuyoho) daba el 23-oct un beneficio ordinario de FY2026 de 279.700 M (277.226 M una semana antes y 278.217 M cuatro semanas antes), un 9,4 % por debajo de la guía nueva [82]. Investing recoge 19 recomendaciones (8 comprar, 10 mantener, 1 vender) y un objetivo medio de 7.256,7 JPY (máx. 8.700, mín. 4.900) [80]. Movimientos de objetivo: en agosto, UBS (7.060) y Citi (7.000) bajaron a neutral [80]; el 26-oct, Macquarie bajó de 8.000 a 7.300 (sobreponderar) [84], un bróker japonés mediano de 7.500 a 6.400 (B+) [83] y Goldman Sachs subió de 4.600 a 4.900 (vender) [85]. La tendencia de los objetivos en tres meses es a la baja aunque suban los beneficios: el mercado ha bajado el múltiplo del sector.</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un año la acción ha dado un 18,1 % (rentabilidad total), por detrás del 25,1 % del TOPIX, y en 2026 pierde un 5,2 % frente al +19,3 % del índice [78]. La explicación no está en las cuentas, que mejoran, sino en dos movimientos: la euforia de la «IA física» llevó la acción a 8.880 JPY en mayo (+40,8 % en un mes, con la alianza con Google y objetivos subidos) [123, 127], y la caída del 14,3 % del 3-ago por el temor a los componentes, más la venta del sector de IA y semiconductores de octubre, la devolvieron a 5.639 JPY [121, 122]. Los resultados del 23-oct contestaron al temor de agosto (margen del 26,0 % en el 2T y guía subida) y la acción subió solo un 0,9 % el 26-oct [28, 78]. Beta de 1,46 frente al TOPIX y volatilidad del 52,6 %: es una de las acciones más volátiles del índice. No hay posiciones cortas declaradas por encima del 0,5 % [89].</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 / -18,0 % / -9,5 % / +19,6 %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-33,1 % / +26,7 %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2027-01-26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un mes hasta el 12-may: resultados de FY2025 con guía de dos cifras y recompra de 50.000 M (+16,0 % el 27-abr) [126], un bróker japonés sube el objetivo a 8.500 JPY [127] y alianza con Google en IA física (máximo histórico de 8.880 JPY el 14-may) [123].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Ocho sesiones de −5 % a −6,8 % (2, 8, 10 y 23-jun; 7, 8, 17 y 28-jul): volatilidad del bloque de IA y semiconductores que movía el Nikkei (SoftBank Group, Tokyo Electron) [129], recogida de beneficios tras las noticias de IA física (inversión público-privada del 22-jun, alianza con Fujitsu del 16-jul) [128, 131] y la rebaja de Morgan Stanley MUFG a neutral el 6-jul [130]. Ninguna trae un hecho nuevo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beneficio operativo por debajo del consenso, subida de la guía escasa y temor a un problema de aprovisionamiento de componentes [21, 122]. La mayor caída de un mes en seis meses (−16,8 % hasta el 4-ago). Los resultados del 2T lo contestan: margen operativo del 26,0 % y coste de ventas plano con un 5 % más de ventas [26,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del sector de IA y semiconductores en Tokio (dudas de crédito en centros de datos y ventas de fondos CTA), sin noticia de la empresa [121].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FY26: ventas +16,2 %, beneficio operativo +35,7 %, pedidos récord en el 2T (306,0 mil M, +49 %); guía de FY2026 subida por segunda vez (beneficio operativo 240.700 M, +10,4 %), recompra de hasta 50.000 M desde el 26-oct y dividendo a cuenta de 72,54 JPY [26, 27]. La acción subió un 0,9 % el 26-oct [132].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Macquarie mantiene sobreponderar y baja el objetivo de 8.000 a 7.300 JPY; Goldman Sachs mantiene vender y sube el objetivo de 4.600 a 4.900; un bróker japonés mediano baja de 7.500 a 6.400 [83, 84, 85]. En agosto UBS y Citi bajaron a neutral [80]. Objetivo medio de 19 analistas: 7.256,7 JPY [80].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Morgan Stanley MUFG rebaja de sobreponderar a neutral con el objetivo subido de 7.000 a 7.500 JPY [130].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Nomura Asset Management sube su participación hasta el 9,26 %; es una gestora de fondos, sin intención activista declarada, y no hay informes de gran participación nuevos hasta el 23-oct [77].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de ABB Robotics por SoftBank, aprobada por la UE el 11-mar, sigue sin cerrar: un competidor con un dueño dispuesto a invertir en robótica con IA [57].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2027-01-26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 FY2026, fecha estimada (los del 3T FY25 salieron el 26-ene-2026; Fanuc aún no la ha anunciado) [86].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un 33 % por debajo del máximo de mayo y en tendencia bajista (13,9 % bajo la media de 200 sesiones), pero ninguna caída se explica por un hecho de la empresa que siga abierto: la de agosto (componentes) la contestaron los resultados del 23-oct, y las demás vienen del bloque de IA y semiconductores. No hay ampliaciones, colocaciones ni ventas de directivos (Japón no publica estas últimas como registro). Lo pendiente con efecto en el precio es positivo (recompra de hasta 50.000 M desde el 26-oct) o lejano (resultados hacia el 26-ene-2027, a tres meses). El crédito comprador alto (19,7 veces) puede frenar las subidas a corto plazo [28].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Por primera vez en años, Fanuc cotiza por debajo de su propia historia: 15,2x EV/EBITDA y 26,4x PER de los últimos 12 meses, frente a medianas de diez años de 17,1x y 29,2x (percentiles 10 y 20, descuentos del 11 % y el 10 %). El 7-oct estaba en el percentil 80. No es que la acción se haya abaratado por un problema: el beneficio de los últimos doce meses sube con el semestre récord y el precio ha caído un 33 % desde el máximo de mayo. Lo estructural sigue igual: el bono japonés a 10 años rinde un 2,837 % [88], cuando al cierre de marzo rindió entre −0,05 % y 0,39 % de 2016 a 2023 [125]. Un PER de 26x con el bono por encima del 2,5 % sigue implicando una prima de riesgo menor que la de la década pasada.</w:t>
      </w:r>
    </w:p>
    <w:p>
      <w:pPr>
        <w:pStyle w:val="Heading1"/>
      </w:pPr>
      <w:r>
        <w:t xml:space="preserve">18. Comparables cotizados</w:t>
      </w:r>
    </w:p>
    <w:p>
      <w:pPr>
        <w:pStyle w:val="Confianza"/>
        <w:spacing w:after="100"/>
      </w:pPr>
      <w:r>
        <w:t xml:space="preserve">Confianza: Media</w:t>
      </w:r>
    </w:p>
    <w:p>
      <w:pPr>
        <w:spacing w:after="100"/>
      </w:pPr>
      <w:r>
        <w:t xml:space="preserve">Hechos de método: los mismos ocho comparables del 7-oct, llevados al cierre del 26-oct-2026 (Siemens y Rockwell, 23-oct) [107]. Capitalización = la de Stock Analysis del 7-oct × (precio de hoy ÷ precio del 7-oct); valor empresa = el del 7-oct más la variación de la capitalización (sin balances nuevos publicados entre las dos fechas) [92, 94, 96, 98, 100, 102, 104, 106]. Ventas, EBITDA y BPA de los últimos y próximos 12 meses del mismo proveedor, MarketScreener; Yaskawa releída el 26-oct tras su semestre, el resto sin resultados nuevos [91, 93, 95, 97, 99, 101, 103, 105]. Conversión con el BCE del 23-oct-2026: 175,51 JPY/EUR y 156.8 JPY/USD (cruce con 1,1193 USD/EUR) [87]. LTM = último ejercicio cerrado (marzo de 2026 en las japonesas, febrero de 2026 en Yaskawa, 2025 en Nabtesco) y, en Siemens y Rockwell (ejercicio a septiembre), la estimación del ejercicio que acaba de cerrar. NTM = oct-2026 a sep-2027, ponderando los dos ejercicios estimados por meses (marzo: 6/12 y 6/12; Yaskawa: 5/12 y 7/12; Nabtesco: 3/12 y 9/12; Siemens y Rockwell: el ejercicio a sep-2027). Crecimiento = NTM sobre LTM anualizado por los meses entre el fin de cada periodo. Al valor empresa de Keyence se le restan 1.618.699 M de inversiones a largo plazo y al de SMC 77.140 M [108, 109]. ROIC y rentabilidad por FCF, de Stock Analysis (la rentabilidad por FCF, ajustada al precio nuevo); DN/EBITDA = deuda neta de Stock Analysis entre EBITDA LTM de MarketScreener. Rockwell: BPA ajustado de MarketScreener.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Fanuc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5.215.590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Yaskawa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1.030.004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Keyence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18.755.683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3.887.398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Nabtesco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485.248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Harmonic Drive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481.853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Mitsubishi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9.614.138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34.713.626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Rockwell Automation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7.419.007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 / 13,1x / 19,2x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5.395,32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7.326,82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262.789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 / 16,1x / 23,6x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5.156,14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5.887,76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8.011,58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 / 20,1x / 29,9x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4.173,80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923.971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3,3x / 6,2x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3.236,42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4.590,04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7.484,59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11,0 + 0,28 × crecimiento; R² = 0,10. El crecimiento explica poco los múltiplos de estos comparables (R² &lt; 0,3): la regresión no se usa en la valoración.</w:t>
      </w:r>
    </w:p>
    <w:p>
      <w:pPr>
        <w:spacing w:after="100"/>
      </w:pPr>
      <w:r>
        <w:t xml:space="preserve">Fanuc cotiza a 13,8x EV/EBITDA y 24,5x PER de los próximos 12 meses, frente a medianas de 13,1x y 20,1x de los ocho comparables: prima del 5 % por EV/EBITDA y del 22 % por PER. El PER pesa más que el EV/EBITDA porque Fanuc tiene un 15 % de su capitalización en caja y sus participadas chinas ganan fuera del EBIT. Por margen (EBITDA del 28,4 % en los últimos doce meses) y ROIC (12,1 %) solo la supera Keyence, y Rockwell en ROIC [91, 92, 93, 94, 95, 96, 97, 98, 99, 100, 101, 102, 103, 104, 105, 106]. Su crecimiento esperado está en la mediana del grupo. Los comparables también han caído (un 5-23 % desde el 7-oct) con la venta del sector de IA y semiconductores [107]. La regresión múltiplo-crecimiento no explica nada (R² de 0,10). Las medianas dan 5.395,32 JPY (EV/EBITDA) y 4.634,99 JPY (PER); con Keyence fuera, la mediana bajaría. Una prima sobre Yaskawa se justifica; una del 22 % por PER con el ciclo en máximos de pedidos, no.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 Robotics (robots industriales de ABB)</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SoftBank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total de 5.375 M USD por el 100 %; ventas de 2.279 M USD y EBITDA de 313 M USD en 2024 (US GAAP, pro forma, sin auditar; con el EBITA operativo de 277 M USD, 19,4x) [50]. Aprobada por la UE el 11-mar-2026; a 24-oct seguía pendiente de China y EE. UU. [57].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Hillenbrand (maquinaria de procesado y de inyección, Milacron)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Lone Star Funds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595.840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32,00 USD por acción, valor empresa ≈ 3.800 M USD; prima del 37 % sobre el cierre no afectado del 12-ago-2025 [110]. Múltiplos sobre ventas de 2.673,8 M USD y EBITDA ajustado de 388,0 M USD del ejercicio a sep-2025 [111].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Altair Engineering (software de simulación)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113 USD por acción, valor empresa ≈ 10.000 M USD, prima del 19 % [112]. La nota da unas ventas de ≈ 600 M EUR; el EV/ventas usa 1,0815 USD/EUR del BCE del 30-oct-2024 [51]. Software, no equipos: múltiplo de otra naturaleza.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National Instruments (NI, test y medida)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Emerson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 USD por acción, valor de las acciones de 8.200 M USD (no publica valor empresa ni EBITDA); ventas de 1.660 M USD en 2022; prima del 49 % sobre el cierre del 12-ene-2023 [113].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Makino Milling Machine (máquina herramienta)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Nidec (OPA hostil, retirada)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Nidec lanzó la OPA el 4-abr-2025 y la retiró el 9-may-2025, tras la emisión gratuita de derechos de suscripción que Makino aprobó como defensa [114]. Precio y prima no verificados en documento original.</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dicen poco del valor de Fanuc. La única comparable es la compra de ABB Robotics por SoftBank (5.375 M USD; 2,36x ventas y 17,2x EBITDA de 2024), aprobada por la UE y pendiente de cierre a 24-oct-2026 [50, 57]: queda por encima del 13,8x EBITDA NTM al que cotiza hoy Fanuc, pero es un negocio de robots con márgenes menores y sin CNC. Hillenbrand (9,8x EBITDA) es maquinaria de proceso; Altair, software, queda excluida [110, 112]. Con tan pocas operaciones y tan distintas, peso cero. Fanuc no es un objetivo plausible: capitalización de 5,2 billones de JPY, capital disperso sin accionista de control y una caja que encarecería aún más la operación [77].</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+19 %, fijo: dos trimestres publicados (+16,2 % en el 1S) y una guía subida dos veces que pide +18,2 % con el yen a 150 en el 2S; lo dejamos algo por encima porque el yen está cerca de 157 y la cartera de pedidos del 1S (book-to-bill de 1,24) da visibilidad [26, 27]. FY2027e +5 % y FY2028e +3 %, por debajo del consenso previo a los resultados (+6,8 % y +5,5 %) porque parte de los pedidos son adelantados [21, 79]. FY2029e −7 %: Fanuc ha tenido una caída cada tres o cuatro años (FY2018-FY2019, −12,5 % y −20 %; FY2023, −6,7 %) y el base la incluye, más suave. Después, del 6,5 % al 2,5 %. Crecimiento medio de la proyección: 4,5 % anual, frente al 5,3 % de la última década.</w:t>
      </w:r>
    </w:p>
    <w:p>
      <w:pPr>
        <w:keepNext/>
        <w:spacing w:after="100"/>
      </w:pPr>
      <w:r>
        <w:rPr>
          <w:b/>
          <w:bCs/>
        </w:rPr>
        <w:t xml:space="preserve">Márgenes.</w:t>
      </w:r>
    </w:p>
    <w:p>
      <w:pPr>
        <w:spacing w:after="100"/>
      </w:pPr>
      <w:r>
        <w:t xml:space="preserve">Margen EBITDA del 28,8 % en FY2026e: la guía de margen operativo (23,7 %) más una amortización del 4,7 %, algo por encima por la divisa; el 1S dio un 24,6 % de margen operativo [26]. 29,2 % y 29,0 % en FY2027e-FY2028e, en línea con el consenso previo (28,6-29,1 %) [79]. En la caída de FY2029e baja al 26,5 % (en FY2019 fue del 26,4 % y en FY2023 del 24,0 %) y a largo plazo queda en el 28,5 %, la mediana de FY2016-FY2025. No proyectamos el 26 % de margen operativo del 2T como permanente ni la vuelta al 32-36 % de EBITDA de FY2016-FY2018 [1, 9].</w:t>
      </w:r>
    </w:p>
    <w:p>
      <w:pPr>
        <w:keepNext/>
        <w:spacing w:after="100"/>
      </w:pPr>
      <w:r>
        <w:rPr>
          <w:b/>
          <w:bCs/>
        </w:rPr>
        <w:t xml:space="preserve">Inversión y circulante.</w:t>
      </w:r>
    </w:p>
    <w:p>
      <w:pPr>
        <w:spacing w:after="100"/>
      </w:pPr>
      <w:r>
        <w:t xml:space="preserve">Capex del 4,0 % de las ventas en FY2026e (el del 1S) y del 9,0 % desde FY2027e, la media de FY2016-FY2025 (9,4 %, entre el 2,5 % y el 19,7 %) [1, 4, 7, 9]: la prueba de sostenibilidad del 13-oct mostró que con un capex por debajo de la amortización el capital nuevo habría rendido un 49 %, frente a un ROIC incremental del 3,9 %. La dirección anunció más capacidad para FA [21]. Circulante: el nivel real a 30-sep-2026, el 44,0 % de las ventas de los últimos doce meses [26], que sube al 45 % (46,5 % en la caída de FY2029e); cada 100 JPY de ventas nuevas inmovilizan unos 45 JPY. Tipo impositivo del 28 %.</w:t>
      </w:r>
    </w:p>
    <w:p>
      <w:pPr>
        <w:keepNext/>
        <w:spacing w:after="100"/>
      </w:pPr>
      <w:r>
        <w:rPr>
          <w:b/>
          <w:bCs/>
        </w:rPr>
        <w:t xml:space="preserve">Coste del capital.</w:t>
      </w:r>
    </w:p>
    <w:p>
      <w:pPr>
        <w:spacing w:after="100"/>
      </w:pPr>
      <w:r>
        <w:t xml:space="preserve">Sin deuda, el WACC es el coste de los fondos propios: 9,06 %. Tasa libre: bono japonés a 10 años del 2,837 % el 23-oct-2026, el último publicado por el Ministerio de Finanzas (3,103 % el 6-oct) [88]. Beta de 1,21: la semanal de cinco años de la propia acción frente al ETF del TOPIX (1,32), ajustada con Blume; sin deuda no hay que reapalancar [78]. La mensual de 60 meses es 1,46 y la semanal de dos años 1,60: con 1,46 el WACC sería del 10,3 %. Prima de mercado del 5,14 % para Japón (Damodaran, enero de 2026) [90]. Sin prima adicional.</w:t>
      </w:r>
    </w:p>
    <w:p>
      <w:pPr>
        <w:keepNext/>
        <w:spacing w:after="100"/>
      </w:pPr>
      <w:r>
        <w:rPr>
          <w:b/>
          <w:bCs/>
        </w:rPr>
        <w:t xml:space="preserve">Valor terminal.</w:t>
      </w:r>
    </w:p>
    <w:p>
      <w:pPr>
        <w:spacing w:after="100"/>
      </w:pPr>
      <w:r>
        <w:t xml:space="preserve">Crecimiento a perpetuidad del 2,0 % en yenes: crecimiento real cercano al 0,5 % más una inflación esperada del 1,5 %, coherente con un bono al 2,8 %. El último año lleva el capex del 9 %, prudente para crecer un 2 %. El múltiplo de salida de 13x (contraste) está en la mediana NTM de los comparables (13,1x); el Gordon implica 6,0x, y el múltiplo de 13x implicaría un crecimiento perpetuo del 5,68 %, imposible en yenes. Usamos Gordon.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1.020.819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293.996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1.071.860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312.983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1.104.016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1.093.472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327.222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1.194.072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340.310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352.221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1.272.940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362.788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1.304.764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371.858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154.620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71.297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2.235.030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4.834.149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855.976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986.880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1.842.856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787.085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427.684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3.057.625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3.305,85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3.761,12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3.915,95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3.287,38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3.561,65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3.685,98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3.392,85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3.494,21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3.111,93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3.331,89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3.122,83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3.192,73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3.241,35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3.295,39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3.431,10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3.494,82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3.566,80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3.621,56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3.702,51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572.117 M (30 %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(ROIC 12,1 %)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 frente al 4,5 %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 (histórico: 3,9 %)</w:t>
            </w:r>
          </w:p>
        </w:tc>
      </w:tr>
    </w:tbl>
    <w:p>
      <w:pPr>
        <w:spacing w:after="160" w:before="0"/>
      </w:pPr>
    </w:p>
    <w:p>
      <w:pPr>
        <w:spacing w:after="100"/>
      </w:pPr>
      <w:r>
        <w:t xml:space="preserve">La proyección reinvierte el 30 % del NOPAT. Con el ROIC del último ejercicio (12,1 %), eso financia un crecimiento del 3,6 % anual, frente al 4,5 % de ingresos proyectado. Supone que el capital nuevo rinde un 14,5 %, frente a un ROIC incremental histórico del 3,9 %.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pedidos del 1S +43,0 % y book-to-bill de 1,26 en el 2T [27]. Precio: traslado parcial del coste de los componentes. Otros: divisa, el yen a 159,37 por dólar en el 1S frente a unos 146 un año antes, y a 150 en la guía del 2S [26]. Reparto entre volumen y precio, estimación propia: Fanuc no publica unidades ni precios.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por debajo del consenso previo (+6,8 %) porque parte de los pedidos son adelantados [21, 79]; divisa algo en contra si el yen se queda en 150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de la subida del ciclo, por debajo del consenso previo (+5,5 %) [79]; la IFR espera un 5,1 % anual de instalaciones de robots hasta 2028 (603.000 en 2025, 700.000 en 2028) [37].</w:t>
            </w:r>
          </w:p>
        </w:tc>
      </w:tr>
    </w:tbl>
    <w:p>
      <w:pPr>
        <w:spacing w:after="160" w:before="0"/>
      </w:pPr>
    </w:p>
    <w:p>
      <w:pPr>
        <w:spacing w:after="100"/>
      </w:pPr>
      <w:r>
        <w:t xml:space="preserve">En parte (las pruebas del motor dicen Sí; nosotros somos más prudentes). La reinversión de la proyección (30 % del NOPAT) financia un 3,6 % anual al ROIC actual, frente al 4,5 % proyectado; la diferencia la ponen el precio y la divisa de FY2026e-FY2028e. Pero la proyección supone que el capital nuevo rinde un 14,5 %, frente a un ROIC incremental del 3,9 % en la última década. El foso es real (base instalada atada por el servicio de por vida y el mayor margen del sector) [23, 43, 46] y protege el margen; no protege la inversión, y el poder de precios es limitado: traslada los componentes con retraso y pierde clientes en China por los plazos [21]. Mercado final: sin una serie fiable de cuota de Fanuc en CNC y robots, no se calcula (null); la IFR solo da instalaciones totales [36].</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(base: 2,8 %)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48,2 % (base: 28,5 %)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 (WACC: 9,1 %)</w:t>
            </w:r>
          </w:p>
        </w:tc>
      </w:tr>
    </w:tbl>
    <w:p>
      <w:pPr>
        <w:spacing w:after="160" w:before="0"/>
      </w:pPr>
    </w:p>
    <w:p>
      <w:pPr>
        <w:spacing w:after="100"/>
      </w:pPr>
      <w:r>
        <w:t xml:space="preserve">El DCF da 3.305,85 JPY por acción, un 41,4 % por debajo del precio, con el valor terminal en el 54 % del valor empresa y un rango de 3.111,93 a 3.561,65 JPY al mover WACC y crecimiento terminal medio punto. Sube desde 2.938,60 JPY (v3 del 13-oct) por tres cosas: la guía nueva de FY2026, la caja de septiembre (787.085 M) y un bono japonés 27 puntos básicos más bajo, con una beta menor (1,21 frente a 1,26). El DCF inverso es la clave: el precio de 5.639 JPY equivale a una rentabilidad anual del 5,2 %, frente al 9,06 % que exigimos, o a un margen EBITDA del 48,2 %. Ningún crecimiento razonable lo justifica, porque con el capex histórico el capital nuevo rinde poco más que el WACC. Para pagar 5.639 JPY hay que creer que el ciclo no tendrá caída, que los márgenes del 2T son los normales y que crecer no pedirá fábricas, o aceptar una rentabilidad cercana al 5 %.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récord del 1S FY26 (587,9 mil M, +43,0 %) resultan ser en buena parte adelantados por los plazos de entrega, como admitió la dirección en julio [21, 27]: cuando los plazos se normalizan, FY2027e cae como FY2019 (ventas −20 %, margen EBIT del 17,4 %) [7]. China (26,6 % de las ventas, robots −14,3 % en el 2T) sigue pasándose a marcas locales [27, 36] y la Sección 232 encarece la exportación a EE. UU. [55]. Crecimiento 1,5 puntos por debajo del base cada año, margen 1,5 puntos menor, WACC medio punto más alto y crecimiento terminal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elevada de FY2026 se cumple con algo de holgura (ventas +19 % frente al +18,2 % de la guía, porque el yen sigue cerca de 157 por dólar y la guía supone 150 en el 2S) y el margen EBITDA queda en el 28,8-29,2 % [26]. En FY2029e llega la corrección cíclica, más suave que la de FY2019 (ventas −7 %, margen del 26,5 %), y después el crecimiento converge al 2,5 % con el margen en el 28,5 %, la mediana de diez años. El capex se queda en el 9 % de las ventas desde FY2027e, su media de diez años, porque crecer exige capacidad.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4.202,96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física» convierte las alianzas con NVIDIA, Google y Hitachi en una ola de robots fuera del automóvil y el ciclo de máquina herramienta para semiconductores, servidores y humanoides se alarga: los pedidos de FA del 2T (+130 %) son el principio y no el pico [27, 53, 54, 58]. Fanuc vuelve a márgenes de FY2021 (EBITDA del 31 %) y crece tres puntos más cada año que en el base; WACC medio punto menor y crecimiento terminal del 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JPY) · precio actual 5.63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3.378,87 JPY (-40,1 %).</w:t>
      </w:r>
    </w:p>
    <w:p>
      <w:pPr>
        <w:spacing w:after="100"/>
      </w:pPr>
      <w:r>
        <w:t xml:space="preserve">La asimetría es negativa (−0,49x): incluso el alcista (4.202,96 JPY) queda un 25,5 % por debajo del precio, y el bajista (2.700,80 JPY) pierde un 52,1 %. El bajista no es cosmético: es FY2019 repetido, con una caída de ventas del 20 % y el margen operativo en el 17,4 %, y llegó justo después del máximo de pedidos de FY2017 [7, 8, 9]; hoy los pedidos también están en máximos. El valor ponderado es de 3.378,87 JPY. Lo que el precio necesita está fuera del alcista: un margen EBITDA cercano al 48 % o una tasa de descuento de en torno al 5 %.</w:t>
      </w:r>
    </w:p>
    <w:p>
      <w:pPr>
        <w:pStyle w:val="Heading1"/>
      </w:pPr>
      <w:r>
        <w:t xml:space="preserve">22. Suma de partes</w:t>
      </w:r>
    </w:p>
    <w:p>
      <w:pPr>
        <w:pStyle w:val="Confianza"/>
        <w:spacing w:after="100"/>
      </w:pPr>
      <w:r>
        <w:t xml:space="preserve">Confianza: Alta</w:t>
      </w:r>
    </w:p>
    <w:p>
      <w:pPr>
        <w:spacing w:after="100"/>
      </w:pPr>
      <w:r>
        <w:t xml:space="preserve">Fanuc declara un único segmento: no publica resultado por división, solo ventas de FA, ROBOT, ROBOMACHINE y Servicio [26]. Sin márgenes por división, una suma de partes sería una suposición sobre otra suposición; la valoración se hace sobre el grupo.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JPY) · precio actual 5.63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7.256,70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5.395,32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7.326,82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3.111,93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3.561,65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4.202,96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3.685,36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3.903,18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5.667,20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5.015,16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spacing w:after="100"/>
      </w:pPr>
      <w:r>
        <w:rPr>
          <w:b/>
          <w:bCs/>
        </w:rPr>
        <w:t xml:space="preserve">Valor intrínseco ponderado (largo plazo):</w:t>
      </w:r>
      <w:r>
        <w:t xml:space="preserve"> 4.085,99 JPY (-27,5 % sobre 5.639,00).</w:t>
      </w:r>
    </w:p>
    <w:p>
      <w:pPr>
        <w:spacing w:after="100"/>
      </w:pPr>
      <w:r>
        <w:t xml:space="preserve">Puente a 30-sep-2026 [26]: sin deuda ni arrendamientos (JGAAP). Caja de 787.085 M (746.285 M de efectivo y depósitos más 40.800 M de valores a corto), ya después de la recompra de julio-septiembre. Pensiones netas de impuestos: 13.570 M (19.386 M al 30 %). Minoritarios a valor contable (18.676 M). </w:t>
      </w:r>
      <w:r>
        <w:rPr>
          <w:b/>
        </w:rPr>
        <w:t xml:space="preserve">Participadas</w:t>
      </w:r>
      <w:r>
        <w:t xml:space="preserve"> (Shanghai-FANUC Robotics y Beijing-FANUC Mechatronics, al 50 %): 167.210 M en libros a marzo, pero ganaron 38.783 M en los últimos doce meses (22.977 M solo en el 1S) [1, 25, 26]; las valoramos a 10x ese resultado (387.830 M), con un descuento grande frente al PER de Fanuc por ser empresas conjuntas sin control en China. Otras inversiones a largo (participaciones cruzadas y bonos): unos 72.100 M que suman valor (242.860 M de valores de inversión a largo menos unos 170.700 M de participadas estimados a septiembre; estimación propia) [26]. Pesos: DCF 40 %, comparables 45 %, escenarios 15 % y transacciones 0 %. La dispersión es grande, de 3.305,85 JPY por DCF a 5.395,32 JPY por EV/EBITDA de los comparables, y ningún método llega al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(22.8x) a mitad de camino hacia la mediana de 5 años (26.6x)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6.172,14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284,37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8.986,09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+61,6 %</w:t>
            </w:r>
          </w:p>
        </w:tc>
      </w:tr>
    </w:tbl>
    <w:p>
      <w:pPr>
        <w:spacing w:after="160" w:before="0"/>
      </w:pPr>
    </w:p>
    <w:p>
      <w:pPr>
        <w:spacing w:after="100"/>
      </w:pPr>
      <w:r>
        <w:rPr>
          <w:b/>
          <w:bCs/>
        </w:rPr>
        <w:t xml:space="preserve">Objetivo a 12 meses (ponderado):</w:t>
      </w:r>
      <w:r>
        <w:t xml:space="preserve"> 6.126,75 JPY · rentabilidad +10,9 % (base +11,7 %) · señal Mantener.</w:t>
      </w:r>
    </w:p>
    <w:p>
      <w:pPr>
        <w:spacing w:after="100"/>
      </w:pPr>
      <w:r>
        <w:t xml:space="preserve">Para comparar, con la regla v2 (historia al cierre, mismo precio): 19,4x / 22,8x / 27,1x, 1,0 %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base de FY2028e (250,90) queda un 1,9 % por debajo del consenso (255,80), y el de FY2027e (247,53) un 4,0 % por encima (237,9): el consenso es anterior a la guía del 23-oct y no la recoge. La diferencia está en el múltiplo: nuestro precio base (6.172,14) queda un 14,9 % por debajo del objetivo medio de los analistas (7.256,7), que equivale a 28,4x su BPA de FY2028e frente a nuestros 24,6x. Detalle en revision-12m-2026-10-26.md.</w:t>
      </w:r>
    </w:p>
    <w:p>
      <w:pPr>
        <w:keepNext/>
        <w:spacing w:after="100"/>
      </w:pPr>
      <w:r>
        <w:rPr>
          <w:b/>
          <w:bCs/>
        </w:rPr>
        <w:t xml:space="preserve">Del valor intrínseco al objetivo a 12 meses.</w:t>
      </w:r>
    </w:p>
    <w:p>
      <w:pPr>
        <w:spacing w:after="100"/>
      </w:pPr>
      <w:r>
        <w:t xml:space="preserve">Valor intrínseco 4.085,99 (−27,5 %) frente al objetivo a 12 meses ponderado 6.126,75 (+10,9 % con dividendo; base +11,7 %). La distancia pasa del 25 %: a un año manda la vuelta del PER (22,8x) hacia su mediana adelantada (26,6x); la tesis del valor intrínseco, que cobra la tasa y la inversión de todo el ciclo,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26-oct-2026 a 30-abr-2027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10 M de acciones (1,08 %) o 50.000 M JPY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Apoyo al precio; la de 2026 se completó en dos meses y medio [26, 76]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26-31 oct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JIMTOF 2026, feria de máquina herramienta de Tokio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 de la demanda de CNC y de los plazos de entrega del sector [124]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Resumen de preguntas y respuestas de la conferencia del 23-oct y pedidos JMTBA de octubre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pedidos récord es adelanto y qué espera la dirección del margen del 2S [21, 56]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Pendiente (2026-2027)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ABB Robotics a SoftBank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competidor con un dueño dispuesto a invertir en robótica con IA [57]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EE. UU. sobre la Sección 232 (robots y maquinaria industrial)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a la importación de robots y CNC; las Américas son el 27,1 % de las ventas [55]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Hacia el 26-ene-2027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book-to-bill baja de 1,0, confirmación de que los pedidos estaban adelantados [86]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Finales de 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FY2026 y guía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dirá si el ciclo sigue en FY2027; nueva política de retorno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adelantados: los 587,9 mil M del 1S (+43 %) se deshacen cuando se normalizan los plazos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 sobre el DCF base (bajista: 2.700,80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semiconductores, servidores y humanoides; servicio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trimestral por debajo de 1,0 o pedidos JMTBA a China en negativo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por el tipo de interés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 si el PER converge a la mediana de comparables (4.634,99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dividendo del 60 % del beneficio y PER ya por debajo de su mediana histórica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japonés a 10 años por encima del 3,5 % sin revisión al alza del BPA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pérdida de cuota frente a marcas locales y clientes que se van por plazos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por dos puntos menos de crecimiento anual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y servicio de por vida; participadas al 50 % en China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robots en China en negativo dos trimestres seguidos (−14,3 % en el 2T) [27]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componentes, aranceles y desfase en trasladar precios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por cada punto de margen EBITDA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 en CNC; segunda y tercera fuente de componentes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trimestral por debajo del 21 %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por la Sección 232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(estimación propia: arancel no trasladado sobre la parte importada de las Américas)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Montaje y servicio en EE. UU.; competidores igual de expuestos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Proclamación presidencial sobre robots y maquinaria industrial [55]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Yen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cuantificable: Fanuc no publica su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ya supone 150 JPY/USD en el 2S frente a 159,37 de media en el 1S [26]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Dólar por debajo de 145 JPY</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ociosa y ROE por debajo del coste del capital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15 % de la capitalización rinde menos del 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50.000 M en 2026 y en 2026-2027 [26]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por encima de 850.000 M en marzo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Disrupción del robot por la IA física (software abierto, humanoides, competidores con NVIDIA)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 o bajista según quién capture 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Alianzas con NVIDIA, Google, Hitachi y Fujitsu y apertura a ROS 2 [52, 53, 54]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grandes proyectos de robots en EE. UU.</w:t>
            </w:r>
          </w:p>
        </w:tc>
      </w:tr>
    </w:tbl>
    <w:p>
      <w:pPr>
        <w:spacing w:after="160" w:before="0"/>
      </w:pPr>
    </w:p>
    <w:p>
      <w:pPr>
        <w:pStyle w:val="Heading2"/>
      </w:pPr>
      <w:r>
        <w:t xml:space="preserve">Pre-mortem</w:t>
      </w:r>
    </w:p>
    <w:p>
      <w:pPr>
        <w:spacing w:after="100"/>
      </w:pPr>
      <w:r>
        <w:t xml:space="preserve">Octubre de 2029: la acción ha caído un 40 %, hasta unos 3.400 JPY. Lo que pasó: los pedidos récord del 1S FY26 (+43 %, FA +130 % en el 2T) eran, como avisó la dirección en julio, pedidos adelantados por plazos de entrega largos [21]. En el 3T FY2026 el book-to-bill bajó de 1,0; en FY2027 las ventas cayeron un 15 % y el margen operativo volvió al 18 %, como en FY2023. China siguió pasando a fabricantes locales, que ya hacían el 55 % de las instalaciones de su país [36], y las ventas de robots allí cayeron por tercer trimestre. El mercado no pagó 26 veces beneficios por una cíclica cuyo BPA creció un 3,4 % anual durante una década: el PER bajó a la mediana del sector (20x) sobre un beneficio un 20 % menor. La IA física sí llegó, pero los grandes proyectos se los repartieron SoftBank-ABB, los fabricantes chinos y los integradores con software abierto. Lo que lo habría anticipado: el book-to-bill trimestral, los pedidos JMTBA a China y las ventas de robots en China.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(desde 2023)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ESG 26,6 (medio)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(lista A, tercer año seguido)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Seguridad hídrica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(primer año)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Compromiso con proveedores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Supplier Engagement Leader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 Russell</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Componente de FTSE4Good, FTSE Blossom Japan y su índice sectorial relativo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Fanuc revisó su materialidad en noviembre de 2024 con cinco asuntos: responsabilidad de suministro, cambio climático, tecnología orientada al cliente, fiabilidad y seguridad del producto, y desarrollo de las personas [23]. Los que mueven cifras son dos. </w:t>
      </w:r>
      <w:r>
        <w:rPr>
          <w:b/>
        </w:rPr>
        <w:t xml:space="preserve">Suministro</w:t>
      </w:r>
      <w:r>
        <w:t xml:space="preserve">: una interrupción para fábricas de clientes, porque sus CNC y robots están en las líneas de producción [23]; en 2026 los plazos se alargaron y cedió clientes en China [21]. </w:t>
      </w:r>
      <w:r>
        <w:rPr>
          <w:b/>
        </w:rPr>
        <w:t xml:space="preserve">Clima</w:t>
      </w:r>
      <w:r>
        <w:t xml:space="preserve">: las emisiones del uso de sus productos (alcance 3, categoría 11) superan con mucho a las propias; las de alcance 1 y 2 fueron de 121.000 t de CO₂ [23]. Objetivos: −42 % en alcance 1 y 2 en el FY2030 frente al FY2020, neutralidad en el FY2050 y −12,3 % en la categoría 11 en el FY2030 [23]. La eficiencia energética de servos y robots es a la vez argumento comercial [1].</w:t>
      </w:r>
    </w:p>
    <w:p>
      <w:pPr>
        <w:pStyle w:val="Heading2"/>
      </w:pPr>
      <w:r>
        <w:t xml:space="preserve">Controversias</w:t>
      </w:r>
    </w:p>
    <w:p>
      <w:pPr>
        <w:spacing w:after="100"/>
      </w:pPr>
      <w:r>
        <w:rPr>
          <w:b/>
        </w:rPr>
        <w:t xml:space="preserve">ROBOCUT (2024-25)</w:t>
      </w:r>
      <w:r>
        <w:t xml:space="preserve">: el 24 de abril de 2024 Fanuc comunicó que las máquinas ROBOCUT para Europa podían haberse ensayado de forma no conforme con las normas armonizadas de la Directiva de compatibilidad electromagnética; suspendió los envíos a Europa, los reanudó con contramedidas en julio y agosto de 2024 y recibió el informe del comité especial externo el 21 de noviembre de 2024, con medidas de cumplimiento, auditoría de calidad independiente y personal [32]. No hemos encontrado sanciones asociadas ni otros litigios relevantes en sus comunicaciones de los últimos tres años [34].</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adelantados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587,9 mil M de pedidos del 1S tiene entrega más allá de seis meses, y cuál es la cartera de pedidos al 30 de septiembre?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Distingue un ciclo real de un adelanto: el bajista vale un 52,1 % menos que el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2S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guía supone un margen operativo del 23,0 % en el 2S, frente al 24,6 % del 1S y el 26,0 % del 2T? ¿Solo la divisa?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26 % del 2T es normal o un pico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cayeron un 14,3 % las ventas de robots en China en el 2T mientras FA crecía un 25,6 %? ¿Cuota perdida o aplazamiento?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26,6 % de las ventas y las marcas locales ya tienen el 55 % de su mercado de robots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nivel de caja considera necesario la dirección con 787.085 M en septiembre y recompras atadas al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15 % de la capitalización rinde menos del 1 %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Participadas chinas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explica que el resultado de Shanghai-FANUC y Beijing-FANUC pasara de 14.725 M a 22.977 M en el semestre, y cuánto reparten en dividendos?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Valoradas a 10x valen 387.830 M; a valor contable, 167.210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Sensibilidad al yen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beneficio operativo gana o pierde Fanuc por cada yen frente al dólar y al euro?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supone 150 JPY/USD y la sensibilidad no se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física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pedidos de FA del 2T (+130 %) viene de centros de datos de IA y humanoides, y cómo se cobra el software de IA física?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el precio descuenta y la empresa no lo separa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Retribución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el bonus no tiene objetivo de beneficio ni las acciones restringidas métricas de rentabilidad, con el ROE por debajo del coste del capital?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retribución variable no premia el uso del capital [59]</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Yahoo!ファイナンス, foro de 6954.T (en japonés)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Tarde del 26-oct, tras la sesión de resultados: frustración porque la acción abrió en 5.900 y cerró en 5.639 pese a la subida de la guía y la recompra («寄り天»), quejas por el aumento del crédito comprador (27 万株 más) y el mal «地合い» de la IA y los semiconductores, y a la vez muchos que compran o promedian a la baja con horizonte largo. La encuesta de la semana del propio foro da un 66 % de «comprar» y un 25 % de «vender» [115].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flujo de FANUY (ADR)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de mayo a octubre: inversores de largo plazo que acumulan por la robótica y la IA física («horizonte de por vida», balance de fortaleza), ventas aisladas en el desplome de junio y desconcierto el 3-ago («¿qué ha pasado?»); el 23-oct, «buen batido del BPA» [116].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 publicados sobre FANUY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análisis de mayo a octubre: «Positives Are Still Intact» (mayo), «Positive Momentum Across The Board» (julio), «Near-Term Headwinds Overshadow Long-Term Tailwinds» (7-oct) y «Recent Developments And Data Look Favorable» (8-oct). Solo se leen los titulares: el texto está bloqueado [117].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Yahoo!ニュース, comentarios de lectores a la noticia de resultados (Business+IT)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comentarios; el más valorado es de un accionista que llevaba tiempo en pérdidas y promedió cerca del mínimo antes de los resultados [118].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Minkabu, previsiones de inversores particulares (vía Kabutan)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fue la 5.ª con más aumento de previsiones de venta el 27-may (tras el máximo de mayo) y la 3.ª con más aumento de previsiones de compra el 4-ago, al día siguiente de la caída del 14,3 %: el particular compra las caídas [119, 120].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acción no sube pese a resultados récord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el hecho: con pedidos récord de 306,0 mil M y guía de BE +10,4 %, la acción subió solo un 0,9 % el 26-oct [28]. La explicación está en el mercado, no en la empresa: el Nikkei cayó tres días seguidos por la venta de IA y semiconductores [121]. El informe no ve en ello una señal sobre el negocio.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Crédito comprador elevado y «mal equilibrio de oferta y demanda»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Relación de crédito de 19,7 veces según Kabutan [28]: hay mucho comprador a crédito esperando salir en las subidas. Es un factor de corto plazo que el informe no usa en la valoración; sí explica por qué la acción no recoge enseguida los resultados.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Problema de componentes y márgenes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temor del 3-ago (caída del 14,3 %) se disipa con el margen operativo del 26,0 % del 2T [27, 122]. Los foros lo dan por cerrado antes que el informe, que mantiene un margen EBITDA a largo plazo del 28,5 % y no el del 2T.</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física y robótica como tendencia de décadas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tesis de casi todos los particulares de largo plazo. Las alianzas existen (NVIDIA, Google, Hitachi) [123], pero el informe no encuentra todavía ventas atribuibles a la IA física, y en China las marcas locales ya hacen el 55 % de las instalaciones de robots.</w:t>
            </w:r>
          </w:p>
        </w:tc>
      </w:tr>
    </w:tbl>
    <w:p>
      <w:pPr>
        <w:spacing w:after="160" w:before="0"/>
      </w:pPr>
    </w:p>
    <w:p>
      <w:pPr>
        <w:spacing w:after="100"/>
      </w:pPr>
      <w:r>
        <w:t xml:space="preserve">El sentimiento de los particulares es más optimista que la acción: el foro japonés vota «comprar» en dos de cada tres mensajes y los inversores del ADR acumulan, mientras el precio está un 33 % por debajo del máximo de mayo. No es euforia (hay mucha frustración y un crédito comprador alto) ni capitulación (nadie habla de vender por el negocio). Para la decisión aporta dos cosas: la presión de oferta del crédito puede frenar el precio a corto plazo aunque los resultados sean buenos, y la IA física pesa en la conversación mucho más que en las cifras. Ninguna cifra del informe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23 controles correctos y 6 explicados. Fuentes: 133 (68 primarias); citas distintas en el texto: 126.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solución en un rango razonable: revisa circulante, capex o márgenes del DCF (un supuesto extremo hace que el valor no responda al crecimiento). Explicación: Con el capex en la media histórica (9 % de las ventas) y unos 45 JPY de circulante por cada 100 de ventas nuevas, el capital nuevo rinde poco más que el WACC: crecer más apenas añade valor y ningún crecimiento razonable llega al precio. Es la intensidad de capital de Fanuc (ROIC incremental del 3,9 % en diez años). El informe usa la rentabilidad implícita (5,2 %) y el margen implícito (48,2 %).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14,5 % frente a un ROIC de 12,1 % y un incremental histórico de 3,9 %: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44,0 % frente a 48,6 % real: genera una variación de circulante de 32.461 M en el primer año. Converge de forma gradual. Explicación: El último dato real es el del 30-sep-2026, no el de marzo: existencias 300.712 M + clientes 162.142 M − proveedores 56.132 M = 406.722 M, el 44,0 % de las ventas de los últimos doce meses (923.971 M) [26]. FY2026e se queda en ese nivel real y converge al 45 % después. El 48,6 % de marzo de 2026 incluía las existencias acumuladas antes de que las ventas subieran.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0,10: el crecimiento no explica los múltiplos de estos comparables; no uses el valor de la regresión. Explicación: R² de 0,10: el crecimiento no explica los múltiplos de estos comparables (Keyence y Harmonic Drive cotizan por calidad y por el ciclo de robots, no por crecimiento). No se usa la regresión; la valoración por comparables usa las medianas de EV/EBITDA y PER de los próximos 12 meses.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11,6x a 14,5x según qué comparable se quite (4.941,78 a 5.848,87 por acción): la muestra es frágil; explícalo y no le des mucho peso. Explicación: Con ocho comparables, la mediana del EV/EBITDA NTM va de 11,6x a 14,5x según cuál se quite (4.941,78 a 5.848,87 JPY por acción). Por eso la síntesis promedia las medianas de EV/EBITDA y de PER, y los comparables pesan un 45 % junto a un DCF del 40 %; ningún valor del rango llega al precio con el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Yaskawa Electric (16,2x → 11,6x), Nabtesco (12,0x → 8,6x), Harmonic Drive Systems (48,0x → 24,6x), Mitsubishi Electric (13,7x → 9,6x): el salto implica un crecimiento del EBITDA que no cuadra con el de las ventas. ¿EBITDA de proveedores distintos, o un cambio de perímetro? Explicación: En las japonesas con ejercicio a marzo (y Yaskawa a febrero) el LTM es el ejercicio cerrado en marzo de 2026 y el NTM cae en el ejercicio a marzo de 2027-2028, en plena subida de pedidos, con apalancamiento operativo (Yaskawa, Nabtesco, Mitsubishi Electric) y, en Harmonic Drive, una base de EBITDA deprimida. LTM y NTM son del mismo proveedor (MarketScreener). La síntesis solo usa los múltiplos NTM.</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5.215.590, publicada 5.539.000: revisa acciones y precio. Explicación: Kabutan calcula la capitalización con las acciones emitidas, incluida la autocartera: 982,272 M × 5.639 = 5,539 billones [28]. El informe usa las acciones en circulación (924,914 M), que dan 5,216 billones; la diferencia son los 57,36 M de acciones propias.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133 fuentes (68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12, 14, 15, 16, 17, 66, 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segmentos[].resultado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del Tanshin FY2025: un solo segmento; 2) presentaciones de resultados e Integrated Report 2025: solo ventas y pedidos por división; 3) Securities Report japonés FY2025: un solo segmento, sin resultado por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cartera de pedidos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Tanshin FY2025 y 1T FY26: no la publican; 2) presentaciones y resúmenes de las conferencias: no hay cartera y la dirección no cuantifica los pedidos adelantados; 3) derivarla como pedidos acumulados menos ventas: sin punto de partida publicado no es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geografias: China y Asia sin China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FY2025: solo Asia (352.599 M); 2) Integrated Report: no separa China en FY2025; 3) suma de las ventas trimestrales por región de las presentaciones (China 228,4 mil M; resto de Asia 124,3 mil M), que cuadra con el total de Asia del Tanshin con 0,1 mil M de diferencia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items[].vs_consenso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y Q&amp;A: no citan consenso; 2) web de inversores: no publica consenso (QUICK e IFIS son de pago); 3) prensa: solo para el 2T FY26 (Fisco: BE unos 7.000 M sobre el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el 2T FY26; el resto 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FY2025 e Integrated Report 2025: no mencionan rating; 2) informe de gobierno corporativo y convocatoria de la junta: tampoco; 3) agencias (R&amp;I, JCR, S&amp;P, Moody’s): no consultadas; la empresa no tiene deuda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cuenta[].acciones_diluidas FY2016-FY2020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de cada año: dan acciones medias antes del split; 2) Tanshin FY2021 en adelante: reexpresadas solo desde FY2021; 3) derivadas como beneficio neto / BPA reexpresado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dividendos cobrados de participadas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FY2025: no los desglosa; 2) Securities Report (nota de balance): da el valor contable, 167.210 M, pero no los dividendos; 3) diferencia entre intereses y dividendos cobrados (34.318 M) e ingresos por intereses y dividendos (10.907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preguntas y respuestas de la conferencia del 23-oct-2026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Fanuc (announce): solo Tanshin y presentación del 1S; 2) la URL con el patrón de los anteriores (qasummary202609_e.pdf) da 404; 3) prensa japonesa del 23 al 26-oct (Kabutan, Minkabu, Nihon Inter, Business+IT): resume las cifras, no la conferencia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la conferencia del 31-jul y lo que dicen las cifras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(Fanuc en CNC y en robots) y cuota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Integrated Report 2025 y Tanshin FY2025: solo «top-level global market share (FANUC estimate)», sin cifra; 2) estudios de mercado de controles CNC (GMI, QYResearch vía GII): páginas 410 o sin cifra verificable, y los resúmenes de buscador dan 50-60 % sin documento original; 3) Morningstar y prensa: «top global market share» sin porcentaje; la IFR no publica cuotas por fabricante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IFR World Robotics 2025 y 2026 (notas de prensa): no publica cuotas por fabricante; 2) estudios de mercado de CNC: top-5 del 78,5 % en 2023 solo en un resumen de buscador, página original no accesible (410); 3) no derivable sin las unidades de robots de cada fabricante (Fanuc no las publica)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Sensibilidad del beneficio al yen (JPY de resultado por cada yen frente a USD/EUR)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Reference Material FY2025 y 1T FY2026 y Tanshin FY2025 y 1T FY2026: solo dan los tipos supuestos (150 JPY/USD y 175 JPY/EUR de julio a marzo) y el puente del resultado sin línea de divisa; 2) resúmenes de preguntas y respuestas FY2025 y 1T FY2026 e Integrated Report 2025: sin sensibilidad; 3) no derivable con rigor sin la estructura de costes por divisa; solo se sabe que el 87 % de las ventas es exterior y el 79 % del inmovilizado está en Japón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KUKA: ventas y EBIT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prensa de KUKA: la nota de cifras de 2025 no existe (la URL redirige a la lista de noticias); 2) búsqueda de las cuentas de Midea (segmento de robótica y automatización) y del Geschäftsbericht 2025: no localizados; 3) prensa: solo cifras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2024 y se dice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en valor del mercado de CNC y de robots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IFR: desde hace años no publica el valor de mercado en sus notas de prensa (la presentación de 2025 es imagen); 2) estudios de mercado de controladores CNC: originales no accesibles (410) y cifras que no cuadran entre sí; 3) se sustituye por la producción y el consumo mundiales de máquina herramienta de la VDW (estimación propia del total a partir de la cuota de China)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Controles a la exportación (Japón/EE. UU.) sobre CNC y robots hacia China y Rusia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y Q&amp;A de Fanuc: solo mencionan aranceles de EE. UU.; 2) Integrated Report 2025: riesgos genéricos geopolíticos; 3) no buscado en el METI ni en prensa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Fanuc frente a los competidores durante varios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los competidores: solo se han tomado ingresos y margen del último ejercicio; 2) el ROIC de Fanuc lo calcula el motor con las cuentas del informe; 3) comparación de márgenes de explotación usada como evidencia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(compras y ventas de consejeros y directivos en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EDINET: en Japón no hay registro público de operaciones de directivos tipo Form 4 (los informes del art. 163 de la ley del mercado de valores no se publican en EDINET); 2) participaciones de los consejeros en las convocatorias de 2024, 2025 y 2026 (Yamaguchi 38.560, 46.430 y 54.560 acciones): las subidas cuadran con las acciones restringidas, no con compras en mercado; 3) aviso de entrega de acciones restringidas de julio de 2026 (7.840 acciones a 3 consejeros y 17.380 a 11 directivos, a 6.873 JPY): es retribución, no compras ni ventas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y voto_remuneracion_contra_pct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extraordinarios con los votos de las juntas de 2024, 2025 y 2026 (EDINET): solo se votaron dividendo y consejeros; 2) convocatorias de 2024-2026: ninguna propuesta de retribución; 3) informe de gobierno: el techo retributivo vigente se aprobó en la junta de junio de 2021 y Japón no exige voto anual sobre la retribución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remuneracion_ceo.ratio_salario_medio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Securities Report FY2025, páginas 7-9 vistas como imagen (el texto del PDF japonés no está codificado y la sección de plantilla no aparece en esas páginas); 2) Integrated Report 2025 y convocatoria de 2026: sin salario medio ni gasto de personal; 3) Kessan Tanshin FY2025: no desglosa gastos de personal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fecha de entrada y trayectoria medible de los responsables de FA, ROBOT y ROBOMACHINE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Resoluciones de las juntas 2024-2026: solo listan cargos de los managing officers, sin división; 2) Integrated Report 2025: da la división de cada uno (I+D de FA, ROBOT y ROBOMACHINE) pero no participación ni fecha; 3) búsqueda web: devuelve nombres antiguos (Kiyonori Inaba, Hiroyuki Uchida) que no cuadran con los documentos de 2025-2026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 sin texto); 2) Wayback Machine de la página de MarketScreener a 7-jul-2026 y 7-oct-2025 (sin capturas); 3) Minkabu, consenso con histórico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describen los cambios de recomendación y de guía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número de analistas por estimación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(fila vacía); 2) Investing (sin desglose por línea); 3) Minkabu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número del consenso de recomendación (19)</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y prima de la OPA de Nidec sobre Makino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Makino del 9-may-2025 (no da el precio); 2) Business Wire (403); 3) Nasdaq (tiempo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(prima_pct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Altair y de NI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Siemens (solo ventas); 2) 8-K de NI (no publica EBITDA ni valor empresa); 3) búsqueda de un múltiplo oficial (no existe)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Midea–KUKA, Teradyne–Universal Robots/MiR, Rockwell–Clearpath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Midea–KUKA (2016-17) y Teradyne–UR/MiR (2015-18) quedan fuera de la ventana de 5-7 años; 2) la exclusión de KUKA de 2022 no se buscó por tiempo; 3) Rockwell–Clearpath (2023) no publicó importe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empleados (fuente primaria)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Corporate Outline de Fanuc (no da la plantilla); 2) Securities Report (texto japonés ilegible con pdftotext); 3) Stock Analysis: 10.040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Tomado de Stock Analysis [82]</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de BPA a tres años revisadas tras la guía del 23-oct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(sin actualizar: mismas cifras que el 7-oct); 2) Stock Analysis (previsiones del 4-sep; años 2-3 de pago); 3) Kabuyoho/IFIS (solo el ejercicio en curso, a 23-oct, antes de los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MarketScreener marcado como previo a la guía nueva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(fecha confirmada)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Fanuc: sin calendario publicado; 2) Kabutore: «次回の決算発表予定日は未定»; 3) fecha del año anterior: el 3T FY25 se publicó el 26-ene-2026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(26-ene-2027)</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foros en inglés con debate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(403 según lecciones; no se gastó llamada); 2) Seeking Alpha: solo titulares, artículos bloqueados por robots; 3) Stocktwits del ADR: 30 mensajes de mayo a octubre, poco debate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peso lo lleva el foro japonés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las divisiones comparables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Yaskawa, ABB, Siemens y Mitsubishi Electric: no publican el ROIC de la división comparable; 2) Stock Analysis da el ROIC del grupo (Yaskawa 5,9 %, Mitsubishi Electric 8,4 %, Siemens 6,6 %) pero no el de la división de automatización; 3) cálculo propio por división imposible sin capital invertido por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compara con el ROIC de grupo de los comparables, marcado como tal</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Annual Financial Results FY2025 (Kessan Tanshin,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https://www.fanuc.co.jp/en/ir/announce/pdf/2026/financialresult202603_e.pdf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Annual Financial Results FY2024 (Kessan Tanshin, cerrado el 31-mar-2025)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https://www.fanuc.co.jp/en/ir/announce/pdf/2025/financialresult202503_e.pdf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FY2023 (Kessan Tanshin, cerrado el 31-mar-2024)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https://www.fanuc.co.jp/en/ir/announce/pdf/2024/financialresult202403_e.pdf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FY2022 (Kessan Tanshin, cerrado el 31-mar-2023)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https://www.fanuc.co.jp/en/ir/announce/pdf/2023/financialresult202303_e.pdf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FY2021 (Kessan Tanshin, cerrado el 31-mar-2022)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https://www.fanuc.co.jp/en/ir/announce/pdf/2022/financialresult202203_e.pdf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FY2020 (Kessan Tanshin, cerrado el 31-mar-2021)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https://www.fanuc.co.jp/en/ir/announce/pdf/2021/financialresult202103_e.pdf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FY2019 (Kessan Tanshin, cerrado el 31-mar-2020)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https://www.fanuc.co.jp/en/ir/announce/pdf/2020/financialresult202003_e.pdf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FY2018 (Kessan Tanshin, cerrado el 31-mar-2019)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https://www.fanuc.co.jp/en/ir/announce/pdf/2019/financialresult201903_e.pdf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FY2017 (Kessan Tanshin, cerrado el 31-mar-2018)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https://www.fanuc.co.jp/en/ir/announce/pdf/2018/financialresult201803_e.pdf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FY2016 (Kessan Tanshin, cerrado el 31-mar-2017)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https://www.fanuc.co.jp/en/ir/announce/pdf/2017/financialresult201703_e.pdf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Three Months Ended June 30, 2026 (Kessan Tanshin 1T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https://www.fanuc.co.jp/en/ir/announce/pdf/2026/financialresult202606_e.pdf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Nine Months Ended December 31, 2025 (Kessan Tanshin 3T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https://www.fanuc.co.jp/en/ir/announce/pdf/2026/financialresult202512_e.pdf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Six Months Ended September 30, 2025 (Kessan Tanshin 2T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https://www.fanuc.co.jp/en/ir/announce/pdf/2025/financialresult202509_e.pdf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Three Months Ended June 30, 2025 (Kessan Tanshin 1T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https://www.fanuc.co.jp/en/ir/announce/pdf/2025/financialresult202506_e.pdf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Nine Months Ended December 31, 2024 (Kessan Tanshin 3T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https://www.fanuc.co.jp/en/ir/announce/pdf/2025/financialresult202412_e.pdf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Six Months Ended September 30, 2024 (Kessan Tanshin 2T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https://www.fanuc.co.jp/en/ir/announce/pdf/2024/financialresult202409_e.pdf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Three Months Ended June 30, 2024 (Kessan Tanshin 1T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https://www.fanuc.co.jp/en/ir/announce/pdf/2024/financialresult202406_e.pdf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Three Months Ended June 30, 2026 (presentación de resultados 1T FY2026: ventas y pedidos por división y región)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https://www.fanuc.co.jp/en/ir/announce/pdf/2026/reference202606_e.pdf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Year Ended March 31, 2026 (presentación de resultados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https://www.fanuc.co.jp/en/ir/announce/pdf/2026/reference202603_e.pdf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Year Ended March 31, 2025 (presentación de resultados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https://www.fanuc.co.jp/en/ir/announce/pdf/2025/reference202503_e.pdf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Q&amp;A Summary of the Telephone Conference on Financial Results for the First Quarter ended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https://www.fanuc.co.jp/en/ir/announce/pdf/2026/qasummary202606_e.pdf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Q&amp;A Summary of the Telephone Conference on Financial Results for the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https://www.fanuc.co.jp/en/ir/announce/pdf/2026/qasummary202603_e.pdf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Integrated Report 2025 (tabla de diez años y datos corporativos)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https://www.fanuc.co.jp/en/ir/annualreport/pdf/integratedreport2025_e.pdf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57th Ordinary General Meeting of Shareholders (informe de gestión e informes del auditor,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https://www.fanuc.co.jp/en/ir/meeting/pdf/generalmeeting57convocation_e.pdf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Yukashoken Hokokusho (Securities Report) del 57.º ejercicio, cerrado el 31-mar-2026 (original japonés; notas de balance y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https://www.fanuc.co.jp/ja/ir/securitiesreport/pdf/securitiesreport57_202603.pdf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Interim Financial Results for the six months ended September 30, 2026 (Kessan Tanshin 1S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https://www.fanuc.co.jp/en/ir/announce/pdf/2026/financialresult202609_e.pdf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Six Months Ended September 30, 2026 (presentación de resultados 1S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https://www.fanuc.co.jp/en/ir/announce/pdf/2026/reference202609_e.pdf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ファナック---反発、通期業績上方修正で部材調達問題への懸念も後退 (Fisco)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 / Fisco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https://kabutan.jp/stock/news?code=6954&amp;b=n202610260313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ファナック、通期純利益予想を15.3%上方修正、最大500億円の自社株買い・中間増配も</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Nihon Inter (media-ir.com)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https://www.media-ir.com/news/?p=186039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55th Annual General Shareholders'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https://www.fanuc.co.jp/en/ir/meeting/pdf/generalmeeting55convocation_e.pdf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changes in Directors (23 de abril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https://www.fanuc.co.jp/en/ir/announce_other/pdf/2025/notice20250423-02_e.pdf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Receipt of the Special Investigation Committee Report and Our Actions Going Forward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https://www.fanuc.co.jp/en/ir/announce_other/pdf/2024/notice20241212_e.pdf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2013 (Ten-Year Financial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https://fanuc.co.jp/en/ir/annualreport/pdf/annualreport2013_e.pdf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What's new (lista de notas de prensa y comunicaciones 2021-2026)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https://www.fanuc.co.jp/en/whatsnew/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(artículo enciclopédico)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https://en.wikipedia.org/wiki/FANUC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Installs 59 Percent of World's Industrial Robots (World Robotics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Federation of Robotics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https://ifr.org/downloads/press_docs/EN-2026-SEP-24-IFR_Press_Release_WR-CHINA.pdf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Five Million Robots now Operate in Factories Globally (World Robotics 2026) y gráfico de instalaciones anuales 2015-2025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Federation of Robotics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https://ifr.org/ifr-press-releases/five-million-robots-now-operate-in-factories-globally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Robot Demand in Factories Doubles over 10 Years (World Robotics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Federation of Robotics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https://ifr.org/ifr-press-releases/news/global-robot-demand-in-factories-doubles-over-10-years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 Release No. FY26-5: Monthly Machine Tool Orders (July 2026) y estadísticas principales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Machine Tool Builders' Association (JMTBA)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https://www.jmtba.or.jp/english/wjmtbap/wp-content/uploads/2026/09/JMTBA-NOTES-2026-08.pdf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Machine Tool Orders Surge 65.4% in August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https://tradingeconomics.com/japan/machine-tool-orders/news/582279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Factory Activity Returns to Growth (PMI manufacturero NBS,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https://tradingeconomics.com/china/business-confidence/news/587902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 machine tool industry leveling off – China further dominating production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VDW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https://vdw.de/en/german-machine-tool-industry-leveling-off-china-further-dominating-production/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Fiscal Year Ended February 28,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Yaskawa Electric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https://www.yaskawa-global.com/wp-content/uploads/2026/04/20260410_en.pdf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Full Year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https://library.e.abb.com/public/17c5f84dedb946478c22ba1e00f5673e/ABB-Q4-2025-press-release-English.pdf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Financial Information (nota 3, operaciones interrumpidas)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https://library.e.abb.com/public/efa424a5e55545ef99275bfafc6ff638/ABB-Q4-2025-financial-information.pdf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Q4 FY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https://assets.new.siemens.com/siemens/assets/api/uuid:3948cdd4-35e0-4c1d-8412-9aed4097b3d0/HQCOPR202511117277EN.pdf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Fiscal 2026 (ejercicio a marzo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Mitsubishi Electric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https://www.mitsubishielectric.com/en/pr/2026/pdf/0428_co1.pdf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Challenging financial year 2024 for KUKA – Focus on easier automation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KUKA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https://www.kuka.com/en-de/company/press/news/2025/04/kuka-finanzzahlen-2024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Teradyne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https://www.sec.gov/Archives/edgar/data/97210/000119312526059002/ter-20251231.htm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ABB Ltd's Robotics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SoftBank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https://group.softbank/en/news/press/20251008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ROBOT New Technology: Open Platforms &amp; Physical 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https://www.fanuc.co.jp/en/product/new_product/2025/202512_robot_physicalai.html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Strengthens Collaboration with NVIDIA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https://www.fanuc.co.jp/en/profile/pr/newsrelease/2026/notice20260515.html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 and FANUC enter strategic partnership toward joint commercialization of physical AI implementation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 Hitachi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https://www.fanuc.co.jp/en/profile/pr/newsrelease/2026/notice20260930.html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Section 232 Investigation of Robotics &amp; Industrial Machinery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Sandler, Travis &amp; Rosenberg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https://www.strtrade.com/trade-news-resources/tariff-actions-resources/section-232-investigation-robotics-industrial-machinery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Machine Tool Orders Notch Fresh High (pedidos JMTBA de septiembre de 2026, dato preliminar)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https://tradingeconomics.com/japan/machine-tool-orders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SoftBank Acquires ABB Robotics: EU Approved $5.375B Deal (caso M.12248; cierre pendiente de China y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PLC Matrix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https://www.plcmatrix.com/softbank-abb-robotics-eu-approval-spare-parts-transition/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ファナックの中間純利益41%増の1126億円、通期予想を上方修正 自社株買い500億円も (alianza con Hitachi del 30-sep y robot con Gemini Enterprise del 11-sep)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Business+IT (Yahoo! News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https://news.yahoo.co.jp/articles/80ca242bbaf48f5ae9616eef301d1a2629b6fc8d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(última actualización 30-6-2026)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https://www.fanuc.co.jp/en/ir/corporategovernancereport/pdf/corporategovernancereport.pdf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Resolutions of the 57th Ordinary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https://www.fanuc.co.jp/en/ir/meeting/pdf/generalmeeting57resolution_e.pdf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(Extraordinary Report): resultados de la votación de la junta del 25-6-2026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vía EDINET (S100YLIG)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https://disclosure2dl.edinet-fsa.go.jp/searchdocument/pdf/S100YLIG.pdf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(Extraordinary Report): resultados de la votación de la junta del 27-6-2025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vía EDINET (S100W9YH)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https://disclosure2dl.edinet-fsa.go.jp/searchdocument/pdf/S100W9YH.pdf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(Extraordinary Report): resultados de la votación de la junta del 27-6-2024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vía EDINET (S100TZ4P)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https://disclosure2dl.edinet-fsa.go.jp/searchdocument/pdf/S100TZ4P.pdf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56th Ordinary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https://www.fanuc.co.jp/en/ir/meeting/pdf/generalmeeting56convocation_e.pdf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Resolutions of the 55th Ordinary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https://www.fanuc.co.jp/en/ir/meeting/pdf/generalmeeting55resolution_e.pdf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Share Buyback (consejo del 24-4-2026)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https://www.fanuc.co.jp/en/ir/announce_other/pdf/2026/notice20260424-01_e.pdf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the Status and Conclusion of Share Buyback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https://www.fanuc.co.jp/en/ir/announce_other/pdf/2026/notice20260918_e.pdf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Concerning the Cancellation of Treasury Shares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https://www.fanuc.co.jp/en/ir/announce_other/pdf/2026/notice20260424-03_e.pdf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Concerning the Cancellation of Treasury Shares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https://www.fanuc.co.jp/en/ir/announce_other/pdf/2025/notice20250423-04_e.pdf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Share Buyback (consejo del 23-4-2025)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https://www.fanuc.co.jp/en/ir/announce_other/pdf/2025/notice20250423-03_e.pdf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FANUC's Actions Based on the Special Investigation Committee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https://www.fanuc.co.jp/en/ir/announce_other/pdf/2025/notice20250325_e.pdf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Kessan Tanshin del primer semestre de FY2020 (abril-septiembre de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https://www.fanuc.co.jp/en/ir/announce/pdf/2020/financialresult202009_e.pdf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Communication with Shareholders and Investors: diálogo con accionistas en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https://www.fanuc.co.jp/en/sustainability/governance/shareholder.html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Concerning Financial Forecasts (guía de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https://www.fanuc.co.jp/en/ir/announce_other/pdf/2025/notice20250725-01_e.pdf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Disposal of Treasury Stock as Restricted Stock Remuneration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https://www.fanuc.co.jp/en/ir/announce_other/pdf/2026/notice20260723_e.pdf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Share Buyback (consejo del 23-10-2026)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https://www.fanuc.co.jp/en/ir/announce_other/index.html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ファナック（6954）の大量保有（5%ルール）: informes presentados hasta el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IRBANK (datos de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https://irbank.net/E01946/share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6954.T, 1305.T (ETF TOPIX) y 1624.T (ETF TOPIX-17 Maquinaria), hasta el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https://finance.yahoo.com/quote/6954.T/history/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https://www.marketscreener.com/quote/stock/FANUC-CORPORATION-6492019/finances/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 (6954):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https://www.investing.com/equities/fanuc-corp.-consensus-estimates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(TYO:6954)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https://stockanalysis.com/quote/tyo/6954/forecast/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ファナック(6954) アナリスト予想・コンセンサス (IFIS, a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Kabuyoho (IFIS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https://kabuyoho.jp/reportAnalyst?bcode=6954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ファナック(6954) レポート: objetivo de consenso y cambio de recomendación de un «日系中堅証券» del 26-oct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Kabuyoho (IFIS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https://kabuyoho.jp/reportTop?bcode=6954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レーティング日報【最上位を継続】 (10月26日): Macquarie, sobreponderar, 8.000 → 7.300 JPY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https://kabutan.jp/stock/news?code=6954&amp;b=n202610260860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レーティング日報【弱気継続】 (10月26日): Goldman Sachs, vender, 4.600 → 4.900 JPY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https://kabutan.jp/stock/news?code=6954&amp;b=n202610260857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ファナック(6954)の決算発表スケジュール («次回の決算発表予定日は未定»)</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https://www.kabutore.biz/kessan/yotei_kobetsu.html?code=6954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(eurofxref-daily),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(JGB benchmark yields), octubre de 2026 (jgbcme.csv)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Finanzas de Japón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(6954): posiciones cortas declaradas (karauri), a partir de los informes publicados por la JPX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karauri.net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https://karauri.net/6954/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(actualización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Yaskawa Electric: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https://www.marketscreener.com/quote/stock/YASKAWA-ELECTRIC-CORPORAT-6492333/finances/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Yaskawa Electric (6506.T)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https://stockanalysis.com/quote/tyo/6506/statistics/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https://www.marketscreener.com/quote/stock/KEYENCE-CORPORATION-6492212/finances/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(6861.T)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https://stockanalysis.com/quote/tyo/6861/statistics/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https://www.marketscreener.com/quote/stock/SMC-CORPORATION-6492069/finances/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(6273.T)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https://stockanalysis.com/quote/tyo/6273/statistics/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Nabtesco: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https://www.marketscreener.com/quote/stock/NABTESCO-CORPORATION-6496668/finances/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Nabtesco (6268.T)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https://stockanalysis.com/quote/tyo/6268/statistics/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Harmonic Drive Systems: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https://www.marketscreener.com/quote/stock/HARMONIC-DRIVE-SYSTEMS-IN-13655246/finances/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Harmonic Drive Systems (6324.T)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https://stockanalysis.com/quote/tyo/6324/statistics/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Mitsubishi Electric: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https://www.marketscreener.com/quote/stock/MITSUBISHI-ELECTRIC-CORPO-6491287/finances/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Mitsubishi Electric (6503.T)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https://stockanalysis.com/quote/tyo/6503/statistics/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https://www.marketscreener.com/quote/stock/SIEMENS-AG-56358595/finances/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(SIE.DE)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https://stockanalysis.com/quote/etr/SIE/statistics/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Rockwell Automation: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https://www.marketscreener.com/quote/stock/ROCKWELL-AUTOMATION-INC-14277/finances/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Rockwell Automation (ROK)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https://stockanalysis.com/stocks/rok/statistics/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los comparables (6506.T, 6861.T, 6273.T, 6268.T, 6324.T, 6503.T, SIE.DE, ROK), hasta el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(TYO:6861) Balance sheet, trimestral (20-jun-2026)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https://stockanalysis.com/quote/tyo/6861/financials/balance-sheet/?p=quarterly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(TYO:6273) Balance sheet, trimestral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https://stockanalysis.com/quote/tyo/6273/financials/balance-sheet/?p=quarterly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Hillenbrand Announces Agreement to Be Acquired by Lone Star for $32.00 Per Share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Hillenbrand,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https://www.sec.gov/Archives/edgar/data/1417398/000119312525239558/d19460dex991.htm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Hillenbrand Fiscal 2025 Fourth Quarter and Full Year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Hillenbrand,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https://www.sec.gov/Archives/edgar/data/1417398/000162828025053194/exhibit9912025930.htm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to acquire Altair Engineering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https://assets.new.siemens.com/siemens/assets/api/uuid:b8927464-14ca-4a7c-a581-686169630351/HQCOPR202410307031EN.pdf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to Acquire NI (Form 8-K de National Instruments,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Instruments Corp.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https://www.sec.gov/Archives/edgar/data/935494/000114036123017910/brhc20051360_ex99-1.htm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Withdrawal of Tender Offer for Shares of the Company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Makino Milling Machine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https://ir.makino.co.jp/en/news/pdf/2025/20250509.pdf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ファナック(株)【6954】の掲示板 (foro y encuesta semanal «みんなの評価»)</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Yahoo!ファイナンス</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https://finance.yahoo.co.jp/quote/6954.T/forum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FANUY: flujo de mensajes (API pública)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https://api.stocktwits.com/api/2/streams/symbol/FANUY.json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(FANUY): News and Analysis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https://seekingalpha.com/api/sa/combined/FANUY.xml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a «ファナックの中間純利益41％増の1126億円、通期予想を上方修正»</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Yahoo!ニュース</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https://news.yahoo.co.jp/articles/80ca242bbaf48f5ae9616eef301d1a2629b6fc8d/comments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＜みんかぶ・個人投資家の予想から＞＝「売り予想数上昇」５位にファナック</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 / Minkabu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https://kabutan.jp/stock/news?code=6954&amp;b=n202605270446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＜みんかぶ・個人投資家の予想から＞＝「買い予想数上昇」３位にファナック</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 / Minkabu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https://kabutan.jp/stock/news?code=6954&amp;b=n202608040883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明日の株式相場に向けて＝崩れるＡＩ・半導体株にＣＴＡ主犯説、レンジ相場継続の兆候も</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https://kabutan.jp/stock/news?code=6954&amp;b=n202610221186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ファナック---大幅反落、受注高は拡大も営業利益はコンセンサス未達 (Fisco)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 / Fisco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https://kabutan.jp/stock/news?code=6954&amp;b=n202608030325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ファナックが急反発し新高値、フィジカルＡＩ加速で米グーグルと協業へ</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 / Minkabu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https://kabutan.jp/stock/news?code=6954&amp;b=n202605140556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JIMTOF 2026 The 33rd Japan International Machine Tool Fair: outline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JIMTOF (JMTBA y Tokyo Big Sight)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https://www.jimtof.org/en/outline.html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Historical Data of Interest Rate (JGB benchmark yields), serie diaria desde 1974 (jgbcme_all.csv)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https://www.mof.go.jp/english/policy/jgbs/reference/interest_rate/historical/jgbcme_all.csv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ファナックが急反発、２７年３月期２ケタ増益予想と自社株買いを好感</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https://kabutan.jp/stock/news?code=6954&amp;b=n202604270205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ファナックが３日続伸、国内有力証券は目標株価８５００円に引き上げ</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https://kabutan.jp/stock/news?code=6954&amp;b=n202605110716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ファナックや安川電機が高い、フィジカルＡＩに官民投資１０兆円超と伝わる</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https://kabutan.jp/stock/news?code=6954&amp;b=n202606220377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日経平均は大幅続落 (8-jun-2026): ソフトバンクGと東エレクが下げを主導</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https://kabutan.jp/stock/news?code=6954&amp;b=n202606080605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レーティング日報【格下げ↓】 (7月6日): Morgan Stanley MUFG, ファナック 強気→中立, 7.000→7.500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https://kabutan.jp/stock/news?code=6954&amp;b=n202607061049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富士通が後場上げ幅を拡大、ファナック、安川電、川重とフィジカルＡＩ分野で事業検討を開始</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https://kabutan.jp/stock/news?code=6954&amp;b=n202607160650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ファナックが３日ぶり大幅反発、２７年３月期業績予想の上方修正と自社株買いを好感</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https://kabutan.jp/stock/news?code=6954&amp;b=n202610260176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84,7 %</w:t>
      </w:r>
      <w:r>
        <w:t xml:space="preserve"> · Secciones con menos del 60 % de campos cubiertos: </w:t>
      </w:r>
      <w:r>
        <w:rPr>
          <w:b/>
          <w:bCs/>
        </w:rPr>
        <w:t xml:space="preserve">capital, riesgos, balance</w:t>
      </w:r>
      <w:r>
        <w:t xml:space="preserve"> · Generado el 26 oct 2026.</w:t>
      </w:r>
    </w:p>
    <w:p>
      <w:pPr>
        <w:pStyle w:val="Nota"/>
        <w:spacing w:after="100"/>
      </w:pPr>
      <w:r>
        <w:t xml:space="preserve">Iteración del informe del 7-oct-2026 tras los resultados del primer semestre de FY2026 (23-oct-2026); las cifras se han vuelto a comprobar con el Tanshin y la presentación nuevos. Una sola línea: Bolsa de Tokio (Prime), código 6954; los ADR no se usan. Cuentas en JPY y JGAAP, sin NIIF 16: los arrendamientos operativos no están en balance. </w:t>
      </w:r>
      <w:r>
        <w:rPr>
          <w:b/>
        </w:rPr>
        <w:t xml:space="preserve">Ejercicio a marzo con la etiqueta de Fanuc</w:t>
      </w:r>
      <w:r>
        <w:t xml:space="preserve">: «FY2026» es abril de 2026 a marzo de 2027 (etiqueta de inicio) y «2T FY26» es julio-septiembre de 2026. Split 5:1 del 1-abr-2023: BPA, DPA y acciones anteriores reexpresados [4]. Precio: cierre del 26-oct-2026 (5.639 JPY), primera sesión completa tras los resultados [78]. </w:t>
      </w:r>
      <w:r>
        <w:rPr>
          <w:b/>
        </w:rPr>
        <w:t xml:space="preserve">Acciones</w:t>
      </w:r>
      <w:r>
        <w:t xml:space="preserve">: 924,914 M a 30-sep-2026 (982,272 M emitidas menos 57,359 M en autocartera); la recompra nueva (hasta 10 M de acciones o 50.000 M, del 26-oct-2026 al 30-abr-2027) no ha empezado y no se descuenta [26]. Fanuc declara un único segmento: no hay resultado por división. </w:t>
      </w:r>
      <w:r>
        <w:rPr>
          <w:b/>
        </w:rPr>
        <w:t xml:space="preserve">Consenso</w:t>
      </w:r>
      <w:r>
        <w:t xml:space="preserve">: tras los resultados ninguna fuente gratuita había actualizado las estimaciones (MarketScreener sigue con las del 7-oct y Stock Analysis con las del 4-sep); se usan marcadas como previas y se contrastan con IFIS, Investing y Kabutan [79, 80, 81, 82, 83, 84, 85]. El resumen de preguntas y respuestas de la conferencia del 23-oct no estaba publicado a la fecha de corte.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FANUC CORPORATION (6954)</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5.639,00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(4.761,00 – 8.880,00)</c:v>
                </c:pt>
                <c:pt idx="1">
                  <c:v>Precio objetivo de los analistas (4.900,00 – 8.700,00)</c:v>
                </c:pt>
                <c:pt idx="2">
                  <c:v>Comparables: EV/EBITDA NTM (4.245,81 – 7.326,82)</c:v>
                </c:pt>
                <c:pt idx="3">
                  <c:v>Comparables: PER NTM (4.173,80 – 6.900,60)</c:v>
                </c:pt>
                <c:pt idx="4">
                  <c:v>DCF (WACC y g ± 0,5) (3.111,93 – 3.561,65)</c:v>
                </c:pt>
                <c:pt idx="5">
                  <c:v>Escenarios (bajista – alcista) (2.700,80 – 4.202,96)</c:v>
                </c:pt>
                <c:pt idx="6">
                  <c:v>DCF con la prima implícita del mercado (4,2 %)</c:v>
                </c:pt>
                <c:pt idx="7">
                  <c:v>Precio actual (5.639,00)</c:v>
                </c:pt>
              </c:strCache>
            </c:strRef>
          </c:cat>
          <c:val>
            <c:numRef>
              <c:f>Hoja1!$B$2:$B$9</c:f>
              <c:numCache>
                <c:formatCode>#,##0</c:formatCode>
                <c:ptCount val="8"/>
                <c:pt idx="0">
                  <c:v>4761</c:v>
                </c:pt>
                <c:pt idx="1">
                  <c:v>4900</c:v>
                </c:pt>
                <c:pt idx="2">
                  <c:v>4245.81</c:v>
                </c:pt>
                <c:pt idx="3">
                  <c:v>4173.8</c:v>
                </c:pt>
                <c:pt idx="4">
                  <c:v>3111.93</c:v>
                </c:pt>
                <c:pt idx="5">
                  <c:v>2700.8</c:v>
                </c:pt>
                <c:pt idx="6">
                  <c:v>3501.78</c:v>
                </c:pt>
                <c:pt idx="7">
                  <c:v>5610.81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(4.761,00 – 8.880,00)</c:v>
                </c:pt>
                <c:pt idx="1">
                  <c:v>Precio objetivo de los analistas (4.900,00 – 8.700,00)</c:v>
                </c:pt>
                <c:pt idx="2">
                  <c:v>Comparables: EV/EBITDA NTM (4.245,81 – 7.326,82)</c:v>
                </c:pt>
                <c:pt idx="3">
                  <c:v>Comparables: PER NTM (4.173,80 – 6.900,60)</c:v>
                </c:pt>
                <c:pt idx="4">
                  <c:v>DCF (WACC y g ± 0,5) (3.111,93 – 3.561,65)</c:v>
                </c:pt>
                <c:pt idx="5">
                  <c:v>Escenarios (bajista – alcista) (2.700,80 – 4.202,96)</c:v>
                </c:pt>
                <c:pt idx="6">
                  <c:v>DCF con la prima implícita del mercado (4,2 %)</c:v>
                </c:pt>
                <c:pt idx="7">
                  <c:v>Precio actual (5.639,00)</c:v>
                </c:pt>
              </c:strCache>
            </c:strRef>
          </c:cat>
          <c:val>
            <c:numRef>
              <c:f>Hoja1!$C$2:$C$9</c:f>
              <c:numCache>
                <c:formatCode>#,##0</c:formatCode>
                <c:ptCount val="8"/>
                <c:pt idx="0">
                  <c:v>4119</c:v>
                </c:pt>
                <c:pt idx="1">
                  <c:v>3800</c:v>
                </c:pt>
                <c:pt idx="2">
                  <c:v>3081.0099999999993</c:v>
                </c:pt>
                <c:pt idx="3">
                  <c:v>2726.8</c:v>
                </c:pt>
                <c:pt idx="4">
                  <c:v>449.72000000000025</c:v>
                </c:pt>
                <c:pt idx="5">
                  <c:v>1502.1599999999999</c:v>
                </c:pt>
                <c:pt idx="6">
                  <c:v>401.39999999999964</c:v>
                </c:pt>
                <c:pt idx="7">
                  <c:v>56.38999999999942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FA (CNC y servomotores)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175016</c:v>
                </c:pt>
                <c:pt idx="1">
                  <c:v>222254</c:v>
                </c:pt>
                <c:pt idx="2">
                  <c:v>211088</c:v>
                </c:pt>
                <c:pt idx="3">
                  <c:v>143247</c:v>
                </c:pt>
                <c:pt idx="4">
                  <c:v>149240</c:v>
                </c:pt>
                <c:pt idx="5">
                  <c:v>226165</c:v>
                </c:pt>
                <c:pt idx="6">
                  <c:v>250113</c:v>
                </c:pt>
                <c:pt idx="7">
                  <c:v>180384</c:v>
                </c:pt>
                <c:pt idx="8">
                  <c:v>194824</c:v>
                </c:pt>
                <c:pt idx="9">
                  <c:v>208478</c:v>
                </c:pt>
              </c:numCache>
            </c:numRef>
          </c:val>
        </c:ser>
        <c:ser>
          <c:idx val="1"/>
          <c:order val="1"/>
          <c:tx>
            <c:strRef>
              <c:f>Hoja1!$C$1</c:f>
              <c:strCache>
                <c:ptCount val="1"/>
                <c:pt idx="0">
                  <c:v>ROBOT</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190043</c:v>
                </c:pt>
                <c:pt idx="1">
                  <c:v>227827</c:v>
                </c:pt>
                <c:pt idx="2">
                  <c:v>217526</c:v>
                </c:pt>
                <c:pt idx="3">
                  <c:v>202491</c:v>
                </c:pt>
                <c:pt idx="4">
                  <c:v>210024</c:v>
                </c:pt>
                <c:pt idx="5">
                  <c:v>268478</c:v>
                </c:pt>
                <c:pt idx="6">
                  <c:v>356984</c:v>
                </c:pt>
                <c:pt idx="7">
                  <c:v>380944</c:v>
                </c:pt>
                <c:pt idx="8">
                  <c:v>329566</c:v>
                </c:pt>
                <c:pt idx="9">
                  <c:v>378610</c:v>
                </c:pt>
              </c:numCache>
            </c:numRef>
          </c:val>
        </c:ser>
        <c:ser>
          <c:idx val="2"/>
          <c:order val="2"/>
          <c:tx>
            <c:strRef>
              <c:f>Hoja1!$D$1</c:f>
              <c:strCache>
                <c:ptCount val="1"/>
                <c:pt idx="0">
                  <c:v>ROBOMACHINE</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93939</c:v>
                </c:pt>
                <c:pt idx="1">
                  <c:v>190182</c:v>
                </c:pt>
                <c:pt idx="2">
                  <c:v>115056</c:v>
                </c:pt>
                <c:pt idx="3">
                  <c:v>74912</c:v>
                </c:pt>
                <c:pt idx="4">
                  <c:v>114518</c:v>
                </c:pt>
                <c:pt idx="5">
                  <c:v>144633</c:v>
                </c:pt>
                <c:pt idx="6">
                  <c:v>132788</c:v>
                </c:pt>
                <c:pt idx="7">
                  <c:v>103388</c:v>
                </c:pt>
                <c:pt idx="8">
                  <c:v>137588</c:v>
                </c:pt>
                <c:pt idx="9">
                  <c:v>129600</c:v>
                </c:pt>
              </c:numCache>
            </c:numRef>
          </c:val>
        </c:ser>
        <c:ser>
          <c:idx val="3"/>
          <c:order val="3"/>
          <c:tx>
            <c:strRef>
              <c:f>Hoja1!$E$1</c:f>
              <c:strCache>
                <c:ptCount val="1"/>
                <c:pt idx="0">
                  <c:v>Servicio</c:v>
                </c:pt>
              </c:strCache>
            </c:strRef>
          </c:tx>
          <c:spPr>
            <a:solidFill>
              <a:srgbClr val="EDA100"/>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77944</c:v>
                </c:pt>
                <c:pt idx="1">
                  <c:v>86333</c:v>
                </c:pt>
                <c:pt idx="2">
                  <c:v>91898</c:v>
                </c:pt>
                <c:pt idx="3">
                  <c:v>87602</c:v>
                </c:pt>
                <c:pt idx="4">
                  <c:v>77505</c:v>
                </c:pt>
                <c:pt idx="5">
                  <c:v>93732</c:v>
                </c:pt>
                <c:pt idx="6">
                  <c:v>112071</c:v>
                </c:pt>
                <c:pt idx="7">
                  <c:v>130558</c:v>
                </c:pt>
                <c:pt idx="8">
                  <c:v>135151</c:v>
                </c:pt>
                <c:pt idx="9">
                  <c:v>141143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FA (CNC y servomotores)</c:v>
                </c:pt>
                <c:pt idx="1">
                  <c:v>ROBOT</c:v>
                </c:pt>
                <c:pt idx="2">
                  <c:v>ROBOMACHINE</c:v>
                </c:pt>
                <c:pt idx="3">
                  <c:v>Servicio</c:v>
                </c:pt>
              </c:strCache>
            </c:strRef>
          </c:cat>
          <c:val>
            <c:numRef>
              <c:f>Hoja1!$B$2:$B$5</c:f>
              <c:numCache>
                <c:formatCode>General</c:formatCode>
                <c:ptCount val="4"/>
                <c:pt idx="0">
                  <c:v>24.3</c:v>
                </c:pt>
                <c:pt idx="1">
                  <c:v>44.1</c:v>
                </c:pt>
                <c:pt idx="2">
                  <c:v>15.1</c:v>
                </c:pt>
                <c:pt idx="3">
                  <c:v>16.5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Asia (sin China)</c:v>
                </c:pt>
                <c:pt idx="1">
                  <c:v>China</c:v>
                </c:pt>
                <c:pt idx="2">
                  <c:v>Américas</c:v>
                </c:pt>
                <c:pt idx="3">
                  <c:v>Europa</c:v>
                </c:pt>
                <c:pt idx="4">
                  <c:v>Japón</c:v>
                </c:pt>
                <c:pt idx="5">
                  <c:v>Otros</c:v>
                </c:pt>
              </c:strCache>
            </c:strRef>
          </c:cat>
          <c:val>
            <c:numRef>
              <c:f>Hoja1!$B$2:$B$7</c:f>
              <c:numCache>
                <c:formatCode>0"%"</c:formatCode>
                <c:ptCount val="6"/>
                <c:pt idx="0">
                  <c:v>14.5</c:v>
                </c:pt>
                <c:pt idx="1">
                  <c:v>26.6</c:v>
                </c:pt>
                <c:pt idx="2">
                  <c:v>27.1</c:v>
                </c:pt>
                <c:pt idx="3">
                  <c:v>17.8</c:v>
                </c:pt>
                <c:pt idx="4">
                  <c:v>12.9</c:v>
                </c:pt>
                <c:pt idx="5">
                  <c:v>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robots industriales instalados al año (IFR))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2028e</c:v>
                </c:pt>
              </c:strCache>
            </c:strRef>
          </c:cat>
          <c:val>
            <c:numRef>
              <c:f>Hoja1!$B$2:$B$9</c:f>
              <c:numCache>
                <c:formatCode>#,##0</c:formatCode>
                <c:ptCount val="8"/>
                <c:pt idx="0">
                  <c:v>387</c:v>
                </c:pt>
                <c:pt idx="1">
                  <c:v>390</c:v>
                </c:pt>
                <c:pt idx="2">
                  <c:v>526</c:v>
                </c:pt>
                <c:pt idx="3">
                  <c:v>553</c:v>
                </c:pt>
                <c:pt idx="4">
                  <c:v>541</c:v>
                </c:pt>
                <c:pt idx="5">
                  <c:v>542</c:v>
                </c:pt>
                <c:pt idx="6">
                  <c:v>603</c:v>
                </c:pt>
                <c:pt idx="7">
                  <c:v>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Fanuc</c:v>
                </c:pt>
                <c:pt idx="1">
                  <c:v>Yaskawa Electric</c:v>
                </c:pt>
                <c:pt idx="2">
                  <c:v>ABB Robotics (división de ABB, en venta a SoftBank)</c:v>
                </c:pt>
                <c:pt idx="3">
                  <c:v>KUKA (grupo Midea)</c:v>
                </c:pt>
                <c:pt idx="4">
                  <c:v>Siemens Digital Industries</c:v>
                </c:pt>
                <c:pt idx="5">
                  <c:v>Mitsubishi Electric, sistemas de automatización industrial</c:v>
                </c:pt>
                <c:pt idx="6">
                  <c:v>Teradyne Robotics (Universal Robots y MiR)</c:v>
                </c:pt>
              </c:strCache>
            </c:strRef>
          </c:cat>
          <c:val>
            <c:numRef>
              <c:f>Hoja1!$B$2:$B$8</c:f>
              <c:numCache>
                <c:formatCode>0.0"%"</c:formatCode>
                <c:ptCount val="7"/>
                <c:pt idx="0">
                  <c:v>21.4</c:v>
                </c:pt>
                <c:pt idx="1">
                  <c:v>8.7</c:v>
                </c:pt>
                <c:pt idx="2">
                  <c:v>12.6</c:v>
                </c:pt>
                <c:pt idx="3">
                  <c:v>2.1</c:v>
                </c:pt>
                <c:pt idx="4">
                  <c:v>14.9</c:v>
                </c:pt>
                <c:pt idx="5">
                  <c:v>9.6</c:v>
                </c:pt>
                <c:pt idx="6">
                  <c:v>-32.2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3</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Hoja1!$B$2:$B$21</c:f>
              <c:numCache>
                <c:formatCode>#,##0</c:formatCode>
                <c:ptCount val="20"/>
                <c:pt idx="0">
                  <c:v>536942</c:v>
                </c:pt>
                <c:pt idx="1">
                  <c:v>726596</c:v>
                </c:pt>
                <c:pt idx="2">
                  <c:v>635568</c:v>
                </c:pt>
                <c:pt idx="3">
                  <c:v>508252</c:v>
                </c:pt>
                <c:pt idx="4">
                  <c:v>551287</c:v>
                </c:pt>
                <c:pt idx="5">
                  <c:v>733008</c:v>
                </c:pt>
                <c:pt idx="6">
                  <c:v>851956</c:v>
                </c:pt>
                <c:pt idx="7">
                  <c:v>795274</c:v>
                </c:pt>
                <c:pt idx="8">
                  <c:v>797129</c:v>
                </c:pt>
                <c:pt idx="9">
                  <c:v>857831</c:v>
                </c:pt>
                <c:pt idx="10">
                  <c:v>1020819</c:v>
                </c:pt>
                <c:pt idx="11">
                  <c:v>1071860</c:v>
                </c:pt>
                <c:pt idx="12">
                  <c:v>1104016</c:v>
                </c:pt>
                <c:pt idx="13">
                  <c:v>1026735</c:v>
                </c:pt>
                <c:pt idx="14">
                  <c:v>1093472</c:v>
                </c:pt>
                <c:pt idx="15">
                  <c:v>1148146</c:v>
                </c:pt>
                <c:pt idx="16">
                  <c:v>1194072</c:v>
                </c:pt>
                <c:pt idx="17">
                  <c:v>1235864</c:v>
                </c:pt>
                <c:pt idx="18">
                  <c:v>1272940</c:v>
                </c:pt>
                <c:pt idx="19">
                  <c:v>1304764</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Hoja1!$C$2:$C$21</c:f>
              <c:numCache>
                <c:formatCode>#,##0</c:formatCode>
                <c:ptCount val="20"/>
                <c:pt idx="0">
                  <c:v>179747</c:v>
                </c:pt>
                <c:pt idx="1">
                  <c:v>263794</c:v>
                </c:pt>
                <c:pt idx="2">
                  <c:v>203006</c:v>
                </c:pt>
                <c:pt idx="3">
                  <c:v>134263</c:v>
                </c:pt>
                <c:pt idx="4">
                  <c:v>157616</c:v>
                </c:pt>
                <c:pt idx="5">
                  <c:v>230317</c:v>
                </c:pt>
                <c:pt idx="6">
                  <c:v>240548</c:v>
                </c:pt>
                <c:pt idx="7">
                  <c:v>190920</c:v>
                </c:pt>
                <c:pt idx="8">
                  <c:v>205294</c:v>
                </c:pt>
                <c:pt idx="9">
                  <c:v>231545</c:v>
                </c:pt>
                <c:pt idx="10">
                  <c:v>293996</c:v>
                </c:pt>
                <c:pt idx="11">
                  <c:v>312983</c:v>
                </c:pt>
                <c:pt idx="12">
                  <c:v>320165</c:v>
                </c:pt>
                <c:pt idx="13">
                  <c:v>272085</c:v>
                </c:pt>
                <c:pt idx="14">
                  <c:v>306172</c:v>
                </c:pt>
                <c:pt idx="15">
                  <c:v>327222</c:v>
                </c:pt>
                <c:pt idx="16">
                  <c:v>340310</c:v>
                </c:pt>
                <c:pt idx="17">
                  <c:v>352221</c:v>
                </c:pt>
                <c:pt idx="18">
                  <c:v>362788</c:v>
                </c:pt>
                <c:pt idx="19">
                  <c:v>371858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43.5</c:v>
                </c:pt>
                <c:pt idx="1">
                  <c:v>45.2</c:v>
                </c:pt>
                <c:pt idx="2">
                  <c:v>41.8</c:v>
                </c:pt>
                <c:pt idx="3">
                  <c:v>35.8</c:v>
                </c:pt>
                <c:pt idx="4">
                  <c:v>36.6</c:v>
                </c:pt>
                <c:pt idx="5">
                  <c:v>40.3</c:v>
                </c:pt>
                <c:pt idx="6">
                  <c:v>38.2</c:v>
                </c:pt>
                <c:pt idx="7">
                  <c:v>34.7</c:v>
                </c:pt>
                <c:pt idx="8">
                  <c:v>37</c:v>
                </c:pt>
                <c:pt idx="9">
                  <c:v>38.3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33.5</c:v>
                </c:pt>
                <c:pt idx="1">
                  <c:v>36.3</c:v>
                </c:pt>
                <c:pt idx="2">
                  <c:v>31.9</c:v>
                </c:pt>
                <c:pt idx="3">
                  <c:v>26.4</c:v>
                </c:pt>
                <c:pt idx="4">
                  <c:v>28.6</c:v>
                </c:pt>
                <c:pt idx="5">
                  <c:v>31.4</c:v>
                </c:pt>
                <c:pt idx="6">
                  <c:v>28.2</c:v>
                </c:pt>
                <c:pt idx="7">
                  <c:v>24</c:v>
                </c:pt>
                <c:pt idx="8">
                  <c:v>25.8</c:v>
                </c:pt>
                <c:pt idx="9">
                  <c:v>27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28.5</c:v>
                </c:pt>
                <c:pt idx="1">
                  <c:v>31.6</c:v>
                </c:pt>
                <c:pt idx="2">
                  <c:v>25.7</c:v>
                </c:pt>
                <c:pt idx="3">
                  <c:v>17.4</c:v>
                </c:pt>
                <c:pt idx="4">
                  <c:v>20.4</c:v>
                </c:pt>
                <c:pt idx="5">
                  <c:v>25</c:v>
                </c:pt>
                <c:pt idx="6">
                  <c:v>22.5</c:v>
                </c:pt>
                <c:pt idx="7">
                  <c:v>17.8</c:v>
                </c:pt>
                <c:pt idx="8">
                  <c:v>19.9</c:v>
                </c:pt>
                <c:pt idx="9">
                  <c:v>21.4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23.8</c:v>
                </c:pt>
                <c:pt idx="1">
                  <c:v>25</c:v>
                </c:pt>
                <c:pt idx="2">
                  <c:v>24.3</c:v>
                </c:pt>
                <c:pt idx="3">
                  <c:v>14.4</c:v>
                </c:pt>
                <c:pt idx="4">
                  <c:v>17.1</c:v>
                </c:pt>
                <c:pt idx="5">
                  <c:v>21.2</c:v>
                </c:pt>
                <c:pt idx="6">
                  <c:v>20</c:v>
                </c:pt>
                <c:pt idx="7">
                  <c:v>16.7</c:v>
                </c:pt>
                <c:pt idx="8">
                  <c:v>18.5</c:v>
                </c:pt>
                <c:pt idx="9">
                  <c:v>19.4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 FY24</c:v>
                </c:pt>
                <c:pt idx="1">
                  <c:v>4T FY24</c:v>
                </c:pt>
                <c:pt idx="2">
                  <c:v>1T FY25</c:v>
                </c:pt>
                <c:pt idx="3">
                  <c:v>2T FY25</c:v>
                </c:pt>
                <c:pt idx="4">
                  <c:v>3T FY25</c:v>
                </c:pt>
                <c:pt idx="5">
                  <c:v>4T FY25</c:v>
                </c:pt>
                <c:pt idx="6">
                  <c:v>1T FY26</c:v>
                </c:pt>
                <c:pt idx="7">
                  <c:v>2T FY26</c:v>
                </c:pt>
              </c:strCache>
            </c:strRef>
          </c:cat>
          <c:val>
            <c:numRef>
              <c:f>Hoja1!$B$2:$B$9</c:f>
              <c:numCache>
                <c:formatCode>0.0"%"</c:formatCode>
                <c:ptCount val="8"/>
                <c:pt idx="0">
                  <c:v>-0.4</c:v>
                </c:pt>
                <c:pt idx="1">
                  <c:v>6.7</c:v>
                </c:pt>
                <c:pt idx="2">
                  <c:v>0.6</c:v>
                </c:pt>
                <c:pt idx="3">
                  <c:v>9.5</c:v>
                </c:pt>
                <c:pt idx="4">
                  <c:v>9.5</c:v>
                </c:pt>
                <c:pt idx="5">
                  <c:v>10.6</c:v>
                </c:pt>
                <c:pt idx="6">
                  <c:v>17.7</c:v>
                </c:pt>
                <c:pt idx="7">
                  <c:v>14.9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82</c:v>
                </c:pt>
                <c:pt idx="1">
                  <c:v>88</c:v>
                </c:pt>
                <c:pt idx="2">
                  <c:v>61</c:v>
                </c:pt>
                <c:pt idx="3">
                  <c:v>61</c:v>
                </c:pt>
                <c:pt idx="4">
                  <c:v>85</c:v>
                </c:pt>
                <c:pt idx="5">
                  <c:v>75</c:v>
                </c:pt>
                <c:pt idx="6">
                  <c:v>70</c:v>
                </c:pt>
                <c:pt idx="7">
                  <c:v>72</c:v>
                </c:pt>
                <c:pt idx="8">
                  <c:v>72</c:v>
                </c:pt>
                <c:pt idx="9">
                  <c:v>73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142</c:v>
                </c:pt>
                <c:pt idx="1">
                  <c:v>138</c:v>
                </c:pt>
                <c:pt idx="2">
                  <c:v>154</c:v>
                </c:pt>
                <c:pt idx="3">
                  <c:v>160</c:v>
                </c:pt>
                <c:pt idx="4">
                  <c:v>172</c:v>
                </c:pt>
                <c:pt idx="5">
                  <c:v>208</c:v>
                </c:pt>
                <c:pt idx="6">
                  <c:v>243</c:v>
                </c:pt>
                <c:pt idx="7">
                  <c:v>255</c:v>
                </c:pt>
                <c:pt idx="8">
                  <c:v>223</c:v>
                </c:pt>
                <c:pt idx="9">
                  <c:v>201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43</c:v>
                </c:pt>
                <c:pt idx="1">
                  <c:v>48</c:v>
                </c:pt>
                <c:pt idx="2">
                  <c:v>36</c:v>
                </c:pt>
                <c:pt idx="3">
                  <c:v>30</c:v>
                </c:pt>
                <c:pt idx="4">
                  <c:v>46</c:v>
                </c:pt>
                <c:pt idx="5">
                  <c:v>41</c:v>
                </c:pt>
                <c:pt idx="6">
                  <c:v>39</c:v>
                </c:pt>
                <c:pt idx="7">
                  <c:v>30</c:v>
                </c:pt>
                <c:pt idx="8">
                  <c:v>27</c:v>
                </c:pt>
                <c:pt idx="9">
                  <c:v>32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34204</c:v>
                </c:pt>
                <c:pt idx="1">
                  <c:v>72974</c:v>
                </c:pt>
                <c:pt idx="2">
                  <c:v>52414</c:v>
                </c:pt>
                <c:pt idx="3">
                  <c:v>69443</c:v>
                </c:pt>
                <c:pt idx="4">
                  <c:v>96228</c:v>
                </c:pt>
                <c:pt idx="5">
                  <c:v>91218</c:v>
                </c:pt>
                <c:pt idx="6">
                  <c:v>52439</c:v>
                </c:pt>
                <c:pt idx="7">
                  <c:v>117880</c:v>
                </c:pt>
                <c:pt idx="8">
                  <c:v>214468</c:v>
                </c:pt>
                <c:pt idx="9">
                  <c:v>229715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127697</c:v>
                </c:pt>
                <c:pt idx="1">
                  <c:v>181957</c:v>
                </c:pt>
                <c:pt idx="2">
                  <c:v>154163</c:v>
                </c:pt>
                <c:pt idx="3">
                  <c:v>73371</c:v>
                </c:pt>
                <c:pt idx="4">
                  <c:v>94012</c:v>
                </c:pt>
                <c:pt idx="5">
                  <c:v>155273</c:v>
                </c:pt>
                <c:pt idx="6">
                  <c:v>170587</c:v>
                </c:pt>
                <c:pt idx="7">
                  <c:v>133159</c:v>
                </c:pt>
                <c:pt idx="8">
                  <c:v>147557</c:v>
                </c:pt>
                <c:pt idx="9">
                  <c:v>166543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19.5</c:v>
                </c:pt>
                <c:pt idx="1">
                  <c:v>25.5</c:v>
                </c:pt>
                <c:pt idx="2">
                  <c:v>15.7</c:v>
                </c:pt>
                <c:pt idx="3">
                  <c:v>7.9</c:v>
                </c:pt>
                <c:pt idx="4">
                  <c:v>10</c:v>
                </c:pt>
                <c:pt idx="5">
                  <c:v>15.2</c:v>
                </c:pt>
                <c:pt idx="6">
                  <c:v>14.1</c:v>
                </c:pt>
                <c:pt idx="7">
                  <c:v>9.3</c:v>
                </c:pt>
                <c:pt idx="8">
                  <c:v>10.6</c:v>
                </c:pt>
                <c:pt idx="9">
                  <c:v>12.1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9.1</c:v>
                </c:pt>
                <c:pt idx="1">
                  <c:v>9.1</c:v>
                </c:pt>
                <c:pt idx="2">
                  <c:v>9.1</c:v>
                </c:pt>
                <c:pt idx="3">
                  <c:v>9.1</c:v>
                </c:pt>
                <c:pt idx="4">
                  <c:v>9.1</c:v>
                </c:pt>
                <c:pt idx="5">
                  <c:v>9.1</c:v>
                </c:pt>
                <c:pt idx="6">
                  <c:v>9.1</c:v>
                </c:pt>
                <c:pt idx="7">
                  <c:v>9.1</c:v>
                </c:pt>
                <c:pt idx="8">
                  <c:v>9.1</c:v>
                </c:pt>
                <c:pt idx="9">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9.4</c:v>
                </c:pt>
                <c:pt idx="1">
                  <c:v>12.9</c:v>
                </c:pt>
                <c:pt idx="2">
                  <c:v>10.6</c:v>
                </c:pt>
                <c:pt idx="3">
                  <c:v>5.3</c:v>
                </c:pt>
                <c:pt idx="4">
                  <c:v>6.8</c:v>
                </c:pt>
                <c:pt idx="5">
                  <c:v>10.5</c:v>
                </c:pt>
                <c:pt idx="6">
                  <c:v>10.8</c:v>
                </c:pt>
                <c:pt idx="7">
                  <c:v>8</c:v>
                </c:pt>
                <c:pt idx="8">
                  <c:v>8.6</c:v>
                </c:pt>
                <c:pt idx="9">
                  <c:v>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-4.31</c:v>
                </c:pt>
                <c:pt idx="1">
                  <c:v>-2.83</c:v>
                </c:pt>
                <c:pt idx="2">
                  <c:v>-3.06</c:v>
                </c:pt>
                <c:pt idx="3">
                  <c:v>-3.97</c:v>
                </c:pt>
                <c:pt idx="4">
                  <c:v>-3.72</c:v>
                </c:pt>
                <c:pt idx="5">
                  <c:v>-2.61</c:v>
                </c:pt>
                <c:pt idx="6">
                  <c:v>-2.2</c:v>
                </c:pt>
                <c:pt idx="7">
                  <c:v>-2.82</c:v>
                </c:pt>
                <c:pt idx="8">
                  <c:v>-2.95</c:v>
                </c:pt>
                <c:pt idx="9">
                  <c:v>-3.26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76505</c:v>
                </c:pt>
                <c:pt idx="1">
                  <c:v>92003</c:v>
                </c:pt>
                <c:pt idx="2">
                  <c:v>173571</c:v>
                </c:pt>
                <c:pt idx="3">
                  <c:v>102546</c:v>
                </c:pt>
                <c:pt idx="4">
                  <c:v>50484</c:v>
                </c:pt>
                <c:pt idx="5">
                  <c:v>86799</c:v>
                </c:pt>
                <c:pt idx="6">
                  <c:v>96485</c:v>
                </c:pt>
                <c:pt idx="7">
                  <c:v>90096</c:v>
                </c:pt>
                <c:pt idx="8">
                  <c:v>83133</c:v>
                </c:pt>
                <c:pt idx="9">
                  <c:v>94459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13481</c:v>
                </c:pt>
                <c:pt idx="1">
                  <c:v>442</c:v>
                </c:pt>
                <c:pt idx="2">
                  <c:v>183</c:v>
                </c:pt>
                <c:pt idx="3">
                  <c:v>36870</c:v>
                </c:pt>
                <c:pt idx="4">
                  <c:v>283</c:v>
                </c:pt>
                <c:pt idx="5">
                  <c:v>234</c:v>
                </c:pt>
                <c:pt idx="6">
                  <c:v>24436</c:v>
                </c:pt>
                <c:pt idx="7">
                  <c:v>28391</c:v>
                </c:pt>
                <c:pt idx="8">
                  <c:v>49555</c:v>
                </c:pt>
                <c:pt idx="9">
                  <c:v>553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3</c:v>
                </c:pt>
                <c:pt idx="1">
                  <c:v>6</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The Master Trust Bank of Japan (cuenta fiduciaria)</c:v>
                </c:pt>
                <c:pt idx="1">
                  <c:v>Custody Bank of Japan (cuenta fiduciaria)</c:v>
                </c:pt>
                <c:pt idx="2">
                  <c:v>Nomura Asset Management (con Nomura Securities)</c:v>
                </c:pt>
                <c:pt idx="3">
                  <c:v>BlackRock (grupo, varias entidades)</c:v>
                </c:pt>
                <c:pt idx="4">
                  <c:v>Amova Asset Management y Sumitomo Mitsui Trust Asset Management (codetentores)</c:v>
                </c:pt>
                <c:pt idx="5">
                  <c:v>Citibank N.A. - NY, depositario de los ADR</c:v>
                </c:pt>
                <c:pt idx="6">
                  <c:v>Autocartera</c:v>
                </c:pt>
              </c:strCache>
            </c:strRef>
          </c:cat>
          <c:val>
            <c:numRef>
              <c:f>Hoja1!$B$2:$B$8</c:f>
              <c:numCache>
                <c:formatCode>0.0"%"</c:formatCode>
                <c:ptCount val="7"/>
                <c:pt idx="0">
                  <c:v>23.41</c:v>
                </c:pt>
                <c:pt idx="1">
                  <c:v>10.32</c:v>
                </c:pt>
                <c:pt idx="2">
                  <c:v>9.37</c:v>
                </c:pt>
                <c:pt idx="3">
                  <c:v>8.3</c:v>
                </c:pt>
                <c:pt idx="4">
                  <c:v>7.09</c:v>
                </c:pt>
                <c:pt idx="5">
                  <c:v>2.97</c:v>
                </c:pt>
                <c:pt idx="6">
                  <c:v>5.84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-3.8</c:v>
                </c:pt>
                <c:pt idx="1">
                  <c:v>39.4</c:v>
                </c:pt>
                <c:pt idx="2">
                  <c:v>-36</c:v>
                </c:pt>
                <c:pt idx="3">
                  <c:v>25.4</c:v>
                </c:pt>
                <c:pt idx="4">
                  <c:v>26.7</c:v>
                </c:pt>
                <c:pt idx="5">
                  <c:v>-2.2</c:v>
                </c:pt>
                <c:pt idx="6">
                  <c:v>-16.7</c:v>
                </c:pt>
                <c:pt idx="7">
                  <c:v>6.9</c:v>
                </c:pt>
                <c:pt idx="8">
                  <c:v>2.8</c:v>
                </c:pt>
                <c:pt idx="9">
                  <c:v>49.2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22.2</c:v>
                </c:pt>
                <c:pt idx="2">
                  <c:v>-16.1</c:v>
                </c:pt>
                <c:pt idx="3">
                  <c:v>17.9</c:v>
                </c:pt>
                <c:pt idx="4">
                  <c:v>7.3</c:v>
                </c:pt>
                <c:pt idx="5">
                  <c:v>12.7</c:v>
                </c:pt>
                <c:pt idx="6">
                  <c:v>-2.3</c:v>
                </c:pt>
                <c:pt idx="7">
                  <c:v>27.9</c:v>
                </c:pt>
                <c:pt idx="8">
                  <c:v>20.3</c:v>
                </c:pt>
                <c:pt idx="9">
                  <c:v>25.5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Hoja1!$A$2:$A$12</c:f>
              <c:strCache>
                <c:ptCount val="11"/>
                <c:pt idx="0">
                  <c:v>FY2015</c:v>
                </c:pt>
                <c:pt idx="1">
                  <c:v>FY2016</c:v>
                </c:pt>
                <c:pt idx="2">
                  <c:v>FY2017</c:v>
                </c:pt>
                <c:pt idx="3">
                  <c:v>FY2018</c:v>
                </c:pt>
                <c:pt idx="4">
                  <c:v>FY2019</c:v>
                </c:pt>
                <c:pt idx="5">
                  <c:v>FY2020</c:v>
                </c:pt>
                <c:pt idx="6">
                  <c:v>FY2021</c:v>
                </c:pt>
                <c:pt idx="7">
                  <c:v>FY2022</c:v>
                </c:pt>
                <c:pt idx="8">
                  <c:v>FY2023</c:v>
                </c:pt>
                <c:pt idx="9">
                  <c:v>FY2024</c:v>
                </c:pt>
                <c:pt idx="10">
                  <c:v>FY2025</c:v>
                </c:pt>
              </c:strCache>
            </c:strRef>
          </c:cat>
          <c:val>
            <c:numRef>
              <c:f>Hoja1!$B$2:$B$12</c:f>
              <c:numCache>
                <c:formatCode>0.0"x"</c:formatCode>
                <c:ptCount val="11"/>
                <c:pt idx="1">
                  <c:v>20.3</c:v>
                </c:pt>
                <c:pt idx="2">
                  <c:v>17</c:v>
                </c:pt>
                <c:pt idx="3">
                  <c:v>15</c:v>
                </c:pt>
                <c:pt idx="4">
                  <c:v>17.1</c:v>
                </c:pt>
                <c:pt idx="5">
                  <c:v>28.2</c:v>
                </c:pt>
                <c:pt idx="6">
                  <c:v>15.5</c:v>
                </c:pt>
                <c:pt idx="7">
                  <c:v>16.8</c:v>
                </c:pt>
                <c:pt idx="8">
                  <c:v>18.1</c:v>
                </c:pt>
                <c:pt idx="9">
                  <c:v>15.7</c:v>
                </c:pt>
                <c:pt idx="10">
                  <c:v>18.2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Hoja1!$A$2:$A$12</c:f>
              <c:strCache>
                <c:ptCount val="11"/>
                <c:pt idx="0">
                  <c:v>FY2015</c:v>
                </c:pt>
                <c:pt idx="1">
                  <c:v>FY2016</c:v>
                </c:pt>
                <c:pt idx="2">
                  <c:v>FY2017</c:v>
                </c:pt>
                <c:pt idx="3">
                  <c:v>FY2018</c:v>
                </c:pt>
                <c:pt idx="4">
                  <c:v>FY2019</c:v>
                </c:pt>
                <c:pt idx="5">
                  <c:v>FY2020</c:v>
                </c:pt>
                <c:pt idx="6">
                  <c:v>FY2021</c:v>
                </c:pt>
                <c:pt idx="7">
                  <c:v>FY2022</c:v>
                </c:pt>
                <c:pt idx="8">
                  <c:v>FY2023</c:v>
                </c:pt>
                <c:pt idx="9">
                  <c:v>FY2024</c:v>
                </c:pt>
                <c:pt idx="10">
                  <c:v>FY2025</c:v>
                </c:pt>
              </c:strCache>
            </c:strRef>
          </c:cat>
          <c:val>
            <c:numRef>
              <c:f>Hoja1!$C$2:$C$12</c:f>
              <c:numCache>
                <c:formatCode>0.0"x"</c:formatCode>
                <c:ptCount val="11"/>
                <c:pt idx="0">
                  <c:v>17.1</c:v>
                </c:pt>
                <c:pt idx="1">
                  <c:v>17.1</c:v>
                </c:pt>
                <c:pt idx="2">
                  <c:v>17.1</c:v>
                </c:pt>
                <c:pt idx="3">
                  <c:v>17.1</c:v>
                </c:pt>
                <c:pt idx="4">
                  <c:v>17.1</c:v>
                </c:pt>
                <c:pt idx="5">
                  <c:v>17.1</c:v>
                </c:pt>
                <c:pt idx="6">
                  <c:v>17.1</c:v>
                </c:pt>
                <c:pt idx="7">
                  <c:v>17.1</c:v>
                </c:pt>
                <c:pt idx="8">
                  <c:v>17.1</c:v>
                </c:pt>
                <c:pt idx="9">
                  <c:v>17.1</c:v>
                </c:pt>
                <c:pt idx="10">
                  <c:v>17.1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Fanuc</c:v>
                </c:pt>
                <c:pt idx="1">
                  <c:v>Yaskawa Electric</c:v>
                </c:pt>
                <c:pt idx="2">
                  <c:v>Keyence</c:v>
                </c:pt>
                <c:pt idx="3">
                  <c:v>SMC</c:v>
                </c:pt>
                <c:pt idx="4">
                  <c:v>Nabtesco</c:v>
                </c:pt>
                <c:pt idx="5">
                  <c:v>Harmonic Drive Systems</c:v>
                </c:pt>
                <c:pt idx="6">
                  <c:v>Mitsubishi Electric</c:v>
                </c:pt>
                <c:pt idx="7">
                  <c:v>Siemens</c:v>
                </c:pt>
                <c:pt idx="8">
                  <c:v>Rockwell Automation</c:v>
                </c:pt>
              </c:strCache>
            </c:strRef>
          </c:cat>
          <c:val>
            <c:numRef>
              <c:f>Hoja1!$B$2:$B$10</c:f>
              <c:numCache>
                <c:formatCode>0.0"x"</c:formatCode>
                <c:ptCount val="9"/>
                <c:pt idx="0">
                  <c:v>13.8</c:v>
                </c:pt>
                <c:pt idx="1">
                  <c:v>11.6</c:v>
                </c:pt>
                <c:pt idx="2">
                  <c:v>18.7</c:v>
                </c:pt>
                <c:pt idx="3">
                  <c:v>8.7</c:v>
                </c:pt>
                <c:pt idx="4">
                  <c:v>8.6</c:v>
                </c:pt>
                <c:pt idx="5">
                  <c:v>24.6</c:v>
                </c:pt>
                <c:pt idx="6">
                  <c:v>9.6</c:v>
                </c:pt>
                <c:pt idx="7">
                  <c:v>14.5</c:v>
                </c:pt>
                <c:pt idx="8">
                  <c:v>20.8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Fanuc</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8.4</c:v>
                </c:pt>
              </c:numCache>
            </c:numRef>
          </c:xVal>
          <c:yVal>
            <c:numRef>
              <c:f>Hoja1!$C$2</c:f>
              <c:numCache>
                <c:formatCode>0.0"x"</c:formatCode>
                <c:ptCount val="1"/>
                <c:pt idx="0">
                  <c:v>13.8</c:v>
                </c:pt>
              </c:numCache>
            </c:numRef>
          </c:yVal>
          <c:smooth val="0"/>
        </c:ser>
        <c:ser>
          <c:idx val="1"/>
          <c:order val="1"/>
          <c:tx>
            <c:strRef>
              <c:f>Hoja1!$A$3</c:f>
              <c:strCache>
                <c:ptCount val="1"/>
                <c:pt idx="0">
                  <c:v>Yaskawa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9.3</c:v>
                </c:pt>
              </c:numCache>
            </c:numRef>
          </c:xVal>
          <c:yVal>
            <c:numRef>
              <c:f>Hoja1!$C$3</c:f>
              <c:numCache>
                <c:formatCode>0.0"x"</c:formatCode>
                <c:ptCount val="1"/>
                <c:pt idx="0">
                  <c:v>11.6</c:v>
                </c:pt>
              </c:numCache>
            </c:numRef>
          </c:yVal>
          <c:smooth val="0"/>
        </c:ser>
        <c:ser>
          <c:idx val="2"/>
          <c:order val="2"/>
          <c:tx>
            <c:strRef>
              <c:f>Hoja1!$A$4</c:f>
              <c:strCache>
                <c:ptCount val="1"/>
                <c:pt idx="0">
                  <c:v>Keyence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20.1</c:v>
                </c:pt>
              </c:numCache>
            </c:numRef>
          </c:xVal>
          <c:yVal>
            <c:numRef>
              <c:f>Hoja1!$C$4</c:f>
              <c:numCache>
                <c:formatCode>0.0"x"</c:formatCode>
                <c:ptCount val="1"/>
                <c:pt idx="0">
                  <c:v>18.7</c:v>
                </c:pt>
              </c:numCache>
            </c:numRef>
          </c:yVal>
          <c:smooth val="0"/>
        </c:ser>
        <c:ser>
          <c:idx val="3"/>
          <c:order val="3"/>
          <c:tx>
            <c:strRef>
              <c:f>Hoja1!$A$5</c:f>
              <c:strCache>
                <c:ptCount val="1"/>
                <c:pt idx="0">
                  <c:v>SMC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21</c:v>
                </c:pt>
              </c:numCache>
            </c:numRef>
          </c:xVal>
          <c:yVal>
            <c:numRef>
              <c:f>Hoja1!$C$5</c:f>
              <c:numCache>
                <c:formatCode>0.0"x"</c:formatCode>
                <c:ptCount val="1"/>
                <c:pt idx="0">
                  <c:v>8.7</c:v>
                </c:pt>
              </c:numCache>
            </c:numRef>
          </c:yVal>
          <c:smooth val="0"/>
        </c:ser>
        <c:ser>
          <c:idx val="4"/>
          <c:order val="4"/>
          <c:tx>
            <c:strRef>
              <c:f>Hoja1!$A$6</c:f>
              <c:strCache>
                <c:ptCount val="1"/>
                <c:pt idx="0">
                  <c:v>Nabtesco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9.6</c:v>
                </c:pt>
              </c:numCache>
            </c:numRef>
          </c:xVal>
          <c:yVal>
            <c:numRef>
              <c:f>Hoja1!$C$6</c:f>
              <c:numCache>
                <c:formatCode>0.0"x"</c:formatCode>
                <c:ptCount val="1"/>
                <c:pt idx="0">
                  <c:v>8.6</c:v>
                </c:pt>
              </c:numCache>
            </c:numRef>
          </c:yVal>
          <c:smooth val="0"/>
        </c:ser>
        <c:ser>
          <c:idx val="5"/>
          <c:order val="5"/>
          <c:tx>
            <c:strRef>
              <c:f>Hoja1!$A$7</c:f>
              <c:strCache>
                <c:ptCount val="1"/>
                <c:pt idx="0">
                  <c:v>Harmonic Drive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22.6</c:v>
                </c:pt>
              </c:numCache>
            </c:numRef>
          </c:xVal>
          <c:yVal>
            <c:numRef>
              <c:f>Hoja1!$C$7</c:f>
              <c:numCache>
                <c:formatCode>0.0"x"</c:formatCode>
                <c:ptCount val="1"/>
                <c:pt idx="0">
                  <c:v>24.6</c:v>
                </c:pt>
              </c:numCache>
            </c:numRef>
          </c:yVal>
          <c:smooth val="0"/>
        </c:ser>
        <c:ser>
          <c:idx val="6"/>
          <c:order val="6"/>
          <c:tx>
            <c:strRef>
              <c:f>Hoja1!$A$8</c:f>
              <c:strCache>
                <c:ptCount val="1"/>
                <c:pt idx="0">
                  <c:v>Mitsubishi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7.1</c:v>
                </c:pt>
              </c:numCache>
            </c:numRef>
          </c:xVal>
          <c:yVal>
            <c:numRef>
              <c:f>Hoja1!$C$8</c:f>
              <c:numCache>
                <c:formatCode>0.0"x"</c:formatCode>
                <c:ptCount val="1"/>
                <c:pt idx="0">
                  <c:v>9.6</c:v>
                </c:pt>
              </c:numCache>
            </c:numRef>
          </c:yVal>
          <c:smooth val="0"/>
        </c:ser>
        <c:ser>
          <c:idx val="7"/>
          <c:order val="7"/>
          <c:tx>
            <c:strRef>
              <c:f>Hoja1!$A$9</c:f>
              <c:strCache>
                <c:ptCount val="1"/>
                <c:pt idx="0">
                  <c:v>Siemens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8.7</c:v>
                </c:pt>
              </c:numCache>
            </c:numRef>
          </c:xVal>
          <c:yVal>
            <c:numRef>
              <c:f>Hoja1!$C$9</c:f>
              <c:numCache>
                <c:formatCode>0.0"x"</c:formatCode>
                <c:ptCount val="1"/>
                <c:pt idx="0">
                  <c:v>14.5</c:v>
                </c:pt>
              </c:numCache>
            </c:numRef>
          </c:yVal>
          <c:smooth val="0"/>
        </c:ser>
        <c:ser>
          <c:idx val="8"/>
          <c:order val="8"/>
          <c:tx>
            <c:strRef>
              <c:f>Hoja1!$A$10</c:f>
              <c:strCache>
                <c:ptCount val="1"/>
                <c:pt idx="0">
                  <c:v>Rockwell Automation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5.8</c:v>
                </c:pt>
              </c:numCache>
            </c:numRef>
          </c:xVal>
          <c:yVal>
            <c:numRef>
              <c:f>Hoja1!$C$10</c:f>
              <c:numCache>
                <c:formatCode>0.0"x"</c:formatCode>
                <c:ptCount val="1"/>
                <c:pt idx="0">
                  <c:v>20.8</c:v>
                </c:pt>
              </c:numCache>
            </c:numRef>
          </c:yVal>
          <c:smooth val="0"/>
        </c:ser>
        <c:axId val="10"/>
        <c:axId val="20"/>
      </c:scatterChart>
      <c:valAx>
        <c:axId val="10"/>
        <c:scaling>
          <c:orientation val="minMax"/>
          <c:max val="2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ABB Robotics (robots industriales de ABB)</c:v>
                </c:pt>
                <c:pt idx="1">
                  <c:v>Hillenbrand (maquinaria de procesado y de inyección, Milacron)</c:v>
                </c:pt>
                <c:pt idx="2">
                  <c:v>Altair Engineering (software de simulación)</c:v>
                </c:pt>
                <c:pt idx="3">
                  <c:v>National Instruments (NI, test y medida)</c:v>
                </c:pt>
                <c:pt idx="4">
                  <c:v>Makino Milling Machine (máquina herramienta)</c:v>
                </c:pt>
              </c:strCache>
            </c:strRef>
          </c:cat>
          <c:val>
            <c:numRef>
              <c:f>Hoja1!$B$2:$B$6</c:f>
              <c:numCache>
                <c:formatCode>0.0"x"</c:formatCode>
                <c:ptCount val="5"/>
                <c:pt idx="0">
                  <c:v>17.2</c:v>
                </c:pt>
                <c:pt idx="1">
                  <c:v>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151817</c:v>
                </c:pt>
                <c:pt idx="1">
                  <c:v>115769</c:v>
                </c:pt>
                <c:pt idx="2">
                  <c:v>126784</c:v>
                </c:pt>
                <c:pt idx="3">
                  <c:v>138107</c:v>
                </c:pt>
                <c:pt idx="4">
                  <c:v>117548</c:v>
                </c:pt>
                <c:pt idx="5">
                  <c:v>129526</c:v>
                </c:pt>
                <c:pt idx="6">
                  <c:v>133942</c:v>
                </c:pt>
                <c:pt idx="7">
                  <c:v>141213</c:v>
                </c:pt>
                <c:pt idx="8">
                  <c:v>148136</c:v>
                </c:pt>
                <c:pt idx="9">
                  <c:v>154620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855976</c:v>
                </c:pt>
                <c:pt idx="1">
                  <c:v>986880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5.639,00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2700.8</c:v>
                </c:pt>
                <c:pt idx="1">
                  <c:v>3305.85</c:v>
                </c:pt>
                <c:pt idx="2">
                  <c:v>4202.96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5.639,00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(4.761,00 – 8.880,00)</c:v>
                </c:pt>
                <c:pt idx="1">
                  <c:v>Precio objetivo de los analistas (4.900,00 – 8.700,00)</c:v>
                </c:pt>
                <c:pt idx="2">
                  <c:v>Comparables: EV/EBITDA NTM (4.245,81 – 7.326,82)</c:v>
                </c:pt>
                <c:pt idx="3">
                  <c:v>Comparables: PER NTM (4.173,80 – 6.900,60)</c:v>
                </c:pt>
                <c:pt idx="4">
                  <c:v>DCF (WACC y g ± 0,5) (3.111,93 – 3.561,65)</c:v>
                </c:pt>
                <c:pt idx="5">
                  <c:v>Escenarios (bajista – alcista) (2.700,80 – 4.202,96)</c:v>
                </c:pt>
                <c:pt idx="6">
                  <c:v>DCF con la prima implícita del mercado (4,2 %)</c:v>
                </c:pt>
                <c:pt idx="7">
                  <c:v>Precio actual (5.639,00)</c:v>
                </c:pt>
              </c:strCache>
            </c:strRef>
          </c:cat>
          <c:val>
            <c:numRef>
              <c:f>Hoja1!$B$2:$B$9</c:f>
              <c:numCache>
                <c:formatCode>#,##0</c:formatCode>
                <c:ptCount val="8"/>
                <c:pt idx="0">
                  <c:v>4761</c:v>
                </c:pt>
                <c:pt idx="1">
                  <c:v>4900</c:v>
                </c:pt>
                <c:pt idx="2">
                  <c:v>4245.81</c:v>
                </c:pt>
                <c:pt idx="3">
                  <c:v>4173.8</c:v>
                </c:pt>
                <c:pt idx="4">
                  <c:v>3111.93</c:v>
                </c:pt>
                <c:pt idx="5">
                  <c:v>2700.8</c:v>
                </c:pt>
                <c:pt idx="6">
                  <c:v>3501.78</c:v>
                </c:pt>
                <c:pt idx="7">
                  <c:v>5610.81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(4.761,00 – 8.880,00)</c:v>
                </c:pt>
                <c:pt idx="1">
                  <c:v>Precio objetivo de los analistas (4.900,00 – 8.700,00)</c:v>
                </c:pt>
                <c:pt idx="2">
                  <c:v>Comparables: EV/EBITDA NTM (4.245,81 – 7.326,82)</c:v>
                </c:pt>
                <c:pt idx="3">
                  <c:v>Comparables: PER NTM (4.173,80 – 6.900,60)</c:v>
                </c:pt>
                <c:pt idx="4">
                  <c:v>DCF (WACC y g ± 0,5) (3.111,93 – 3.561,65)</c:v>
                </c:pt>
                <c:pt idx="5">
                  <c:v>Escenarios (bajista – alcista) (2.700,80 – 4.202,96)</c:v>
                </c:pt>
                <c:pt idx="6">
                  <c:v>DCF con la prima implícita del mercado (4,2 %)</c:v>
                </c:pt>
                <c:pt idx="7">
                  <c:v>Precio actual (5.639,00)</c:v>
                </c:pt>
              </c:strCache>
            </c:strRef>
          </c:cat>
          <c:val>
            <c:numRef>
              <c:f>Hoja1!$C$2:$C$9</c:f>
              <c:numCache>
                <c:formatCode>#,##0</c:formatCode>
                <c:ptCount val="8"/>
                <c:pt idx="0">
                  <c:v>4119</c:v>
                </c:pt>
                <c:pt idx="1">
                  <c:v>3800</c:v>
                </c:pt>
                <c:pt idx="2">
                  <c:v>3081.0099999999993</c:v>
                </c:pt>
                <c:pt idx="3">
                  <c:v>2726.8</c:v>
                </c:pt>
                <c:pt idx="4">
                  <c:v>449.72000000000025</c:v>
                </c:pt>
                <c:pt idx="5">
                  <c:v>1502.1599999999999</c:v>
                </c:pt>
                <c:pt idx="6">
                  <c:v>401.39999999999964</c:v>
                </c:pt>
                <c:pt idx="7">
                  <c:v>56.38999999999942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