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Override PartName="/word/charts/chart28.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Cardinal Health, Inc.</w:t>
      </w:r>
    </w:p>
    <w:p>
      <w:pPr>
        <w:spacing w:after="60"/>
        <w:rPr>
          <w:color w:val="52514E"/>
          <w:sz w:val="22"/>
          <w:szCs w:val="22"/>
        </w:rPr>
      </w:pPr>
      <w:r>
        <w:rPr>
          <w:color w:val="52514E"/>
          <w:sz w:val="22"/>
          <w:szCs w:val="22"/>
        </w:rPr>
        <w:t xml:space="preserve">CAH · Bolsa de Nueva York (NYSE) · ISIN US14149Y1082 · Salud</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19 oct 2026</w:t>
      </w:r>
      <w:r>
        <w:rPr>
          <w:color w:val="52514E"/>
          <w:sz w:val="18"/>
          <w:szCs w:val="18"/>
        </w:rPr>
        <w:t xml:space="preserve"> · Divisa: </w:t>
      </w:r>
      <w:r>
        <w:rPr>
          <w:b/>
          <w:bCs/>
          <w:color w:val="52514E"/>
          <w:sz w:val="18"/>
          <w:szCs w:val="18"/>
        </w:rPr>
        <w:t xml:space="preserve">USD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Vender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254,06 USD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216,43 USD</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-14,0 % (base -2,0 %)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245,63 USD · mercado 283,07</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59.094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n.d.</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1,8x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Cardinal Health, Inc.</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CAH / US14149Y1082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Bolsa de Nueva York (NYSE)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500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Salud / Distribuidores sanitarios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Dublin (Ohio) · 1971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63.900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https://www.cardinalhealth.com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254,06 (16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155,84 – 258,30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99,7 %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59.094 M USD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67.957 M USD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416 M USD/día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 nov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Vender</w:t>
      </w:r>
      <w:r>
        <w:t xml:space="preserve"> · Convicción Baja · Objetivo a 12 meses </w:t>
      </w:r>
      <w:r>
        <w:rPr>
          <w:b/>
          <w:bCs/>
        </w:rPr>
        <w:t xml:space="preserve">216,43 USD</w:t>
      </w:r>
      <w:r>
        <w:t xml:space="preserve"> frente a 254,06 · Rentabilidad a 12 meses </w:t>
      </w:r>
      <w:r>
        <w:rPr>
          <w:b/>
          <w:bCs/>
        </w:rPr>
        <w:t xml:space="preserve">-14,0 % (base -2,0 %)</w:t>
      </w:r>
      <w:r>
        <w:t xml:space="preserve"> · Valor intrínseco 245,63 USD · con la prima implícita del mercado: 283,07 (+11,4 %) · Alcista / bajista +16,0 % / -33,7 %</w:t>
      </w:r>
    </w:p>
    <w:p>
      <w:pPr>
        <w:spacing w:after="100"/>
      </w:pPr>
      <w:r>
        <w:rPr>
          <w:b/>
        </w:rPr>
        <w:t xml:space="preserve">La recomendación y por qué.</w:t>
      </w:r>
      <w:r>
        <w:t xml:space="preserve"> Vender, con convicción baja. El objetivo a 12 meses es de 216,43 USD (nuestro BPA ajustado de FY2028e × el PER de la regla común), un −14,0 % de rentabilidad ponderada con el dividendo y un −2,0 % en el caso base, frente a un precio de 254,06 USD (cierre del 16-oct-2026; 252,46 en la sesión del 19-oct a las 10:04 de Nueva York). El valor intrínseco (245,63 USD) queda un 3,3 % por debajo del precio y el objetivo medio de los analistas (271,47) un 7 % por encima. La razón principal: Cardinal ha resuelto sus problemas (GMPD, opioides, guía, CVS hasta 2032) y el mercado lo ha pagado; cotiza a 19,6 veces el BPA ajustado de los próximos 12 meses, frente a una mediana de cinco años de 12,6 y un mínimo de 9,0, y el precio está cerca de nuestro DCF. La convicción es baja porque las reglas discrepan (Vender con nuestro WACC, Mantener con la prima del mercado) y porque el bajista se apoya en un PER de crisis (2022); compraríamos por debajo de 189,97 USD.</w:t>
      </w:r>
    </w:p>
    <w:p>
      <w:pPr>
        <w:spacing w:after="100"/>
      </w:pPr>
      <w:r>
        <w:rPr>
          <w:b/>
        </w:rPr>
        <w:t xml:space="preserve">El negocio.</w:t>
      </w:r>
      <w:r>
        <w:t xml:space="preserve"> Tercer distribuidor farmacéutico de EE. UU. (≈ 27 % del volumen de los tres grandes [12]), con 254.248 M USD de ventas, un margen operativo ajustado del 1,4 % y circulante negativo. Suma productos médicos de marca propia (GMPD), consultas de especialidad (The Specialty Alliance), material a domicilio y radiofármacos [1, 2]. El ROIC exigente (sin el circulante negativo) es del 17,6 %, ≈ 9 puntos sobre el WACC: calidad «Sí». La sostenibilidad del crecimiento es «Sí»: proyectamos un 4,5 % anual, la mitad del histórico, sin necesidad de capital. CVS, el 28 % de las ventas, ha firmado una carta de intenciones vinculante hasta 2032 [11].</w:t>
      </w:r>
    </w:p>
    <w:p>
      <w:pPr>
        <w:spacing w:after="100"/>
      </w:pPr>
      <w:r>
        <w:rPr>
          <w:b/>
        </w:rPr>
        <w:t xml:space="preserve">Finanzas.</w:t>
      </w:r>
      <w:r>
        <w:t xml:space="preserve"> El BPA ajustado creció un 17 % anual de FY2022 a FY2026 (de 5,06 a 10,95 USD sin IEEPA) con ventas al 8,9 % y recompras que bajaron las acciones diluidas de 279 M a 237 M [2, 4]. La guía de FY2027 es de 12,40-12,60 USD (+13-15 %). La deuda financiera (8.886 M) menos la caja (4.856) deja 4.030 M de deuda neta, 1,0 vez el EBITDA ajustado; con los opioides después de impuestos (3.397 M) y las unidades de los médicos (1.277 M), ≈ 2,1 veces [1]. El flujo libre ajustado fue de ≈ 5.000 M USD en FY2026, con 3.500-4.000 M guiados para FY2027.</w:t>
      </w:r>
    </w:p>
    <w:p>
      <w:pPr>
        <w:spacing w:after="100"/>
      </w:pPr>
      <w:r>
        <w:rPr>
          <w:b/>
        </w:rPr>
        <w:t xml:space="preserve">Equipo y gobierno.</w:t>
      </w:r>
      <w:r>
        <w:t xml:space="preserve"> Jason Hollar, consejero delegado desde 2022, ha batido la guía inicial de BPA cuatro años seguidos y ha recuperado GMPD, aunque sin llegar al objetivo de 650 M [2]. Presidenta independiente desde marzo de 2026 y diez de once consejeros independientes. Debilidad: ventas de directivos por 61,6 M USD en 12 meses (29,4 M del consejero delegado) sin ninguna compra [20].</w:t>
      </w:r>
    </w:p>
    <w:p>
      <w:pPr>
        <w:spacing w:after="100"/>
      </w:pPr>
      <w:r>
        <w:rPr>
          <w:b/>
        </w:rPr>
        <w:t xml:space="preserve">Valoración.</w:t>
      </w:r>
      <w:r>
        <w:t xml:space="preserve"> El DCF da 259,80 USD (+2,3 %) y el DCF inverso descuenta un 4,2 % de crecimiento anual frente al 4,5 % de nuestro base: precio justo, sin margen. Con la prima del mercado (4,2 %) el DCF sube a 305,51 USD. La regla a 12 meses lleva el PER de 19,6 a 17,8 veces (tope de ÷1,1) y el bajista a 9,0; con la regla v2 de control (historia al cierre, mediana de 16,3) la ponderada mejora pero sigue lejos del 15 %.</w:t>
      </w:r>
    </w:p>
    <w:p>
      <w:pPr>
        <w:spacing w:after="100"/>
      </w:pPr>
      <w:r>
        <w:rPr>
          <w:b/>
        </w:rPr>
        <w:t xml:space="preserve">Riesgos y catalizadores.</w:t>
      </w:r>
      <w:r>
        <w:t xml:space="preserve"> El mayor riesgo es el múltiplo: volver a 15-16 veces costaría un 20 %. Después, la política de precios y los aranceles a genéricos de 2028-2029, GMPD (materias primas, fletes, aranceles), las compras de consultas (deterioro de 184 M en Navista e ION) y los litigios (Cabell County, Departamento de Justicia, IRS). El riesgo de la IA es bajo (±2 %): no toca la logística ni la fabricación. Catalizador: resultados del 1T FY2027 el 5-nov-2026. Sentimiento positivo, en línea con los analistas.</w:t>
      </w:r>
    </w:p>
    <w:p>
      <w:pPr>
        <w:spacing w:after="100"/>
      </w:pPr>
      <w:r>
        <w:rPr>
          <w:b/>
        </w:rPr>
        <w:t xml:space="preserve">Qué cambiaría la decisión.</w:t>
      </w:r>
      <w:r>
        <w:t xml:space="preserve"> Comprar por debajo de 189,97 USD; Mantener entre 189,97 y 242,74; vender por encima de 242,74 (el precio está un 4,5 % por encima). Una guía de FY2028 por encima de 15 USD sin recompras nuevas o una caída del precio por debajo de 200 USD cambiarían la recomendación a mejor; un resultado de GMPD por debajo de lo guiado o aranceles a genéricos sin repercusión, a peor.</w:t>
      </w:r>
    </w:p>
    <w:p>
      <w:r>
        <w:br w:type="page"/>
      </w:r>
    </w:p>
    <w:p>
      <w:pPr>
        <w:pStyle w:val="Heading1"/>
      </w:pPr>
      <w:r>
        <w:t xml:space="preserve">Resumen ejecutivo</w:t>
      </w:r>
    </w:p>
    <w:p>
      <w:pPr>
        <w:spacing w:after="100"/>
      </w:pPr>
      <w:r>
        <w:rPr>
          <w:b/>
          <w:bCs/>
        </w:rPr>
        <w:t xml:space="preserve">Recomendación: Vender</w:t>
      </w:r>
      <w:r>
        <w:t xml:space="preserve"> · Convicción: Baja · Horizonte: 12 meses · Objetivo a 12 meses: </w:t>
      </w:r>
      <w:r>
        <w:rPr>
          <w:b/>
          <w:bCs/>
        </w:rPr>
        <w:t xml:space="preserve">216,43 USD</w:t>
      </w:r>
      <w:r>
        <w:t xml:space="preserve"> (rentabilidad -14,0 % (base -2,0 %)) · Valor intrínseco: 245,63 USD (-3,3 % sobre 254,06) · con la prima implícita del mercado: 283,07 (+11,4 %)</w:t>
      </w:r>
    </w:p>
    <w:p>
      <w:pPr>
        <w:spacing w:after="100"/>
      </w:pPr>
      <w:r>
        <w:t xml:space="preserve">Cardinal distribuye uno de cada cuatro medicamentos con receta de EE. UU. dentro de un oligopolio de tres que no ha cambiado en dos décadas. Gana un 1,4 % de margen operativo ajustado sobre 254.248 M USD con circulante negativo: crecer genera caja, y el capital invertido real (16.662 M) rinde un 17,6 % después de impuestos. Desde 2022 ha estabilizado GMPD, cerrado el litigio nacional de opioides, batido la guía cada año y comprado consultas de especialidad que dejan más margen [1, 2].</w:t>
      </w:r>
    </w:p>
    <w:p>
      <w:pPr>
        <w:spacing w:after="100"/>
      </w:pPr>
      <w:r>
        <w:t xml:space="preserve">El precio descuenta casi exactamente nuestro caso base: un 4,2 % de crecimiento anual frente a nuestro 4,5 %, según el DCF inverso, y cotiza a 19,6 veces el BPA ajustado de los próximos 12 meses, por encima de la mediana de cinco años (12,6) y de la media de ocho (12,1). En cuatro años el múltiplo se ha más que duplicado (9,0 veces en junio de 2022).</w:t>
      </w:r>
    </w:p>
    <w:p>
      <w:pPr>
        <w:spacing w:after="100"/>
      </w:pPr>
      <w:r>
        <w:t xml:space="preserve">El mercado acierta al pagar más por un negocio con menos riesgo de opioides, GMPD recuperado y CVS comprometido hasta 2032, pero no deja margen de error: con la regla común, el base pierde un 2 % y el ponderado un 14 %. Para invertir hay que creer que el PER se queda en 19-20 veces durante años.</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FY2028e,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216,43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9,0x × 12,43 = 111,87 · 17,8x × 13,87 = 246,89 · 17,8x × 14,61 = 260,06</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-14,0 % / -2,0 %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 (selector de método: sin marcas: decide la v3)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271,47 (nuestro base -9,1 %)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245,63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16,0 % / -33,7 %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0,47x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8,2 % frente a 8,1 % y 7,3 %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7,3 %)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283,07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1,54x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(FY2028e-FY2034e)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4,2 % frente a 6,0 %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(4,5 %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reglas discrepan (absoluta Vender, relativa Mantener))</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Baja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189,97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189,97 y 242,74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242,74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Precio por debajo de 189,97 USD: Comprar (ponderada ≥ 15 %, base ≥ 12 % y valor intrínseco por encima).</w:t>
      </w:r>
    </w:p>
    <w:p>
      <w:pPr>
        <w:pStyle w:val="ListParagraph"/>
        <w:numPr>
          <w:ilvl w:val="0"/>
          <w:numId w:val="2"/>
        </w:numPr>
        <w:spacing w:after="60"/>
      </w:pPr>
      <w:r>
        <w:t xml:space="preserve">Precio entre 189,97 y 242,74 USD: Mantener.</w:t>
      </w:r>
    </w:p>
    <w:p>
      <w:pPr>
        <w:pStyle w:val="ListParagraph"/>
        <w:numPr>
          <w:ilvl w:val="0"/>
          <w:numId w:val="2"/>
        </w:numPr>
        <w:spacing w:after="60"/>
      </w:pPr>
      <w:r>
        <w:t xml:space="preserve">Guía de BPA ajustado de FY2028 (agosto de 2027) por encima de 15 USD sin recompras nuevas: revisar al alza.</w:t>
      </w:r>
    </w:p>
    <w:p>
      <w:pPr>
        <w:pStyle w:val="ListParagraph"/>
        <w:numPr>
          <w:ilvl w:val="0"/>
          <w:numId w:val="2"/>
        </w:numPr>
        <w:spacing w:after="60"/>
      </w:pPr>
      <w:r>
        <w:t xml:space="preserve">Resultado de GMPD por debajo de 40 M USD en dos trimestres o aranceles a genéricos sin repercusión: reforzar Vender.</w:t>
      </w:r>
    </w:p>
    <w:p>
      <w:pPr>
        <w:pStyle w:val="ListParagraph"/>
        <w:numPr>
          <w:ilvl w:val="0"/>
          <w:numId w:val="2"/>
        </w:numPr>
        <w:spacing w:after="60"/>
      </w:pPr>
      <w:r>
        <w:t xml:space="preserve">Contrato definitivo con CVS con peores condiciones económicas: reforzar Vender.</w:t>
      </w:r>
    </w:p>
    <w:p>
      <w:pPr>
        <w:pStyle w:val="Heading2"/>
      </w:pPr>
      <w:r>
        <w:t xml:space="preserve">Dónde discrepamos del mercado</w:t>
      </w:r>
    </w:p>
    <w:p>
      <w:pPr>
        <w:keepNext/>
        <w:spacing w:after="100"/>
      </w:pPr>
      <w:r>
        <w:rPr>
          <w:b/>
          <w:bCs/>
        </w:rPr>
        <w:t xml:space="preserve">Lo que descuenta el precio.</w:t>
      </w:r>
    </w:p>
    <w:p>
      <w:pPr>
        <w:spacing w:after="100"/>
      </w:pPr>
      <w:r>
        <w:t xml:space="preserve">Que el BPA crece un 12-14 % al año durante años (especialidad, genéricos, recompras, GMPD) y que el PER de ≈ 20 veces es el nuevo normal; los analistas esperan ≈ 270 USD, un 7 % sobre el precio.</w:t>
      </w:r>
    </w:p>
    <w:p>
      <w:pPr>
        <w:keepNext/>
        <w:spacing w:after="100"/>
      </w:pPr>
      <w:r>
        <w:rPr>
          <w:b/>
          <w:bCs/>
        </w:rPr>
        <w:t xml:space="preserve">Lo que creemos nosotros.</w:t>
      </w:r>
    </w:p>
    <w:p>
      <w:pPr>
        <w:spacing w:after="100"/>
      </w:pPr>
      <w:r>
        <w:t xml:space="preserve">Coincidimos en el BPA de FY2027 (12,58 frente a 12,56) y discrepamos en el múltiplo: la empresa es mejor que en 2022, pero la mejora ya está pagada. Los aranceles a genéricos de 2028-2029 y la política de precios caen dentro de la vida del múltiplo que hoy se paga.</w:t>
      </w:r>
    </w:p>
    <w:p>
      <w:pPr>
        <w:keepNext/>
        <w:spacing w:after="100"/>
      </w:pPr>
      <w:r>
        <w:rPr>
          <w:b/>
          <w:bCs/>
        </w:rPr>
        <w:t xml:space="preserve">Por qué podemos tener razón.</w:t>
      </w:r>
    </w:p>
    <w:p>
      <w:pPr>
        <w:spacing w:after="100"/>
      </w:pPr>
      <w:r>
        <w:t xml:space="preserve">La historia adelantada muestra que Cardinal cotizó a 8,6-12,6 veces entre 2019 y 2024, cuando GMPD, los opioides y los clientes presionaban. El margen del 1,4 % convierte cualquier cesión de comisión o diferencial en una caída de beneficio de dos dígitos.</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USD) · precio actual 254,06"/>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245,66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pStyle w:val="Heading2"/>
      </w:pPr>
      <w:r>
        <w:t xml:space="preserve">A favor</w:t>
      </w:r>
    </w:p>
    <w:p>
      <w:pPr>
        <w:pStyle w:val="ListParagraph"/>
        <w:numPr>
          <w:ilvl w:val="0"/>
          <w:numId w:val="2"/>
        </w:numPr>
        <w:spacing w:after="60"/>
      </w:pPr>
      <w:r>
        <w:rPr>
          <w:b/>
        </w:rPr>
        <w:t xml:space="preserve">Oligopolio estable</w:t>
      </w:r>
      <w:r>
        <w:t xml:space="preserve">: tres empresas mueven más del 90 % del volumen de EE. UU.</w:t>
      </w:r>
    </w:p>
    <w:p>
      <w:pPr>
        <w:pStyle w:val="ListParagraph"/>
        <w:numPr>
          <w:ilvl w:val="0"/>
          <w:numId w:val="2"/>
        </w:numPr>
        <w:spacing w:after="60"/>
      </w:pPr>
      <w:r>
        <w:rPr>
          <w:b/>
        </w:rPr>
        <w:t xml:space="preserve">ROIC exigente del 17,6 %</w:t>
      </w:r>
      <w:r>
        <w:t xml:space="preserve">: ≈ 9 puntos sobre el WACC, con circulante negativo.</w:t>
      </w:r>
    </w:p>
    <w:p>
      <w:pPr>
        <w:pStyle w:val="ListParagraph"/>
        <w:numPr>
          <w:ilvl w:val="0"/>
          <w:numId w:val="2"/>
        </w:numPr>
        <w:spacing w:after="60"/>
      </w:pPr>
      <w:r>
        <w:rPr>
          <w:b/>
        </w:rPr>
        <w:t xml:space="preserve">Guía cumplida</w:t>
      </w:r>
      <w:r>
        <w:t xml:space="preserve">: cuatro años batiendo la guía inicial; FY2027 12,40-12,60 USD (+13-15 %).</w:t>
      </w:r>
    </w:p>
    <w:p>
      <w:pPr>
        <w:pStyle w:val="ListParagraph"/>
        <w:numPr>
          <w:ilvl w:val="0"/>
          <w:numId w:val="2"/>
        </w:numPr>
        <w:spacing w:after="60"/>
      </w:pPr>
      <w:r>
        <w:rPr>
          <w:b/>
        </w:rPr>
        <w:t xml:space="preserve">CVS hasta 2032</w:t>
      </w:r>
      <w:r>
        <w:t xml:space="preserve">: el mayor cliente (28 % de las ventas) comprometido con una carta vinculante.</w:t>
      </w:r>
    </w:p>
    <w:p>
      <w:pPr>
        <w:pStyle w:val="ListParagraph"/>
        <w:numPr>
          <w:ilvl w:val="0"/>
          <w:numId w:val="2"/>
        </w:numPr>
        <w:spacing w:after="60"/>
      </w:pPr>
      <w:r>
        <w:rPr>
          <w:b/>
        </w:rPr>
        <w:t xml:space="preserve">Especialidad y «Otros»</w:t>
      </w:r>
      <w:r>
        <w:t xml:space="preserve">: especialidad +25 % y «Otros» +37 % de resultado en FY2026.</w:t>
      </w:r>
    </w:p>
    <w:p>
      <w:pPr>
        <w:pStyle w:val="Heading2"/>
      </w:pPr>
      <w:r>
        <w:t xml:space="preserve">En contra</w:t>
      </w:r>
    </w:p>
    <w:p>
      <w:pPr>
        <w:pStyle w:val="ListParagraph"/>
        <w:numPr>
          <w:ilvl w:val="0"/>
          <w:numId w:val="2"/>
        </w:numPr>
        <w:spacing w:after="60"/>
      </w:pPr>
      <w:r>
        <w:rPr>
          <w:b/>
        </w:rPr>
        <w:t xml:space="preserve">Caro frente a su historia</w:t>
      </w:r>
      <w:r>
        <w:t xml:space="preserve">: 19,6 veces el BPA adelantado frente a una mediana de 12,6; a un 1 % del máximo histórico.</w:t>
      </w:r>
    </w:p>
    <w:p>
      <w:pPr>
        <w:pStyle w:val="ListParagraph"/>
        <w:numPr>
          <w:ilvl w:val="0"/>
          <w:numId w:val="2"/>
        </w:numPr>
        <w:spacing w:after="60"/>
      </w:pPr>
      <w:r>
        <w:rPr>
          <w:b/>
        </w:rPr>
        <w:t xml:space="preserve">Margen mínimo</w:t>
      </w:r>
      <w:r>
        <w:t xml:space="preserve">: 12 puntos básicos de margen son el 7 % del EBITDA; el bajista vale −34 %.</w:t>
      </w:r>
    </w:p>
    <w:p>
      <w:pPr>
        <w:pStyle w:val="ListParagraph"/>
        <w:numPr>
          <w:ilvl w:val="0"/>
          <w:numId w:val="2"/>
        </w:numPr>
        <w:spacing w:after="60"/>
      </w:pPr>
      <w:r>
        <w:rPr>
          <w:b/>
        </w:rPr>
        <w:t xml:space="preserve">Aranceles y precios</w:t>
      </w:r>
      <w:r>
        <w:t xml:space="preserve">: aranceles a genéricos de 2028-2029, nación más favorecida y Medicare negociado.</w:t>
      </w:r>
    </w:p>
    <w:p>
      <w:pPr>
        <w:pStyle w:val="ListParagraph"/>
        <w:numPr>
          <w:ilvl w:val="0"/>
          <w:numId w:val="2"/>
        </w:numPr>
        <w:spacing w:after="60"/>
      </w:pPr>
      <w:r>
        <w:rPr>
          <w:b/>
        </w:rPr>
        <w:t xml:space="preserve">Compras de consultas</w:t>
      </w:r>
      <w:r>
        <w:t xml:space="preserve">: ≈ 8.000 M USD desde 2024 y ya un deterioro de 184 M.</w:t>
      </w:r>
    </w:p>
    <w:p>
      <w:pPr>
        <w:pStyle w:val="ListParagraph"/>
        <w:numPr>
          <w:ilvl w:val="0"/>
          <w:numId w:val="2"/>
        </w:numPr>
        <w:spacing w:after="60"/>
      </w:pPr>
      <w:r>
        <w:rPr>
          <w:b/>
        </w:rPr>
        <w:t xml:space="preserve">Directivos vendedores</w:t>
      </w:r>
      <w:r>
        <w:t xml:space="preserve">: 61,6 M USD vendidos en 12 meses, ninguna compra.</w:t>
      </w:r>
    </w:p>
    <w:p>
      <w:pPr>
        <w:pStyle w:val="Heading2"/>
      </w:pPr>
      <w:r>
        <w:t xml:space="preserve">Qué tiene que pasar para que la tesis funcione</w:t>
      </w:r>
    </w:p>
    <w:p>
      <w:pPr>
        <w:spacing w:after="100"/>
      </w:pPr>
      <w:r>
        <w:t xml:space="preserve">La tesis depende de que la especialidad y los genéricos sigan subiendo el margen mientras GMPD cumple su guía y la política de precios y aranceles no recorta el diferencial. La señal en contra sería un resultado del segmento farmacéutico creciendo menos que sus ventas, un GMPD por debajo de 200 M en FY2027 o una guía de FY2028 por debajo de los 14,06 USD del consenso.</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BPA ajustado (guía FY2027)</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12,40-12,60 USD</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12,40 USD</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de nuestro objetivo.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del segmento farmacéutico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 (FY2026)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1,10 %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la comisión y el diferencial de genéricos.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Resultado de GMPD</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 M sin IEEPA (FY2026); guía 200-220</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200 M en FY2027</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segmento que más ha fallado.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Resultado de «Otros»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707 M (+37 %)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Motor del margen (at-Home, Nuclear).</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libre ajustado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 5.000 M USD (FY2026)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&lt; 3.500 M</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Paga recompras y compras.</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16,1x / n.d.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35,1x / 19,5x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20,8x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0,27x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(FY2021-FY2026)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153,9 %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1,0x · 1,8x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Cardinal nace en 1971 en Columbus (Ohio) como Cardinal Foods, un mayorista de alimentación fundado por Robert Walter, y entra en la distribución de medicamentos en 1979; sale a bolsa en 1983 [1]. Con compras sucesivas se convirtió en uno de los tres grandes distribuidores de EE. UU. y en un fabricante de productos médicos (Allegiance, 1999). Separó CareFusion en 2009, compró Cordis (2015) y los negocios de material de Medtronic (2017), dos compras que acabaron en 3.975 M USD de deterioros de GMPD entre 2022 y 2024 y en la venta de Cordis [4]. En 2020 provisionó 5.630 M por los opioides y en 2022 firmó el acuerdo nacional con los otros dos distribuidores [4]. Con Jason Hollar, consejero delegado desde septiembre de 2022, estabilizó GMPD, recuperó la guía y giró hacia la especialidad: The Specialty Alliance (Specialty Networks, GI Alliance, Solaris, ION) y at-Home (ADS) [1]. En 2026 extendió hasta 2032 el contrato con CVS [11].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1971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Robert Walter funda Cardinal Foods en Columbus (Ohio), mayorista de alimentación.</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1979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Entrada en la distribución mayorista de medicamentos; salida a bolsa en 1983.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Allegiance: entrada en la fabricación y distribución de productos médicos.</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Separación de CareFusion (equipos médicos) como empresa cotizada.</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2015-2017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Cordis (1.900 M USD) y de los negocios de material de Medtronic (6.100 M): base de GMPD.</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Cargo de 5.630 M USD por los litigios de opioides: pérdida de 12,61 USD por acción [4].</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Acuerdo nacional de opioides; Jason Hollar consejero delegado; Elliott entra en el consejo; deterioro de 2.100 M de GMPD [4].</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Pierde OptumRx; compra Specialty Networks, ION, GI Alliance y ADS (≈ 6.100 M USD) y crea The Specialty Alliance [1, 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Compra de Solaris Health; BPA ajustado de 11,26 USD (+37 %); carta de intenciones con CVS hasta 2032 [2, 11].</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Cardinal Health es el tercer distribuidor de medicamentos de EE. UU.: compra a los laboratorios medicamentos de marca, genéricos y de especialidad y los entrega a farmacias, hospitales y consultas, con ≈ 63.900 empleados [1]. Tiene tres partes: Pharmaceutical and Specialty Solutions (92 % de las ventas: distribución, especialidad, The Specialty Alliance de consultas de urología, digestivo y oncología, Red Oak con CVS y Biopharma Solutions), Global Medical Products and Distribution (5 %: guantes, batas, jeringas y otros productos médicos de marca propia y distribución a hospitales) y «Otros» (3 %: at-Home Solutions, radiofármacos de Nuclear and Precision Health y OptiFreight) [2].</w:t>
      </w:r>
    </w:p>
    <w:p>
      <w:pPr>
        <w:pStyle w:val="Heading2"/>
      </w:pPr>
      <w:r>
        <w:t xml:space="preserve">Cómo gana dinero</w:t>
      </w:r>
    </w:p>
    <w:p>
      <w:pPr>
        <w:spacing w:after="100"/>
      </w:pPr>
      <w:r>
        <w:t xml:space="preserve">Gana poco por unidad y mucho por volumen: 254.248 M USD de ventas con un margen operativo ajustado del 1,4 % [2]. En marcas cobra una comisión por servicio pactada con el laboratorio; en genéricos gana el diferencial de compra (Red Oak con CVS), donde está buena parte del margen. La especialidad, las consultas propias y «Otros» (10,4 % de margen) dan más beneficio por cada dólar vendido: «Otros» es el 19 % del resultado de los segmentos con el 3 % de las ventas [2]. GMPD fabrica y distribuye productos médicos con un margen del 2 %, muy expuesto a costes de materias primas, fletes y aranceles. El circulante es negativo: los proveedores financian existencias y cobros.</w:t>
      </w:r>
    </w:p>
    <w:p>
      <w:pPr>
        <w:pStyle w:val="Heading2"/>
      </w:pPr>
      <w:r>
        <w:t xml:space="preserve">Segmentos (FY2026)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Pharmaceutical and Specialty Solutions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234.833</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92,4 %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Global Medical Products and Distribution (GMPD)</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12.719</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Otros (at-Home Solutions, Nuclear and Precision Health, OptiFreight)</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6.792</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Corporativo y eliminaciones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1.182,3 %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FY2026)"/>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29"/>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FY2024</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FY2025</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FY2026</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Pharmaceutical and Specialty Solutions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210.019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204.644</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234.833</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Global Medical Products and Distribution (GMPD)</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12.381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12.636</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12.719</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Otros (at-Home Solutions, Nuclear and Precision Health, OptiFreight)</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4.512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5.382</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6.792</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Corporativo y eliminaciones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Concentración alta: CVS Health es el 28 % de las ventas de FY2026 (22 % de las cuentas a cobrar) y los cinco primeros clientes el 43 %; las centrales de compra Vizient y Premier canalizan el 29 % [1]. El 1-oct-2026 Cardinal firmó con CVS una carta de intenciones vinculante para extender la distribución hasta el 30-jun-2032; Red Oak Sourcing, la sociedad de compras de genéricos con CVS, sigue hasta junio de 2029 [1, 11]. Kroger renovó y el mayor cliente de GMPD firmó a largo plazo [8]. El contrato de OptumRx venció en junio de 2024 [3]. Poder de precios limitado y pactado: en marcas cobra una comisión por servicio sobre el precio de lista; en genéricos gana el diferencial de compra (Red Oak). Los cinco primeros proveedores son el 39 % de las compras y el mayor el 13 % [1].</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BPA ajustado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10,95 sin IEEPA; guía FY2027 12,40-12,60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Resultado del segmento farmacéutico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2.783</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del 1,10 % al 1,19 %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especialidad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 40.000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50.000</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Oncología, biosimilares y The Specialty Alliance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Resultado de GMPD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158 sin los 100 M de IEEPA; guía FY2027 200-220; el objetivo de 650 M para FY2025 no se cumplió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Resultado de «Otros»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707</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ADS en at-Home y teranósticos en Nuclear (+30 %) [2, 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Acciones diluidas medias (M)</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237</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232,6 M en circulación el 31-jul-2026 [1].</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Mercado relevante: la distribución mayorista de medicamentos con receta en EE. UU. (marca, genéricos, especialidad y biosimilares) a farmacias, hospitales, consultas y gestores de farmacia, que da el 92 % de las ventas de Cardinal (Pharmaceutical and Specialty Solutions) [2]. Se mide con las ventas de los segmentos farmacéuticos de EE. UU. de los tres grandes (McKesson, Cencora y Cardinal), que mueven más del 90 % del volumen: ≈ 866.000 M USD en los últimos ejercicios (estimación propia de la ficha sectorial) [12]. GMPD (5 % de las ventas) compite en otro mercado, el de productos médicos para hospitales (Medline, Owens &amp; Minor, McKesson Medical-Surgical), y «Otros» en atención domiciliaria y radiofármacos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866.000 M USD de ventas de distribución farmacéutica en EE. UU. de los tres grandes (último ejercicio de cada uno) [12]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Expansión</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los 5 primeros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USD (ventas de los segmentos de EE. UU. de los tres grandes; estimación propia de la ficha sectorial))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Volumen de recetas y envejecimiento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población de 65 años o más llegará a ≈ 71 millones en 2029 [13]; el segmento farmacéutico de Cardinal creció un 15 % en FY2026 [2].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GLP-1 (diabetes y obesidad)</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Suben mucho las ventas con margen casi nulo; en el 4T26 compensaron los ≈ 500 pb de ventas que restaron los precios negociados de Medicare [8].</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Especialidad y oncología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especialidad de más de 50.000 M USD en FY2026 (+25 %) y teranósticos +30 % [2, 8].</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de lista de las marcas (IRA, nación más favorecida)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precios negociados de Medicare restan ventas pero no beneficio: Cardinal renegoció los contratos de todas las marcas afectadas [8, 15].</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Genéricos y aranceles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Genéricos fuertes en FY2026 (Red Oak); amenaza de aranceles del 100 % a genéricos desde 2028 y del 200 % desde 2029 según la Casa Blanca [1, 8].</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Oligopolio estable de tres que compiten por contratos de grandes cuentas: márgenes operativos ajustados del 1,0-1,2 % en EE. UU. [12].</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CVS es el 28 % de las ventas de Cardinal y los cinco primeros clientes el 43 %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mayor laboratorio es el 13 % de las compras; las comisiones están pactadas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Escala, licencias por estado y de la DEA, red de almacenes y el sistema de control de opioides común del acuerdo de 2022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 directa del laboratorio al paciente y gestores de farmacia integrados afectan a nichos; el grueso pasa por el mayorista [1, 12].</w:t>
            </w:r>
          </w:p>
        </w:tc>
      </w:tr>
    </w:tbl>
    <w:p>
      <w:pPr>
        <w:spacing w:after="160" w:before="0"/>
      </w:pPr>
    </w:p>
    <w:p>
      <w:pPr>
        <w:pStyle w:val="Heading2"/>
      </w:pPr>
      <w:r>
        <w:t xml:space="preserve">Ciclo</w:t>
      </w:r>
    </w:p>
    <w:p>
      <w:pPr>
        <w:spacing w:after="100"/>
      </w:pPr>
      <w:r>
        <w:t xml:space="preserve">La demanda de medicamentos no depende del ciclo económico: las ventas de los tres grandes crecieron en 2009, 2020 y 2022 [12]. Lo que se mueve es la inflación o deflación de precios, la mezcla (GLP-1, especialidad) y, en GMPD, los costes de materias primas y fletes (petróleo, conflicto de Irán) y los aranceles [8]. Hoy el volumen crece y los genéricos van bien.</w:t>
      </w:r>
    </w:p>
    <w:p>
      <w:pPr>
        <w:pStyle w:val="Heading2"/>
      </w:pPr>
      <w:r>
        <w:t xml:space="preserve">Regulación</w:t>
      </w:r>
    </w:p>
    <w:p>
      <w:pPr>
        <w:spacing w:after="100"/>
      </w:pPr>
      <w:r>
        <w:t xml:space="preserve">La Ley de Reducción de la Inflación fija precios negociados en Medicare para diez fármacos desde enero de 2026 y quince más desde 2027; Cardinal renegoció los contratos de distribución de todas las marcas afectadas para cobrar por servicio [15]. La orden ejecutiva de «nación más favorecida» presiona los precios de lista. Aranceles: desde abril de 2026 a medicamentos de marca importados y anuncio de aranceles a genéricos (100 % desde 2028, 200 % desde 2029); el Supremo anuló los aranceles IEEPA y Cardinal cobrará ≈ 200 M de devoluciones [1, 8]. El acuerdo de opioides de 2022 obliga a pagos hasta 2038 y a un sistema común de control de pedidos [1].</w:t>
      </w:r>
    </w:p>
    <w:p>
      <w:pPr>
        <w:pStyle w:val="Heading2"/>
      </w:pPr>
      <w:r>
        <w:t xml:space="preserve">Tendencias y disrupción</w:t>
      </w:r>
    </w:p>
    <w:p>
      <w:pPr>
        <w:spacing w:after="100"/>
      </w:pPr>
      <w:r>
        <w:t xml:space="preserve">La especialidad crece más que la distribución general: los tres grandes compran consultas de oncología, urología, digestivo y retina para asegurar el volumen de fármacos caros y vender servicios a laboratorios (Cardinal: The Specialty Alliance con GIA, Specialty Networks, Solaris e ION) [1]. Los GLP-1 y los biosimilares suben el volumen. Los radiofármacos y teranósticos son un nicho de crecimiento rápido (Nuclear and Precision Health). La IA se aplica a previsión de demanda, almacenes y atención a pacientes de at-Home [1].</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3.º en distribución farmacéutica en EE. UU. (≈ 27 % del volumen de los tres grandes, estimación con las ventas de segmento); fabricante y distribuidor relevante de productos médicos de marca propia; líder en radiofármacos [1, 12]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6"/>
        <w:gridCol w:w="847"/>
        <w:gridCol w:w="953"/>
        <w:gridCol w:w="1059"/>
        <w:gridCol w:w="847"/>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Cuota</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McKesson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MCK</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403.430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Primero; CVS es el 24 % de sus ventas (también extendido a 2032); oncología con US Oncology Network y Florida Cancer Specialists [11, 12].</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Cencora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COR</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321.333</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Segundo; Walgreens es el 25 % de sus ventas; compra consultas de retina y oncología [12, 13].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Henry Schein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HSIC</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13.184</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Distribución a dentistas y médicos; compite con GMPD en consultas, no en la mayorista farmacéutica [12, 14].</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Medline (privada)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Mayor rival de GMPD en productos médicos de marca propia para hospitales [1].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Owens &amp; Minor</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Rival de GMPD en distribución de productos médicos y at-Home (cifras no tomadas: Yahoo no respondió) [1].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Red Oak (compras de genéricos con CVS) da escala de compra, pero no hay red de usuarios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Contratos de varios años con integración de sistemas; CVS extendió hasta 2032 y Kroger renovó [6, 8].</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Licencias de la DEA y de cada estado; licencias nucleares de radiofármacos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operativo ajustado del farmacéutico del 1,19 %, el mejor de los tres en su segmento [5, 2].</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5</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Tres distribuidores con más del 90 % del mercado y márgenes del 1 %: no cabe un cuarto [2].</w:t>
            </w:r>
          </w:p>
        </w:tc>
      </w:tr>
    </w:tbl>
    <w:p>
      <w:pPr>
        <w:spacing w:after="160" w:before="0"/>
      </w:pPr>
    </w:p>
    <w:p>
      <w:pPr>
        <w:pStyle w:val="Heading2"/>
      </w:pPr>
      <w:r>
        <w:t xml:space="preserve">Amenazas</w:t>
      </w:r>
    </w:p>
    <w:p>
      <w:pPr>
        <w:spacing w:after="100"/>
      </w:pPr>
      <w:r>
        <w:t xml:space="preserve">Lo que más puede erosionar el foso es la concentración de clientes: CVS es el 28 % de las ventas; la carta de intenciones vinculante hasta 2032 quita el riesgo de vencimiento, pero las condiciones no se conocen [11]. Segundo, la regulación de precios (nación más favorecida, Medicare negociado) si pasa de restar ventas a restar comisiones. Tercero, los aranceles a genéricos importados de 2028-2029, que pueden cambiar el negocio de genéricos (Red Oak). Cuarto, en GMPD, Medline y los fabricantes asiáticos en productos básicos.</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162.467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181.326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204.979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226.827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222.578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254.248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4.219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3.263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1.714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2,04</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22 %</w:t>
            </w:r>
          </w:p>
        </w:tc>
      </w:tr>
    </w:tbl>
    <w:p>
      <w:pPr>
        <w:spacing w:after="160" w:before="0"/>
      </w:pPr>
    </w:p>
    <w:p>
      <w:pPr>
        <w:spacing w:after="100"/>
      </w:pPr>
      <w:r>
        <w:t xml:space="preserve">Crecimiento anual compuesto FY2021-FY2026: ingresos </w:t>
      </w:r>
      <w:r>
        <w:rPr>
          <w:b/>
          <w:bCs/>
        </w:rPr>
        <w:t xml:space="preserve">9,4 %</w:t>
      </w:r>
      <w:r>
        <w:t xml:space="preserve">, EBITDA </w:t>
      </w:r>
      <w:r>
        <w:rPr>
          <w:b/>
          <w:bCs/>
        </w:rPr>
        <w:t xml:space="preserve">10,1 %</w:t>
      </w:r>
      <w:r>
        <w:t xml:space="preserve">, BPA </w:t>
      </w:r>
      <w:r>
        <w:rPr>
          <w:b/>
          <w:bCs/>
        </w:rPr>
        <w:t xml:space="preserve">28,3 %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US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Los ingresos pasaron de 162.467 M USD en FY2021 a 254.248 M en FY2026 (TCAC del 9,4 %) [1]. El motor es el segmento farmacéutico (Pharmaceutical and Specialty Solutions, 92 % de las ventas): volumen de recetas, GLP-1, especialidad (más de 50.000 M en FY2026, +25 %) y las consultas compradas de The Specialty Alliance [2]. En FY2025 las ventas bajaron un 1,9 % por la salida de OptumRx, un cliente de margen casi nulo [3]. El resultado operativo no GAAP subió de 2.255 M en FY2021 a 3.624 M en FY2026 (TCAC del 9,9 %; 3.524 M sin los 100 M no recurrentes del reembolso de aranceles IEEPA) [2, 4]. El margen operativo ajustado es del 1,4 %: farmacéutico 1,19 %, productos médicos (GMPD) 2,0 % y «Otros» (at-Home, Nuclear, OptiFreight) 10,4 % [2]. Años no comparables: FY2020 (cargo de opioides de 5.630 M) y FY2022-FY2024 (deterioros de fondo de comercio de GMPD de 2.100, 1.200 y 675 M) [4].</w:t>
      </w:r>
    </w:p>
    <w:p>
      <w:pPr>
        <w:pStyle w:val="Heading2"/>
      </w:pPr>
      <w:r>
        <w:t xml:space="preserve">Ajustes y partidas no recurrentes</w:t>
      </w:r>
    </w:p>
    <w:p>
      <w:pPr>
        <w:spacing w:after="100"/>
      </w:pPr>
      <w:r>
        <w:t xml:space="preserve">El BPA ajustado excluye la amortización de intangibles comprados (361 M USD en FY2026), los costes de compras y la remuneración en caja y acciones ligada a ellas (287 M: sobre todo las Specialty Alliance Units de los médicos socios), la reestructuración (106 M), los deterioros (177 M, con 184 M de fondo de comercio de Navista e ION en el 3T), el deterioro de la participación en Outcomes (122 M), litigios (−10 M) y la reversión de la tasa estatal de opioides (−17 M) [2]. En FY2026 el BPA GAAP fue de 7,23 USD y el ajustado de 11,26 (10,95 sin los 0,31 del reembolso IEEPA, que la dirección llama no recurrente) [2, 8]. La reestructuración y la remuneración ligada a compras se repiten todos los años (407 M de coste aún no reconocido de las unidades de los médicos, a ≈ 4 años [1]): el DCF resta 0,10 puntos de margen por ellas.</w:t>
      </w:r>
    </w:p>
    <w:p>
      <w:pPr>
        <w:pStyle w:val="Heading1"/>
      </w:pPr>
      <w:r>
        <w:t xml:space="preserve">6. Resultados recientes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8"/>
        <w:gridCol w:w="1220"/>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52.277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55.264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54.878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60.159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64.009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65.627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60.940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4T26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63.672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2,91</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Superior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Trimestres fiscales (el 4T26 es abr-jun 2026). EBITDA ajustado = resultado operativo no GAAP + depreciación (estimación propia: D&amp;A del trimestre menos la amortización de intangibles repartida por igual) y BPA ajustado de la empresa [2, 5]. En el 4T26 (11-ago-2026) el BPA ajustado fue de 2,91 USD, 0,49 por encima del consenso, con ventas de 63.672 M por debajo de lo esperado; el 3T26 dio 3,17 frente a 2,79 [2, 5]. Guía de FY2027 (11-ago-2026, reafirmada el 1-oct con el acuerdo de CVS): BPA ajustado de 12,40-12,60 USD (+13-15 % sobre los 10,95 sin IEEPA); farmacéutico ventas +3-5 % y resultado +8-11 %; GMPD ventas +2-4 % y resultado de 200-220 M; «Otros» ventas +11-13 % y resultado +15-18 %; intereses y otros 240-290 M; tipo del 19-20 %; ≈ 233 M de acciones; al menos 1.000 M de recompras; inversión ≈ 700 M; flujo libre ajustado de 3.500-4.000 M [2, 11]. Objetivo a largo plazo: BPA ajustado +12-14 % anual [2]. En la conferencia, la dirección explicó que los 100 M de IEEPA no se repiten, que la conversión de genéricos y la especialidad siguen fuertes, que Biopharma Solutions apunta a 1.000 M de ventas en FY2028 y que las compras ya hechas aportan 2-3 puntos del crecimiento del resultado; los analistas preguntaron por la normalización del flujo libre (5.000 M en FY2026 frente a 3.500-4.000 guiados), los aranceles a genéricos y el riesgo del conflicto de Irán para los costes de GMPD [8].</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44.453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10.094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6.236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43.878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7.630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4.717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5.315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43.349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6.085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4.076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45.121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6.450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-4.718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5.133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53.122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12.177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-4.640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3.874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8.527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57.299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13.631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-7.171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4.856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8.886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4.030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-2.883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(FY2026: Solaris Health (urología, ≈ 1.900 M USD, mayoría desde noviembre de 2025) y el negocio de diabetes de AdaptHealth; meses completos de GIA (enero de 2025) y ADS (abril de 2025) [1, 6].; FY2025: Specialty Networks (≈ 1.200 M), GIA (73 % por ≈ 2.800 M), ION (≈ 1.100 M) y ADS (≈ 1.000 M); pérdida del contrato de OptumRx (vencido en junio de 2024), que restó ventas de bajo margen [1, 3].).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El circulante comercial es negativo: existencias + clientes − proveedores = −7.171 M USD en FY2026 (−2,8 % de las ventas) [1]; los proveedores (38.283 M) financian existencias y cobros, así que crecer libera caja. El patrimonio es negativo (−2.883 M) por recompras y por los cargos de opioides y de GMPD de 2020-2024 [1]. La deuda financiera (8.886 M, con arrendamientos financieros) menos la caja deja 4.030 M de deuda neta, ≈ 1,0 veces el EBITDA ajustado; con los opioides después de impuestos (≈ 3.400 M) y las unidades de los médicos (1.277 M), ≈ 2,1 veces [1, 2].</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5.174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4.468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1.714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18,85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FY2021-FY2026: FCF </w:t>
      </w:r>
      <w:r>
        <w:rPr>
          <w:b/>
          <w:bCs/>
        </w:rPr>
        <w:t xml:space="preserve">16.593</w:t>
      </w:r>
      <w:r>
        <w:t xml:space="preserve">, conversión </w:t>
      </w:r>
      <w:r>
        <w:rPr>
          <w:b/>
          <w:bCs/>
        </w:rPr>
        <w:t xml:space="preserve">402 %</w:t>
      </w:r>
      <w:r>
        <w:t xml:space="preserve"> del beneficio neto; adquisiciones 8.466, dividendos 3.141, recompras 6.073.</w:t>
      </w:r>
    </w:p>
    <w:p>
      <w:pPr>
        <w:spacing w:after="100"/>
      </w:pPr>
      <w:r>
        <w:t xml:space="preserve">El flujo operativo depende del circulante y de los pagos de opioides (≈ 400 M al año dentro del operativo): 2.397 M USD en FY2025 y 5.174 M en FY2026 frente a un beneficio ajustado de 2.667 M en FY2026 [1, 2]. El flujo libre ajustado de la empresa fue de ≈ 5.000 M en FY2026, por un circulante favorable que no se repite: la guía de FY2027 es de 3.500-4.000 M [2]. La inversión es mínima: 649 M en FY2026 (0,26 % de las ventas; inmovilizado y software) [1]. La caja se ha ido a compras de consultas y de negocios de especialidad (1.991 M en FY2026 y 5.250 M en FY2025), recompras (1.358 M) y dividendos (491 M) [1].</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Ernst &amp; Young LLP</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(sin salvedades) en FY2026, también sobre el control interno [1]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FY2026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5,16</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 No fiable en FY2026: cambio de perímetro (el balance incluye negocios sin su cuenta de resultados completa).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Fortaleza financiera alta (7-9).</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interpretable en FY2026: con un cambio de perímetro, los índices de activos, amortización y ventas (AQI, DEPI, SGI) comparan grupos distintos y el umbral de −1,78 no sirve.</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4,79x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Las cuentas son limpias pero el BPA publicado ha sido muy ruidoso: pérdida de 12,61 USD por acción en FY2020 por el cargo de opioides de 5.630 M y de 3,37 USD en FY2022 por los deterioros de GMPD (2.100 M), a los que siguieron 1.200 M en FY2023 y 675 M en FY2024 [4]. El ajustado excluye partidas que se repiten (reestructuración, remuneración ligada a compras) y otras que no (deterioros, IEEPA) [2]. Señal reciente: el deterioro de 184 M del fondo de comercio de Navista e ION en el 3T26, comprados en 2024, y el de 122 M de la participación en Outcomes: algunas compras de especialidad no rinden lo previsto [2, 6]. Los indicadores del motor (Altman, Beneish) pierden sentido con patrimonio negativo y circulante negativo; se leen con cuidado.</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BPA ajustado frente a GAAP</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FY2026, 11,26 USD ajustado frente a 7,23 GAAP: 4,03 USD de diferencia (amortizaciones, remuneración ligada a compras, deterioros) [2].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Remuneración ligada a compras fuera del ajustado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287 M USD en FY2026 y 407 M aún por reconocer: es coste real de comprar consultas con médicos socios [1, 2]; el DCF lo resta.</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Deterioros de compras recientes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184 M de Navista e ION (3T26) y 122 M de Outcomes en FY2026; antes, 3.975 M de GMPD en FY2022-FY2024 [2, 4].</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Patrimonio negativo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−2.883 M USD en FY2026; no es un problema de solvencia (flujo libre ajustado de 5.000 M) pero invalida ROE y Altman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Disputas fiscales con el IRS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Ajustes propuestos de ≈ 1.400 M de impuesto más intereses por la aseguradora cautiva; recurridos y, según la empresa, provisionados [1].</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94"/>
        <w:gridCol w:w="985"/>
        <w:gridCol w:w="985"/>
        <w:gridCol w:w="985"/>
        <w:gridCol w:w="1095"/>
        <w:gridCol w:w="1095"/>
        <w:gridCol w:w="1095"/>
        <w:gridCol w:w="1204"/>
      </w:tblGrid>
      <w:tr>
        <w:trPr>
          <w:cantSplit/>
          <w:tblHeader/>
        </w:trPr>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24,82x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4.623</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4,11x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81,64x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2.258</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-23,79x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-1.220</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5,13x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-14,34x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-2.792</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4,53x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-16,39x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-617</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153,9 %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-60,5 %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4,61x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-19,50x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1.663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Fondo de comercio y compras</w:t>
      </w:r>
    </w:p>
    <w:p>
      <w:pPr>
        <w:spacing w:after="100"/>
      </w:pPr>
      <w:r>
        <w:t xml:space="preserve">Fondo de comercio: 11.442 M en FY2026 (el 636 % del capital invertido medio); ha subido más de un 5 % en 2 de 5 años: compra única grande. El ROIC sin fondo de comercio mide el rendimiento del negocio operativo; decide el publicado (§4.1) y la cifra sin fondo de comercio es dato para una excepción razonada.</w:t>
      </w:r>
    </w:p>
    <w:p>
      <w:pPr>
        <w:spacing w:after="100"/>
      </w:pPr>
      <w:r>
        <w:rPr>
          <w:b/>
          <w:bCs/>
        </w:rPr>
        <w:t xml:space="preserve">ROIC incremental</w:t>
      </w:r>
      <w:r>
        <w:t xml:space="preserve"> (variación del NOPAT sobre variación del capital invertido en el periodo): n.d. · </w:t>
      </w:r>
      <w:r>
        <w:rPr>
          <w:b/>
          <w:bCs/>
        </w:rPr>
        <w:t xml:space="preserve">WACC</w:t>
      </w:r>
      <w:r>
        <w:t xml:space="preserve">: 8,1 %.</w:t>
      </w:r>
    </w:p>
    <w:p>
      <w:pPr>
        <w:spacing w:after="100"/>
      </w:pPr>
      <w:r>
        <w:t xml:space="preserve">El ROIC del motor no sirve: el capital invertido contable es casi nulo o negativo desde FY2023 (patrimonio de −2.883 M USD por los cargos de opioides y de GMPD y las recompras, y circulante comercial de −7.171 M: los proveedores financian existencias y cobros) [1]. La medida exigente, sin el circulante negativo (inmovilizado + fondo de comercio + intangibles = 16.662 M en FY2026) y con el resultado operativo no GAAP después de impuestos (3.624 × 0,81 = 2.935 M), da un 17,6 % (17,1 % sin IEEPA), frente a un WACC del 8,09 %: ≈ +9 puntos, por debajo de McKesson (27,9 % con la misma medida) y algo por encima de Cencora (15-17 %) [31]. Lo mueve la rotación (4,4 veces el activo) y no el margen (1,4 % operativo ajustado). Tendencia: el resultado operativo no GAAP subió de 1.990 M en FY2022 a 3.624 M en FY2026, pero el capital tangible y comprado pasó de ≈ 10.000 M a 16.662 M por las compras de especialidad (≈ 8.000 M desde 2024) [1, 4]: el ROIC exigente de FY2024 (≈ 22 %) ha bajado al 17-18 % y el deterioro de 184 M de Navista e ION avisa de que no todas las compras rinden. Sigue creando valor con margen suficiente.</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4.030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3.397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7.427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de 4.856 M USD a 30-jun-2026; línea sindicada no dispuesta de 4.000 M hasta agosto de 2031 (covenant: deuda neta ≤ 3,75 veces el EBITDA) [9], más programas de titulización de cuentas a cobrar y una línea de 364 días de octubre de 2025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Grado de inversión (calificaciones de S&amp;P, Moody's y Fitch sin comprobar en fuente primaria)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Vida media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7,0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Opioides: pasivo de 4.300 M USD a 30-jun-2026 (468 M a corto) por el acuerdo nacional de 2022 y otros; 417 M pagados en FY2026, el sexto pago (374 M) en julio de 2026 y hasta ≈ 3.700 M más hasta 2038 [1]. Abiertos: Cabell County/Huntington (el Cuarto Circuito anuló en octubre de 2025 la sentencia favorable a los distribuidores; pendiente), ≈ 73 demandas privadas, una investigación civil del Departamento de Justicia (antisoborno, consultas de reumatología) y filtros de vena cava (29 M provisionados) [1]. Hacienda (IRS) propone ajustes por la aseguradora cautiva y la devolución de pérdidas (≈ 400 M de gasto y ≈ 1.400 M de impuesto más intereses) y por Patient Recovery (≈ 160 M); la empresa los recurre y dice estar provisionada [1]. Specialty Alliance Units: 1.277 M (843 M un año antes), la parte económica de los médicos socios de The Specialty Alliance, valorada con flujos descontados [1].</w:t>
      </w:r>
    </w:p>
    <w:p>
      <w:pPr>
        <w:pStyle w:val="Heading1"/>
      </w:pPr>
      <w:r>
        <w:t xml:space="preserve">12. Asignación de capital</w:t>
      </w:r>
    </w:p>
    <w:p>
      <w:pPr>
        <w:pStyle w:val="Confianza"/>
        <w:spacing w:after="100"/>
      </w:pPr>
      <w:r>
        <w:t xml:space="preserve">Confianza: Alta</w:t>
      </w:r>
    </w:p>
    <w:p>
      <w:pPr>
        <w:spacing w:after="100"/>
      </w:pPr>
      <w:r>
        <w:t xml:space="preserve">Prioridades declaradas: invertir en el negocio (especialidad, Biopharma Solutions, at-Home, Nuclear), compras que lo refuercen, un dividendo que crece poco (0,5158 USD trimestrales, +1 % al año) y recompras: al menos 1.000 M en FY2027 con 6.400 M disponibles tras ampliar el programa en 5.000 M en agosto de 2026 [2]. Objetivo a largo plazo: BPA ajustado +12-14 % anual [2].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5.250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4.468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1.991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237,0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Specialty Networks (plataforma de consultas de urología, digestivo y reumatología)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de The Specialty Alliance [1, 3].</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Integrated Oncology Network (ION)</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Deterioro de fondo de comercio (con Navista) de 184 M en el 3T26 [6].</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GI Alliance (73 %; digestivo)</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bonos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 en The Specialty Alliance; derecho de compra del resto desde el tercer año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Advanced Diabetes Supply (ADS)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 en at-Home; «Otros» sube su resultado un 37 % en FY2026 [2].</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FY2026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Solaris Health (urología, mayoría)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Bonos de agosto de 2025 (1.000 M) y 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Consolidada desde noviembre de 2025; 210 M de unidades de médicos al cierre [1, 10].</w:t>
            </w:r>
          </w:p>
        </w:tc>
      </w:tr>
    </w:tbl>
    <w:p>
      <w:pPr>
        <w:spacing w:after="160" w:before="0"/>
      </w:pPr>
    </w:p>
    <w:p>
      <w:pPr>
        <w:spacing w:after="100"/>
      </w:pPr>
      <w:r>
        <w:t xml:space="preserve">La asignación de capital ha mejorado con Hollar: el resultado operativo no GAAP sube de 1.990 M USD en FY2022 a 3.624 M en FY2026 con una inversión fija del 0,26 % de las ventas y circulante negativo, y las acciones diluidas bajan de 294 M a 237 M (−4 % al año) [1, 4]. La década anterior fue mala: Cordis (1.900 M en 2015) y el negocio de Medtronic (6.100 M en 2017) acabaron en 3.975 M de deterioros de GMPD y en la venta de Cordis con pérdidas [4]. Desde 2024 la empresa ha comprometido ≈ 8.000 M en consultas de especialidad (The Specialty Alliance) y at-Home: más margen, pero más riesgo de ejecución y de reembolso, y ya con un deterioro de 184 M [6].</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Jason M. Hollar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0,03 %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de 2020 a 2022 y consejero delegado desde septiembre de 2022. Con él el BPA ajustado pasó de 5,06 USD (FY2022) a 11,26 (FY2026), se estabilizó GMPD y se creó The Specialty Alliance [2, 16].</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Aaron E. Alt</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desde febrero de 2023 [16].</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Deborah Weitzman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delegada de Pharmaceutical and Specialty Solutions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Dirige el segmento que da el 92 % de las ventas [16].</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Stephen M. Mason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de GMPD</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Lleva el plan de mejora de productos médicos [16].</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Jessica L. Mayer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Directora jurídica y de cumplimiento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2020</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Lleva opioides, Departamento de Justicia e IRS [16].</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ajustado 5,60-5,90 USD</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5,06</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5,05-5,40 USD</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5,79</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6,50-6,75 USD</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7,53</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7,55-7,70 USD</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8,24</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9,30-9,50 USD (subida tres veces, a 10,70-10,80)</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11,26 (10,95 sin IEEPA)</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GMPD FY2025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 de segmento ≥ 650 M USD (día del inversor de 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135 M</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spacing w:after="100"/>
      </w:pPr>
      <w:r>
        <w:t xml:space="preserve">Equipo creíble desde 2023: cuatro años seguidos batiendo la guía inicial de BPA ajustado, en los cuatro por más de un 5 % [2]. Lo que no cumplió fue GMPD: el objetivo de 650 M USD de resultado para FY2025 quedó en 135 M [2]. Hollar (53 años) llegó en plena crisis de GMPD y con Elliott en el consejo, y ha recuperado la confianza del mercado. El consejo cambió de presidente en marzo de 2026 (Kenny se retiró y lo sustituyó Patricia Hemingway Hall, independiente) [18, 19]; la directora de contabilidad se retira en febrero de 2027 [21].</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5,5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Patricia A. Hemingway Hall</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Presidenta del consejo (independiente)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 y Sostenibilidad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Jason M. Hollar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Robert W. Azelby</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Michelle M. Brennan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 y Sostenibilidad (presidenta); Remuneración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Sheri H. Edison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Riesgos (presidenta); Gobierno y Sostenibilidad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David C. Evans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(presidente); Remuneración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Akhil Johri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Gobierno y Sostenibilidad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Nancy Killefer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 y Sostenibilidad; Remuneración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Christine A. Mundkur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Riesgos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Robert W. Musslewhite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Remuneración (presidente); Riesgos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Sudhakar Ramakrishna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 Riesgos</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91 %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 cambio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9,2 %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24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(sin salvedades) en FY2026, también sobre el control interno [1]</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0,00 / ventas 59,34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Vanguard (Capital Management y Portfolio Management)</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7,6 % + 6,0 % (proxy 2026)</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Wellington Management</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Proxy 2026</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State Street</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Proxy 2026</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Consejeros y directivos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Internos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Ventas netas de 61,6 M USD en 12 meses</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18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Jason M. Hollar (consejero delegado)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124.529</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29,38</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18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Aaron E. Alt (director financiero)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44.328</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10,45</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18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Stephen M. Mason (GMPD)</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8,27</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18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Jessica L. Mayer (jurídica)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29.436</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6,95</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19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Michelle D. Greene (sistemas)</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14.396</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17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Patricia Hemingway Hall (presidenta)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0,92</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(FY2026)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22,57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4,28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16,26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90,0 %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288x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El consejero delegado cobró 22,6 M USD en FY2026: 1,5 M de fijo, 4,3 M de variable anual y 16,3 M en acciones [16]. Las acciones por objetivos se ligan al crecimiento del BPA ajustado, a la rentabilidad por dividendo y al flujo libre ajustado, con un modificador de ±20 % por la rentabilidad para el accionista frente al índice sanitario del S&amp;P 500 [16]. Premia el BPA ajustado, que excluye la remuneración ligada a compras y la reestructuración que se repiten: es el punto débil. Ratio frente al empleado mediano (78.316 USD): 288 veces [16]. En la junta de 2025 el voto consultivo sobre la remuneración tuvo ≈ 90 % a favor y 9,2 % en contra [17].</w:t>
      </w:r>
    </w:p>
    <w:p>
      <w:pPr>
        <w:pStyle w:val="Heading2"/>
      </w:pPr>
      <w:r>
        <w:t xml:space="preserve">Operaciones vinculadas, estructura de control y defensas</w:t>
      </w:r>
    </w:p>
    <w:p>
      <w:pPr>
        <w:spacing w:after="100"/>
      </w:pPr>
      <w:r>
        <w:t xml:space="preserve">Sin accionista de control: el mayor es Vanguard (13,6 % sumando sus dos gestoras), seguido de Wellington y State Street [16]. Una acción, un voto; consejo elegido cada año por mayoría; presidenta independiente separada del consejero delegado; 10 de 11 consejeros independientes y todas las comisiones independientes [16]. Sin operaciones vinculadas relevantes [16].</w:t>
      </w:r>
    </w:p>
    <w:p>
      <w:pPr>
        <w:pStyle w:val="Heading2"/>
      </w:pPr>
      <w:r>
        <w:t xml:space="preserve">Señales de alerta</w:t>
      </w:r>
    </w:p>
    <w:p>
      <w:pPr>
        <w:pStyle w:val="ListParagraph"/>
        <w:numPr>
          <w:ilvl w:val="0"/>
          <w:numId w:val="2"/>
        </w:numPr>
        <w:spacing w:after="60"/>
      </w:pPr>
      <w:r>
        <w:t xml:space="preserve">Ventas de directivos por 61,6 M USD en 12 meses (29,4 M del consejero delegado), ninguna compra y ninguna con plan 10b5-1: casi todas el 18-19 de agosto de 2026, tras la entrega de acciones por objetivos y en máximos [20].</w:t>
      </w:r>
    </w:p>
    <w:p>
      <w:pPr>
        <w:pStyle w:val="ListParagraph"/>
        <w:numPr>
          <w:ilvl w:val="0"/>
          <w:numId w:val="2"/>
        </w:numPr>
        <w:spacing w:after="60"/>
      </w:pPr>
      <w:r>
        <w:t xml:space="preserve">Investigación civil del Departamento de Justicia (antisoborno en consultas de reumatología) y ajustes propuestos por el IRS de ≈ 1.400 M USD más intereses [1].</w:t>
      </w:r>
    </w:p>
    <w:p>
      <w:pPr>
        <w:pStyle w:val="ListParagraph"/>
        <w:numPr>
          <w:ilvl w:val="0"/>
          <w:numId w:val="2"/>
        </w:numPr>
        <w:spacing w:after="60"/>
      </w:pPr>
      <w:r>
        <w:t xml:space="preserve">Cambio de presidente del consejo en marzo de 2026 y de directora de contabilidad en noviembre de 2026 [18, 21].</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Guía de FY2027 (a 30-jun-2027), dada el 11-ago-2026 y reafirmada el 1-oct-2026: BPA ajustado de 12,40-12,60 USD (+13-15 % sobre 10,95), farmacéutico ventas +3-5 % y resultado +8-11 %, GMPD resultado de 200-220 M, «Otros» resultado +15-18 %, intereses y otros 240-290 M, tipo del 19-20 %, ≈ 233 M de acciones, recompras de al menos 1.000 M, inversión ≈ 700 M y flujo libre ajustado de 3.500-4.000 M [2, 11]. Objetivo a largo plazo: BPA ajustado +12-14 % anual [2].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45"/>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265.769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Yahoo Finance, 17 analistas [23]</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281.854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14,06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17 analistas [23]</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19"/>
        <w:gridCol w:w="1505"/>
        <w:gridCol w:w="1505"/>
        <w:gridCol w:w="1204"/>
        <w:gridCol w:w="1505"/>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265.689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265.769</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4.251</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281.631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281.854</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4.619</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 / 3 / 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271,47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235,00 – 295,00</w:t>
            </w:r>
          </w:p>
        </w:tc>
      </w:tr>
    </w:tbl>
    <w:p>
      <w:pPr>
        <w:spacing w:after="160" w:before="0"/>
      </w:pPr>
    </w:p>
    <w:p>
      <w:pPr>
        <w:pStyle w:val="Heading2"/>
      </w:pPr>
      <w:r>
        <w:t xml:space="preserve">Revisiones de estimaciones</w:t>
      </w:r>
    </w:p>
    <w:p>
      <w:pPr>
        <w:spacing w:after="100"/>
      </w:pPr>
      <w:r>
        <w:t xml:space="preserve">El BPA de FY2027 del consenso subió de 12,05 USD hace 90 días a 12,56 hoy y el de FY2028 de 13,57 a 14,06, tras la guía del 11-ago [2, 23]. Los objetivos de precio suben: UBS 280 → 295 USD el 16-oct, RBC empezó con «mejor que el mercado» y 276 en agosto, Leerink 292, JPMorgan 215 → 260 (neutral), BofA 240 → 260 en julio; Zacks bajó de «compra fuerte» a «mantener» en junio [24]. MarketBeat da 19 analistas (16 comprar, 3 mantener) con un objetivo medio de 267,50 USD; Yahoo, 15 objetivos con media 271,47 USD (235-295) [23, 24]. Sin consenso gratuito de FY2029.</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+64,0 %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+16,1 %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+15,4 %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0,53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Posiciones cortas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3,2 %</w:t>
            </w:r>
          </w:p>
        </w:tc>
      </w:tr>
    </w:tbl>
    <w:p>
      <w:pPr>
        <w:spacing w:after="160" w:before="0"/>
      </w:pPr>
    </w:p>
    <w:p>
      <w:pPr>
        <w:spacing w:after="100"/>
      </w:pPr>
      <w:r>
        <w:t xml:space="preserve">La acción ha batido al índice en el último año y en tres, no en diez: rentabilidad total del +64,0 % en 12 meses, +41,9 % anual en tres años y +16,1 % anual en diez [22]. Lo explica el BPA ajustado (+19 % anual entre FY2023 y FY2026) más la subida del múltiplo, del ≈ 9x adelantado en 2022 a ≈ 20x hoy [2, 22]. Beta baja (0,53 mensual a cinco años; 0,69 ajustada) y volatilidad del 29 % en el último año, alta para un distribuidor por los saltos en resultados (+15,4 % el 30-oct-2025) y la caída de mayo de 2026 (−15 % en un mes) [22].</w:t>
      </w:r>
    </w:p>
    <w:p>
      <w:pPr>
        <w:pStyle w:val="Heading2"/>
      </w:pPr>
      <w:r>
        <w:t xml:space="preserve">Precio y noticias antes de decidir (regla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Variación 1 / 3 / 6 / 12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+12,0 % / +11,2 % / +19,5 % / +64,7 %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y al mínimo de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-0,6 % / +61,4 %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de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(medias de 50 y 200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alcista</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(60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2026-11-05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Veredicto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no cambia</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3"/>
        <w:gridCol w:w="1098"/>
        <w:gridCol w:w="4147"/>
        <w:gridCol w:w="1220"/>
      </w:tblGrid>
      <w:tr>
        <w:trPr>
          <w:cantSplit/>
          <w:tblHeader/>
        </w:trPr>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4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Causa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oct-nov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1T FY2026 (30-oct-2025): BPA ajustado de 2,55 USD (+36 %) y guía subida a 9,65-9,85; +15,4 % ese día [5, 28].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2T FY2026 (5-feb-2026): BPA de 2,63 USD y guía subida a 10,15-10,35; −5,1 % el día anterior con el sector y +9,8 % el 5-feb [5].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may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Pese a batir en el 3T (3,17 USD frente a 2,79), −4,9 % el 30-abr por la guía de GMPD y los aranceles, y caída del sector el 6/7-may (Cencora rebajó su guía de ingresos por bajadas de precio de marcas); mínimo del mes el 11-may [5, 28].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may-jul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Recuperación sin nota de la empresa: rebote del sector tras la caída de mayo y fallo del Supremo contra los aranceles IEEPA (devoluciones a importadores); causa concreta no encontrada en tres búsquedas (8-K, titulares de Seeking Alpha, MarketBeat) [24, 28].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ago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FY2026 y guía de FY2027 por encima del objetivo a largo plazo (11-ago): máximo de 52 semanas de 258,30 USD ese día; ampliación de recompras en 5.000 M [2, 28].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oct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Carta de intenciones vinculante con CVS hasta 2032 (1-oct, +3,4 %: quita el mayor riesgo de cliente) y subidas de objetivos (UBS 295 USD el 16-oct) [11, 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9"/>
        <w:gridCol w:w="1585"/>
        <w:gridCol w:w="3904"/>
        <w:gridCol w:w="1220"/>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9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Hecho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2026-10-01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Carta de intenciones vinculante para extender la distribución a CVS (28 % de las ventas) hasta el 30-jun-2032; guía de FY2027 reafirmada; resultados del 1T FY2027 el 5-nov [11].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2026-10-16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recomendación</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UBS sube el objetivo de 280 a 295 USD; objetivo medio de los analistas ≈ 267-271 USD, un 5-7 % sobre el precio [23, 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2026-08-18</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directivos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directivos por 61,6 M USD en 12 meses (29,4 M del consejero delegado) tras la entrega de acciones por objetivos, sin planes 10b5-1 y sin compras [20].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2026-08-11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FY2026: BPA ajustado de 11,26 USD (10,95 sin IEEPA); guía de FY2027 12,40-12,60 y ampliación de recompras en 5.000 M [2].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2026-08-07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 o capital</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Nueva línea de crédito de 4.000 M USD hasta 2031 [1].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2026-04-30</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Deterioro de 184 M USD del fondo de comercio de Navista e ION (oncología comprada en 2024) [5].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2026-03-20</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directivos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Retiro del presidente del consejo (Gregory Kenny); le sustituye Patricia Hemingway Hall, independiente [19].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2025-10-01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demanda o regulador</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Cuarto Circuito anula la sentencia favorable a los distribuidores en Cabell County/Huntington (opioides); sigue pendiente, sin fecha [1].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2026-11-05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1T FY2027 el 5-nov-2026 [11].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p>
      <w:pPr>
        <w:spacing w:after="100"/>
      </w:pPr>
      <w:r>
        <w:t xml:space="preserve">La acción está a un 0,6 % de su máximo histórico tras subir un 12 % en un mes y un 65 % en un año; no salta ningún aviso P de la herramienta (la subida de tres meses es del 11 %). La subida tiene causa en hechos de la empresa (resultados que baten, guía de FY2027 por encima del objetivo a largo plazo, CVS hasta 2032), no en especulación [2, 11]. El único tramo sin causa encontrada (mayo-julio de 2026, +23 %) recupera la caída de mayo. No hay colocaciones, ampliaciones ni decisiones judiciales con fecha que puedan mover el precio más de un 5 % en contra: Cabell County, el Departamento de Justicia y el IRS no tienen fecha. Los resultados del 5-nov no retrasan nada (regla 11). Veredicto: no cambia.</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Precio de cierre de cada ejercicio (30 de junio) de Yahoo [22]. El PER de los últimos 12 meses con el BPA GAAP no sirve en FY2022 (pérdida por los deterioros de GMPD): se excluye; en FY2023 el BPA GAAP (1,26 USD) también está deformado por los deterioros. En base ajustada adelantada (la de la regla a 12 meses), el múltiplo pasó de ≈ 9 veces en junio de 2022 a 19 en junio de 2026 y ≈ 20 hoy: el mercado ha revalorizado el negocio por la recuperación de GMPD, la especialidad, el fin de la incertidumbre de opioides y un crecimiento del BPA del 12-14 % anual frente al 0-5 % de 2018-2022.</w:t>
      </w:r>
    </w:p>
    <w:p>
      <w:pPr>
        <w:pStyle w:val="Heading1"/>
      </w:pPr>
      <w:r>
        <w:t xml:space="preserve">18. Comparables cotizados</w:t>
      </w:r>
    </w:p>
    <w:p>
      <w:pPr>
        <w:pStyle w:val="Confianza"/>
        <w:spacing w:after="100"/>
      </w:pPr>
      <w:r>
        <w:t xml:space="preserve">Confianza: Media</w:t>
      </w:r>
    </w:p>
    <w:p>
      <w:pPr>
        <w:spacing w:after="100"/>
      </w:pPr>
      <w:r>
        <w:t xml:space="preserve">Los otros dos grandes distribuidores de EE. UU. (McKesson y Cencora), un distribuidor sanitario de EE. UU. con más margen (Henry Schein), tres mayoristas japoneses (Medipal, Alfresa, Suzuken), uno suizo (Galenica) y uno australiano (EBOS) [27]. Solo McKesson y Cencora son comparables de verdad (mismo mercado, mismos clientes, mismo circulante negativo); los japoneses y europeos operan en mercados de precios regulados con más caja y menos crecimiento. No se incluyen fabricantes de productos médicos (GMPD es el 5 % de las ventas).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Cardinal Health</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59.094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Cencora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64.967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McKesson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116.889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Henry Schein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9.579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Medipal Holdings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4.026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Alfresa Holdings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Suzuken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Galenica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5.323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EBOS Group</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2.372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4.219</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5,3x / 10,5x / 15,8x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58,94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152,35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248,48</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14,4x / 15,6x / 18,1x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187,44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203,06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235,93</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254.248</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0,1x / 0,3x / 0,5x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84,87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257,02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552,15</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3" name="Gráfico 23"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t xml:space="preserve">Cardinal cotiza a ≈ 20x el BPA ajustado de los próximos 12 meses, al nivel de McKesson (20,9x) y por encima de Cencora (17,2x) [23, 27]. Hace dos años cotizaba con descuento frente a los dos por GMPD y los opioides; hoy el mercado le paga lo mismo que a McKesson, con un crecimiento guiado parecido (+13-15 % en FY2027) pero más concentración en un cliente (CVS 28 %). Frente a los mayoristas japoneses (13-18x con caja neta), la prima refleja el ROIC y el crecimiento. Múltiplo de referencia: la mediana de los comparables (15,6x), que el motor usa en el alcista; el EV/EBITDA se mira con cuidado porque el de Cencora no está en la misma base.</w:t>
      </w:r>
    </w:p>
    <w:p>
      <w:pPr>
        <w:pStyle w:val="Heading1"/>
      </w:pPr>
      <w:r>
        <w:t xml:space="preserve">19. Transacciones precedentes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76"/>
        <w:gridCol w:w="1780"/>
        <w:gridCol w:w="1676"/>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2025-11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Solaris Health (urología, mayoría)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Cardinal Health</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de compra; sin EBITDA publicado [1].</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GI Alliance (73 %)</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Cardinal Health</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3.836</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2.800 M USD por el 73 %; valor del 100 % por extrapolación [1].</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2024-12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Integrated Oncology Network</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Cardinal Health</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Deteriorada en parte en el 3T26 [5].</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2025-04</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Advanced Diabetes Supply</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Cardinal Health</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Material para diabetes a domicilio [1].</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2026-10</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Option Care Health (100 %, con McKesson al 49 %)</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CD&amp;R y McKesson</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14,3x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Referencia de lo que paga un rival por servicios de infusión (informe de McKesson del 19-oct).</w:t>
            </w:r>
          </w:p>
        </w:tc>
      </w:tr>
    </w:tbl>
    <w:p>
      <w:pPr>
        <w:spacing w:after="160" w:before="0"/>
      </w:pPr>
    </w:p>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4" name="Gráfico 24"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spacing w:after="100"/>
      </w:pPr>
      <w:r>
        <w:t xml:space="preserve">Las compras del sector se hacen por consultas médicas y servicios de especialidad, casi nunca con EBITDA publicado: sirven para saber a qué precio compra Cardinal, no para valorarla. Con ≈ 59.000 M USD de capitalización y sin accionista de control, Cardinal no es objetivo realista de una compra; su valor de control no es relevante.</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FY2027e (+4,5 %, fijo) está en la guía por segmentos (farmacéutico +3-5 %, GMPD +2-4 %, «Otros» +11-13 %) y en el consenso (+4,5 %) [2, 23]; resta crecimiento que los precios negociados de Medicare bajan el precio facturado de diez marcas desde enero de 2026 y suma un punto por perímetro (Solaris y la unidad de diabetes de AdaptHealth todo el año). Después, +6,0 % en FY2028e (consenso +6,05 % [23]) y descenso hasta el 3,0 % en FY2034e: por debajo del 9,4 % anual de FY2021-FY2026 y del 8,4 % que IQVIA prevé para el gasto farmacéutico de EE. UU. en 2024-2029 [13], porque los precios negociados, la política de nación más favorecida y la bajada de precio de los GLP-1 restan ventas facturadas aunque no tanto margen [8, 12].</w:t>
      </w:r>
    </w:p>
    <w:p>
      <w:pPr>
        <w:keepNext/>
        <w:spacing w:after="100"/>
      </w:pPr>
      <w:r>
        <w:rPr>
          <w:b/>
          <w:bCs/>
        </w:rPr>
        <w:t xml:space="preserve">Márgenes.</w:t>
      </w:r>
    </w:p>
    <w:p>
      <w:pPr>
        <w:spacing w:after="100"/>
      </w:pPr>
      <w:r>
        <w:t xml:space="preserve">Margen EBITDA = EBITDA ajustado de la empresa menos 0,10 puntos de costes recurrentes que excluye (reestructuración y remuneración ligada a compras): 1,60 % en FY2027e, calibrado con la guía de BPA (12,40-12,60 USD) y de resultado por segmentos [2], hasta el 1,73 % en FY2033e. La subida (13 puntos básicos en seis años) es la mezcla: especialidad, consultas propias y «Otros» (10,4 % de margen) crecen más que la distribución de marcas (≈ 1 %), y GMPD pasa de 158 M sin IEEPA a 200-220 M guiados [2]; es menos de lo que subió el EBITDA ajustado de FY2022 a FY2026 (del 1,4 % al 1,62 % sin IEEPA).</w:t>
      </w:r>
    </w:p>
    <w:p>
      <w:pPr>
        <w:keepNext/>
        <w:spacing w:after="100"/>
      </w:pPr>
      <w:r>
        <w:rPr>
          <w:b/>
          <w:bCs/>
        </w:rPr>
        <w:t xml:space="preserve">Inversión y circulante.</w:t>
      </w:r>
    </w:p>
    <w:p>
      <w:pPr>
        <w:spacing w:after="100"/>
      </w:pPr>
      <w:r>
        <w:t xml:space="preserve">Inversión del 0,27 % de las ventas (649 M USD en FY2026, guía ≈ 700 M [1, 2]) y amortización del 0,37 % (956 M en FY2026, con 361 M de intangibles comprados). Circulante comercial del −2,8 % de las ventas, igual que en FY2026: crecer genera caja. No se proyectan compras nuevas: el capital de las de 2024-2026 ya está en el puente (deuda) y en la proyección (resultado).</w:t>
      </w:r>
    </w:p>
    <w:p>
      <w:pPr>
        <w:keepNext/>
        <w:spacing w:after="100"/>
      </w:pPr>
      <w:r>
        <w:rPr>
          <w:b/>
          <w:bCs/>
        </w:rPr>
        <w:t xml:space="preserve">Coste del capital.</w:t>
      </w:r>
    </w:p>
    <w:p>
      <w:pPr>
        <w:spacing w:after="100"/>
      </w:pPr>
      <w:r>
        <w:t xml:space="preserve">Tasa libre del 5,09 % (bono del Tesoro a 10 años, 16-oct-2026 [25]); beta de 0,70, la ajustada mensual a 5 años (0,69) [22] y la usada para McKesson [31]; prima del 5,5 %; coste de la deuda del 5,3 % antes de impuestos (emisiones de 2025); peso de la deuda del 18 % a valor de mercado con los opioides y las unidades de los médicos. WACC del 8,09 %. Con la prima implícita del mercado (4,2 % [26]) el WACC baja al 7,35 % y el DCF sube a 305,51 USD: la diferencia entre comprar caro y pagar lo justo es la tasa.</w:t>
      </w:r>
    </w:p>
    <w:p>
      <w:pPr>
        <w:keepNext/>
        <w:spacing w:after="100"/>
      </w:pPr>
      <w:r>
        <w:rPr>
          <w:b/>
          <w:bCs/>
        </w:rPr>
        <w:t xml:space="preserve">Valor terminal.</w:t>
      </w:r>
    </w:p>
    <w:p>
      <w:pPr>
        <w:spacing w:after="100"/>
      </w:pPr>
      <w:r>
        <w:t xml:space="preserve">Crecimiento a perpetuidad del 2,5 %, entre la inflación esperada de EE. UU. y la tasa libre menos dos puntos y medio: el gasto en medicamentos crece con la población mayor. El múltiplo de salida implícito (13,4 veces el EBITDA) queda por debajo de los 15-16 a los que cotiza hoy Cardinal [23]. El valor terminal pesa un 67 %.</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8,94 %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8,09 %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7,35 %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265.689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281.631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4.619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297.120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4.962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311.976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5.272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4.022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326.015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5.575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4.214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339.056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5.832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350.923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6.071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361.450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6.253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4.589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2.619</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Flujo de caja libre para la empresa proyectad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84.082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87.543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23.101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46.191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69.292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-4.833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60.429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259,80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De dónde sale el valor empresa del DCF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357,61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399,97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314,76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346,89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242,61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280,35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305,38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252,12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272,05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9,1 %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192,84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203,07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214,84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228,54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244,70</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-132,36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-132,26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-131,89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91,01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104,52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283,08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307,90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409,14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441,13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475,15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511,28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540,58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580,30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622,47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667,21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714,67</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-5.484 M (-20 %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 la reinversión bruta (capex + circulante): crecimiento que financia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22,4 % (reinvierte el 15 %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Rendimiento que la proyección supone para la reinversión bruta</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histórico de ingresos (TCAC)</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 frente al 4,5 % proyectado</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las pruebas del motor</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w:t>
            </w:r>
          </w:p>
        </w:tc>
      </w:tr>
    </w:tbl>
    <w:p>
      <w:pPr>
        <w:spacing w:after="160" w:before="0"/>
      </w:pPr>
    </w:p>
    <w:p>
      <w:pPr>
        <w:spacing w:after="100"/>
      </w:pPr>
      <w:r>
        <w:t xml:space="preserve">La proyección apenas necesita inversión neta de la amortización (reinversión acumulada de -5.484 M, con un capex bruto medio del 0,3 % de las ventas). En un negocio de activos ligeros, el crecimiento medio del 4,5 %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por segmentos [2]: volumen de especialidad, genéricos y GLP-1 (3,5 %), precio neutro (Medicare negociado resta, inflación de marcas suma) y un punto de perímetro (Solaris y diabetes de AdaptHealth todo el año).</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del 4,5 % (población mayor, especialidad, biosimilares) y precio del 1,5 %, en línea con el consenso (+6,05 % [23]).</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del 4 % y precio del 1,5 %; CVS extendido hasta 2032, sin pérdida de volumen en el caso base [11].</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del 3,5 % y precio del 1,5 %: converge hacia el crecimiento del gasto farmacéutico real.</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FY2031e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Volumen del 3 % y precio del 1,5 %.</w:t>
            </w:r>
          </w:p>
        </w:tc>
      </w:tr>
    </w:tbl>
    <w:p>
      <w:pPr>
        <w:spacing w:after="160" w:before="0"/>
      </w:pPr>
    </w:p>
    <w:p>
      <w:pPr>
        <w:spacing w:after="100"/>
      </w:pPr>
      <w:r>
        <w:t xml:space="preserve">El crecimiento proyectado (4,5 % medio en FY2027e-FY2034e) está por debajo del histórico (9,4 % anual en FY2021-FY2026) y del mercado (6 % de la ficha sectorial; 8,4 % de gasto según IQVIA hasta 2029) [12, 13], y no necesita capital: el circulante es negativo y la inversión es del 0,27 % de las ventas. El motor da también «Sí». La cuota (≈ 27 % del volumen de los tres grandes de EE. UU. [12]) se mantiene en el caso base, con el mayor cliente (CVS, 28 % de las ventas) comprometido hasta 2032 [11]. El riesgo no está en el volumen sino en el precio: si las comisiones o el diferencial de genéricos se recortan, las ventas crecen y el margen no; lo recoge el bajista.</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(FY2028e-FY2034e)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4,2 % (base: 4,5 %)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1,7 % (base: 1,7 %)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8,2 % (WACC: 8,1 %)</w:t>
            </w:r>
          </w:p>
        </w:tc>
      </w:tr>
    </w:tbl>
    <w:p>
      <w:pPr>
        <w:spacing w:after="160" w:before="0"/>
      </w:pPr>
    </w:p>
    <w:p>
      <w:pPr>
        <w:spacing w:after="100"/>
      </w:pPr>
      <w:r>
        <w:t xml:space="preserve">El DCF da 259,80 USD por acción, un 2,3 % sobre el precio, con un WACC del 8,09 % y un valor terminal que pesa el 67 %. El DCF inverso dice que el precio descuenta un crecimiento del 4,2 % anual con nuestro margen, frente al 4,5 % de nuestro caso base: el precio es justo para el negocio que proyectamos, sin margen de seguridad. Con la prima de riesgo que hoy pide el mercado (4,2 %) vale 305,51 USD (+20 %): la diferencia entre las dos es la tasa, no las cifras. El bajista (crecimiento −2 puntos y margen −0,12 puntos: comisiones y diferencial de genéricos recortados, aranceles) vale 168,45 USD (−34 %): el margen tan fino amplifica cualquier cesión.</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168,45</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política de nación más favorecida y los aranceles a genéricos de 2028 recortan el diferencial de genéricos y las comisiones; los GLP-1 abaratados y los precios negociados de Medicare restan ventas; GMPD vuelve a perder dinero con costes de materias primas y fletes; las consultas compradas pierden reembolsos. Crecimiento 2 puntos menor y margen 12 puntos básicos menor (≈ −7 % del EBITDA).</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259,80</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del 4,5-6 % con especialidad, genéricos y GLP-1, y margen que sube 13 puntos básicos en seis años por la mezcla (consultas, «Otros», GMPD recuperado); CVS hasta 2032 sin cambios.</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294,60</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+16,0 %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especialidad, Biopharma Solutions y los teranósticos crecen más rápido y GMPD vuelve a márgenes del 3-4 %: un punto más de crecimiento y 6 puntos básicos más de margen.</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7" name="Gráfico 27" descr="Valor por acción por escenario (USD) · precio actual 254,06"/>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p>
      <w:pPr>
        <w:spacing w:after="100"/>
      </w:pPr>
      <w:r>
        <w:rPr>
          <w:b/>
          <w:bCs/>
        </w:rPr>
        <w:t xml:space="preserve">Valor ponderado por probabilidad:</w:t>
      </w:r>
      <w:r>
        <w:t xml:space="preserve"> 245,66 USD (-3,3 %).</w:t>
      </w:r>
    </w:p>
    <w:p>
      <w:pPr>
        <w:spacing w:after="100"/>
      </w:pPr>
      <w:r>
        <w:t xml:space="preserve">La asimetría es desfavorable: el alcista vale 294,60 USD (+16,0 %) y el bajista 168,45 (−33,7 %). El margen del 1,6 % multiplica cualquier cambio: 12 puntos básicos de margen son el 7 % del EBITDA, y el valor terminal pesa el 67 %. Con estos pesos, el valor ponderado de los escenarios (245,66 USD) queda un 3 % por debajo del precio.</w:t>
      </w:r>
    </w:p>
    <w:p>
      <w:pPr>
        <w:pStyle w:val="Heading1"/>
      </w:pPr>
      <w:r>
        <w:t xml:space="preserve">22. Suma de partes</w:t>
      </w:r>
    </w:p>
    <w:p>
      <w:pPr>
        <w:pStyle w:val="Confianza"/>
        <w:spacing w:after="100"/>
      </w:pPr>
      <w:r>
        <w:t xml:space="preserve">Confianza: Media</w:t>
      </w:r>
    </w:p>
    <w:p>
      <w:pPr>
        <w:spacing w:after="100"/>
      </w:pPr>
      <w:r>
        <w:t xml:space="preserve">No aplica como método de valoración: el segmento farmacéutico da el 74 % del resultado de los segmentos y comparte clientes, logística y compras con «Otros» (at-Home, Nuclear, OptiFreight). GMPD (7 % del resultado de segmento en FY2026, 4 % sin IEEPA) tendría valor aparte como fabricante de productos médicos, pero su margen del 1-2 % no cambia el total; el mercado lleva años pidiendo su venta y la dirección no la ha anunciado [2].</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8" name="Gráfico 28" descr="Valor por acción según cada método (USD) · precio actual 254,06"/>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254,06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258,30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271,47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187,44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203,06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235,93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259,80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314,76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168,45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245,66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294,60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305,51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344,97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252,79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254,06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255,33</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245,66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spacing w:after="100"/>
      </w:pPr>
      <w:r>
        <w:rPr>
          <w:b/>
          <w:bCs/>
        </w:rPr>
        <w:t xml:space="preserve">Valor intrínseco ponderado (largo plazo):</w:t>
      </w:r>
      <w:r>
        <w:t xml:space="preserve"> 245,63 USD (-3,3 % sobre 254,06).</w:t>
      </w:r>
    </w:p>
    <w:p>
      <w:pPr>
        <w:spacing w:after="100"/>
      </w:pPr>
      <w:r>
        <w:t xml:space="preserve">Pesos: DCF 45 %, escenarios 40 % y comparables 15 %. El DCF es el método más fiable para un negocio estable con circulante negativo, pero depende de la tasa: con la prima del mercado, +20 %. Los escenarios recogen la asimetría (bajista −34 %, alcista +16 %). Los comparables pesan poco: la mediana la bajan los japoneses, que cotizan a 4-6 veces el EBITDA con caja neta y precios regulados; frente a McKesson (20,9 veces) y Cencora (17,2) Cardinal cotiza a 19,6 [27]. Las transacciones no pesan (compras de consultas sin EBITDA publicado). El valor objetivo de la síntesis es de 245,63 USD (−3,3 %); el rango del DCF con ± 0,5 puntos (221-315) muestra que el precio está en el centro. El puente resta 3.397 M USD de opioides después de impuestos y 1.436 M de minoritarios (con las unidades de los médicos de The Specialty Alliance); sin los opioides, el valor por acción subiría ≈ 15 USD.</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12,43</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mínimo de 5 años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111,87</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-55,2 %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13,87</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(19.6x) ÷ 1.1 (tope: la mediana de 5 años, 12.6x, queda más lejos)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246,89</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14,61</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17,8x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(ni la historia ni los comparables pagan más)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260,06</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+3,2 %</w:t>
            </w:r>
          </w:p>
        </w:tc>
      </w:tr>
    </w:tbl>
    <w:p>
      <w:pPr>
        <w:spacing w:after="160" w:before="0"/>
      </w:pPr>
    </w:p>
    <w:p>
      <w:pPr>
        <w:spacing w:after="100"/>
      </w:pPr>
      <w:r>
        <w:rPr>
          <w:b/>
          <w:bCs/>
        </w:rPr>
        <w:t xml:space="preserve">Objetivo a 12 meses (ponderado):</w:t>
      </w:r>
      <w:r>
        <w:t xml:space="preserve"> 216,43 USD · rentabilidad -14,0 % (base -2,0 %) · señal Vender.</w:t>
      </w:r>
    </w:p>
    <w:p>
      <w:pPr>
        <w:spacing w:after="100"/>
      </w:pPr>
      <w:r>
        <w:t xml:space="preserve">Para comparar, con la regla v2 (historia al cierre, mismo precio): 10,3x / 16,3x / 16,3x, -18,7 % Vender; con el tope anterior del base (×1,3, 14-oct mediodía): -22,8 % Vender. Decide la v3 con tope ×1,1, elegida por el selector de método (sin marcas: decide la v3; METODO-VIGENTE.md).</w:t>
      </w:r>
    </w:p>
    <w:p>
      <w:pPr>
        <w:keepNext/>
        <w:spacing w:after="100"/>
      </w:pPr>
      <w:r>
        <w:rPr>
          <w:b/>
          <w:bCs/>
        </w:rPr>
        <w:t xml:space="preserve">Frente al consenso (solo contraste).</w:t>
      </w:r>
    </w:p>
    <w:p>
      <w:pPr>
        <w:spacing w:after="100"/>
      </w:pPr>
      <w:r>
        <w:t xml:space="preserve">Nuestro BPA ajustado de FY2027e (12,58 USD) coincide con el consenso (12,56) y con la parte alta de la guía (12,40-12,60) [2, 23]; el de FY2028e (13,87) queda un 1,4 % por debajo del consenso (14,06) porque no incluye recompras no anunciadas más allá de los ≥ 1.000 M guiados para FY2027 (con 6.400 M autorizados, cada 1.000 M al año añade ≈ 1,7 puntos al BPA) [2]. La distancia con el objetivo medio de los analistas (271,47 USD, 15 analistas) está en el múltiplo: ellos mantienen ≈ 19-20 veces y la regla común lleva el PER a 17,8 veces, el tope de ÷1,1 en el camino hacia la mediana de cinco años (12,6).</w:t>
      </w:r>
    </w:p>
    <w:p>
      <w:pPr>
        <w:keepNext/>
        <w:spacing w:after="100"/>
      </w:pPr>
      <w:r>
        <w:rPr>
          <w:b/>
          <w:bCs/>
        </w:rPr>
        <w:t xml:space="preserve">Del valor intrínseco al objetivo a 12 meses.</w:t>
      </w:r>
    </w:p>
    <w:p>
      <w:pPr>
        <w:spacing w:after="100"/>
      </w:pPr>
      <w:r>
        <w:t xml:space="preserve">El objetivo a 12 meses (216,43 USD, ponderado) queda un 14,8 % bajo el precio (−14,0 % con dividendo) y el valor intrínseco (245,63) un 3,3 %. El base (246,89 USD, −2,0 % con dividendo) supone que el BPA ajustado crece un 12,5 % anual desde 10,95 USD (sin IEEPA) y que el múltiplo baja de 19,6 a 17,8 veces; el bajista (111,87) es el PER de junio de 2022 (9,0 veces, con GMPD en crisis) sobre un BPA un 10 % menor, y es lo que hunde la ponderada. Crecimiento del BPA base: +12,5 % anual sobre el ajustado (el 38,5 % que mide el motor parte del BPA GAAP de 7,23, deformado por amortizaciones y deterioros). Para comprar haría falta un precio de 189,97 USD (−25 %). Para vender (ponderada ≤ −10 %), uno por encima de 242,74 USD: al cierre del 16-oct (254,06) y a la sesión del 19-oct (252,46), la regla da Vender.</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2026-11-05</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1T FY2027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Revisión de la guía de BPA (12,40-12,60 USD) y del flujo libre; primera lectura de GMPD sin IEEPA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2026-11-12</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Junta de accionistas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Voto sobre la remuneración de FY2026 (22,6 M USD)</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Contrato definitivo con CVS hasta junio de 2032</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Confirma las condiciones del mayor cliente (28 % de las ventas)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2027-01</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Segunda tanda de precios negociados de Medicare (15 fármacos) y nuevos acuerdos de nación más favorecida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Menos ventas facturadas; efecto en margen limitado si las comisiones se mantienen</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2027-08</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FY2027 y guía de FY2028</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guía de FY2028 frente a los 14,06 USD del consenso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Aranceles a genéricos importados (100 % anunciado para 2028)</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Riesgo para el diferencial de genéricos y Red Oak</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fecha</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Sentencia de Cabell County/Huntington y la investigación del Departamento de Justicia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Posibles cargos de litigios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Continuo</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Recompras (≥ 1.000 M USD en FY2027; 6.400 M autorizados)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+1,5-2 % de BPA al año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la acción cotiza a 19,6 veces el BPA ajustado de los próximos 12 meses frente a una mediana adelantada de cinco años de 12,6</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Valoración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−20 % si el PER vuelve a 15-16</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del BPA del 12-14 % al año y recompras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FY2028 por debajo del consenso o rotación del mercado fuera de defensivas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Precios de los medicamentos y aranceles (nación más favorecida, Medicare negociado, aranceles a genéricos en 2028-2029)</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a −10 %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Comisión por servicio pactada en marcas; contratos de las marcas de Medicare renegociados [15]</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 del segmento farmacéutico creciendo menos que sus ventas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Concentración de clientes: CVS 28 % de las ventas, cinco primeros 43 %</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Clientes</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−25 % si se pierde un cliente grande</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Carta de intenciones vinculante con CVS hasta 2032; Red Oak hasta 2029 [11]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Retraso del contrato definitivo o concurso de otro gran cliente</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GMPD: costes de materias primas, fletes (petróleo, conflicto de Irán) y aranceles sobre productos fabricados en Asia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a −5 %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200-220 M de resultado; repercusión de precios y fabricación en varios países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 de GMPD por debajo de 40 M en un trimestre</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Compras de consultas (The Specialty Alliance): reembolsos de Medicare, ejecución y coste de las unidades de los médicos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Asignación de capital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a −5 %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Diversificación entre especialidades; las unidades de los médicos ligan su remuneración al resultado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Nuevos deterioros (como los 184 M de Navista e ION) o subida del pasivo de las unidades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Opioides fuera del acuerdo, Departamento de Justicia e IRS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Litigios y fiscal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 a −4 %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Acuerdo nacional cerrado; la empresa dice estar provisionada frente al IRS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Sentencia adversa en Cabell County o liquidación con el IRS por encima de lo provisionado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directivos (61,6 M USD en 12 meses, ninguna compra)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Señal, no valor</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tras la entrega de acciones por objetivos, concentradas en agosto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Nuevas ventas fuera de la ventana de entrega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Riesgo de IA (venta directa digital, automatización de servicios a laboratorios y pacientes)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Tecnología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±2 % a 3-5 años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logística física con licencia de la DEA y la fabricación no se sustituyen; la IA baja costes de almacén y atención</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Pérdida de programas de Sonexus (apoyo a pacientes) frente a plataformas digitales</w:t>
            </w:r>
          </w:p>
        </w:tc>
      </w:tr>
    </w:tbl>
    <w:p>
      <w:pPr>
        <w:spacing w:after="160" w:before="0"/>
      </w:pPr>
    </w:p>
    <w:p>
      <w:pPr>
        <w:pStyle w:val="Heading2"/>
      </w:pPr>
      <w:r>
        <w:t xml:space="preserve">Pre-mortem</w:t>
      </w:r>
    </w:p>
    <w:p>
      <w:pPr>
        <w:spacing w:after="100"/>
      </w:pPr>
      <w:r>
        <w:t xml:space="preserve">Octubre de 2028: la acción ha perdido un 35 %. No fue un mal año de la empresa sino del precio y de la política: los aranceles del 100 % a los genéricos importados entraron en 2028 y el diferencial de Red Oak se estrechó mientras los laboratorios indios trasladaban la subida; la orden de nación más favorecida bajó el precio de lista de las marcas y CMS revisó las comisiones de servicio. GMPD, con fábricas en Asia y fletes caros, volvió a perder dinero. Las consultas de The Specialty Alliance, compradas a precios altos, sufrieron recortes de reembolso de la parte B de Medicare y hubo más deterioros como el de Navista e ION. El BPA creció un 6 % en vez del 12-14 % prometido y el mercado volvió a pagar 12-13 veces, la mediana de cinco años. La señal temprana: una guía de FY2028 por debajo del consenso y un resultado de GMPD por debajo de lo guiado en FY2027.</w:t>
      </w:r>
    </w:p>
    <w:p>
      <w:pPr>
        <w:pStyle w:val="Heading2"/>
      </w:pPr>
      <w:r>
        <w:t xml:space="preserve">Riesgo de inteligencia artificial</w:t>
      </w:r>
    </w:p>
    <w:p>
      <w:pPr>
        <w:spacing w:after="100"/>
      </w:pPr>
      <w:r>
        <w:rPr>
          <w:b/>
          <w:bCs/>
        </w:rPr>
        <w:t xml:space="preserve">Exposición:</w:t>
      </w:r>
      <w:r>
        <w:t xml:space="preserve"> Baja · </w:t>
      </w:r>
      <w:r>
        <w:rPr>
          <w:b/>
          <w:bCs/>
        </w:rPr>
        <w:t xml:space="preserve">Sentido:</w:t>
      </w:r>
      <w:r>
        <w:t xml:space="preserve"> Mixto · </w:t>
      </w:r>
      <w:r>
        <w:rPr>
          <w:b/>
          <w:bCs/>
        </w:rPr>
        <w:t xml:space="preserve">Efecto en valor (3-5 años):</w:t>
      </w:r>
      <w:r>
        <w:t xml:space="preserve"> ±2 % a 3-5 años</w:t>
      </w:r>
    </w:p>
    <w:p>
      <w:pPr>
        <w:spacing w:after="100"/>
      </w:pPr>
      <w:r>
        <w:t xml:space="preserve">La IA no sustituye lo que hace Cardinal en el 95 % de su resultado: mover medicamentos físicos con licencia de la DEA, cadena de frío y crédito a miles de farmacias, fabricar productos médicos y producir radiofármacos de vida corta. Ahí la IA baja costes (previsión de demanda, almacenes automatizados, compras de genéricos, atención a pacientes de at-Home). La exposición está en los servicios a laboratorios (Biopharma Solutions, Sonexus de apoyo a pacientes y acceso, ≈ 1.000 M USD de ventas en FY2028 según la dirección [8]): son trabajo administrativo que la IA puede automatizar; si lo hace Cardinal, gana margen; si lo hacen plataformas nuevas, pierde clientes. Amenaza indirecta: venta directa digital del laboratorio al paciente. Señal: pérdida de programas de Sonexus o márgenes de Biopharma Solutions a la baja.</w:t>
      </w:r>
    </w:p>
    <w:p>
      <w:pPr>
        <w:pStyle w:val="Heading1"/>
      </w:pPr>
      <w:r>
        <w:t xml:space="preserve">26. ESG y controversias</w:t>
      </w:r>
    </w:p>
    <w:p>
      <w:pPr>
        <w:pStyle w:val="Confianza"/>
        <w:spacing w:after="100"/>
      </w:pPr>
      <w:r>
        <w:t xml:space="preserve">Confianza: Baja</w:t>
      </w:r>
    </w:p>
    <w:p>
      <w:pPr>
        <w:spacing w:after="160" w:before="0"/>
      </w:pPr>
    </w:p>
    <w:p>
      <w:pPr>
        <w:pStyle w:val="Heading2"/>
      </w:pPr>
      <w:r>
        <w:t xml:space="preserve">Asuntos materiales</w:t>
      </w:r>
    </w:p>
    <w:p>
      <w:pPr>
        <w:spacing w:after="100"/>
      </w:pPr>
      <w:r>
        <w:t xml:space="preserve">Lo material para Cardinal es el control de sustancias reguladas (licencias de la DEA, vigilancia de pedidos sospechosos tras los opioides), la seguridad y calidad de los productos médicos que fabrica GMPD (retiradas, cadena de suministro en Asia y aranceles), la seguridad radiológica de Nuclear and Precision Health y el acceso y precio de los medicamentos (Medicare, 340B) [1]. Las emisiones propias vienen sobre todo de las fábricas de GMPD y de la flota; lo social pesa en la cadena de suministro y en los datos de pacientes de at-Home y de las consultas de The Specialty Alliance.</w:t>
      </w:r>
    </w:p>
    <w:p>
      <w:pPr>
        <w:pStyle w:val="Heading2"/>
      </w:pPr>
      <w:r>
        <w:t xml:space="preserve">Controversias</w:t>
      </w:r>
    </w:p>
    <w:p>
      <w:pPr>
        <w:spacing w:after="100"/>
      </w:pPr>
      <w:r>
        <w:t xml:space="preserve">Opioides: acuerdo nacional de 2022 con pagos hasta 2038 (pasivo de 4.300 M USD a 30-jun-2026), el caso de Cabell County/Huntington reabierto por el Cuarto Circuito en octubre de 2025 y ≈ 73 demandas privadas [1]. Investigación civil del Departamento de Justicia por posibles sobornos en consultas de reumatología, filtros de vena cava y disputas fiscales con el IRS [1]. Remuneración del consejero delegado de 22,57 M USD (288 veces el empleado mediano) con ≈ 90 % de apoyo en la junta de 2025 [16, 17]. Calificaciones de MSCI, Sustainalytics o CDP no comprobadas en fuente primaria: no se dan.</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Genéricos y aranceles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del resultado del segmento farmacéutico viene del diferencial de genéricos y cuánto de esos genéricos se fabrica en India y China expuesto a los aranceles anunciados para 2028-2029?</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escenario bajista (−34 %): los genéricos son donde está el margen.</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libre</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del flujo libre ajustado de 5.000 M USD de FY2026 fue circulante que se revierte, y cómo se llega a los 3.500-4.000 M de FY2027?</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Paga recompras y compras; un flujo menor frena las recompras que el consenso descuenta.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CVS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condiciones económicas tiene la carta de intenciones hasta 2032 frente al contrato actual, y cuándo se firma el definitivo?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CVS es el 28 % de las ventas; una renovación con peores condiciones restaría margen al segmento farmacéutico.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The Specialty Alliance</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crecimiento orgánico y qué margen tienen las consultas compradas, y qué falló en Navista e ION?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 8.000 M USD invertidos desde 2024 y 407 M de remuneración de médicos aún por reconocer.</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GMPD</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se fijó y no se cumplió el objetivo de 650 M de resultado, y cuál es hoy el objetivo a largo plazo?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GMPD con margen del 3-4 % sería el alcista; uno en pérdidas, el bajista.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IRS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¿Cuánto hay provisionado frente a los ≈ 1.400 M USD más intereses que propone el IRS y cuándo se resolverá?</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 pago no provisionado restaría ≈ 6 USD por acción.</w:t>
            </w:r>
          </w:p>
        </w:tc>
      </w:tr>
    </w:tbl>
    <w:p>
      <w:pPr>
        <w:spacing w:after="160" w:before="0"/>
      </w:pPr>
    </w:p>
    <w:p>
      <w:pPr>
        <w:pStyle w:val="Heading1"/>
      </w:pPr>
      <w:r>
        <w:t xml:space="preserve">28. Sentimiento en foros y comentarios</w:t>
      </w:r>
    </w:p>
    <w:p>
      <w:pPr>
        <w:pStyle w:val="Confianza"/>
        <w:spacing w:after="100"/>
      </w:pPr>
      <w:r>
        <w:t xml:space="preserve">Confianza: Media</w:t>
      </w:r>
    </w:p>
    <w:p>
      <w:pPr>
        <w:spacing w:after="100"/>
      </w:pPr>
      <w:r>
        <w:rPr>
          <w:b/>
          <w:bCs/>
        </w:rPr>
        <w:t xml:space="preserve">Tono:</w:t>
      </w:r>
      <w:r>
        <w:t xml:space="preserve"> Positivo · </w:t>
      </w:r>
      <w:r>
        <w:rPr>
          <w:b/>
          <w:bCs/>
        </w:rPr>
        <w:t xml:space="preserve">Tendencia:</w:t>
      </w:r>
      <w:r>
        <w:t xml:space="preserve"> Estable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Stocktwits ($CAH)</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 mensajes marcados alcistas y ninguno bajista: celebran el máximo histórico y el acuerdo con CVS («evento que despeja», según BofA); un servicio de opciones abre posiciones cortas y otros avisan de las ventas de directivos del 18-19 de agosto [29].</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Seeking Alpha (artículos y titulares)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Artículos alcistas («sigo comprando», especialidad y medicina de precisión, señal positiva del 4T) y la nota de RBC por los servicios de más margen; ninguno bajista en tres meses [30].</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MarketBeat</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Alertas de máximos y subidas de objetivo; las ventas de directivos aparecen sin debate [24].</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CVS hasta 2032 como «evento que despeja»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Correcto en lo esencial (CVS es el 28 % de las ventas), pero es una carta de intenciones: el contrato definitivo y sus condiciones no se conocen [29].</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Especialidad y servicios de más margen</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datos lo apoyan (especialidad +25 %, «Otros» +37 %), pero hubo un deterioro de 184 M en oncología comprada [30].</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directivos en máximos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Son ventas tras la entrega de acciones por objetivos, habituales, pero importantes (61,6 M USD) y sin ninguna compra [29].</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Valoración tras subir un 65 % en un año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 el punto clave del informe: la regla a 12 meses da rentabilidad negativa por el múltiplo, no por el negocio [29].</w:t>
            </w:r>
          </w:p>
        </w:tc>
      </w:tr>
    </w:tbl>
    <w:p>
      <w:pPr>
        <w:spacing w:after="160" w:before="0"/>
      </w:pPr>
    </w:p>
    <w:p>
      <w:pPr>
        <w:spacing w:after="100"/>
      </w:pPr>
      <w:r>
        <w:t xml:space="preserve">El sentimiento es claramente positivo: los particulares y los autores de Seeking Alpha ven a Cardinal como valor defensivo con crecimiento, en máximos, y lo acompañan los analistas (14 de 17 comprar) [29, 30]. No hay capitulación ni miedo que aprovechar; el único ruido en contra son las ventas de directivos y algunos cortos de opciones. No anticipa ningún riesgo que el informe no tenga; lo que señala es que la valoración ya no es el argumento de compra. Opiniones, no datos: ninguna cifra sale de aquí.</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18 de 19 controles correctos y 1 explicados. Fuentes: 31 (20 primarias); citas distintas en el texto: 30.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sostenibilidad del analista coherente con las pruebas del motor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analista dice «Sí» y las pruebas del motor dan «Sí»: razónalo en la justificación.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-2,8 % frente a -2,8 % real: genera una variación de circulante de -268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67 %.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BPA base de FY2028e (13,87) supone un 38,5 % anual desde 7,23 (FY2026): explícalo en valoracion.objetivo_12m.comentario o la confianza es baja. Explicación: El motor mide el crecimiento desde el BPA GAAP de FY2026 (7,23 USD), que restan la amortización de intangibles comprados, la remuneración ligada a compras, los deterioros de Navista, ION y Outcomes y la reestructuración [2]. En la base ajustada de los casos (10,95 USD sin IEEPA), el BPA base de FY2028e (13,87) crece un 12,5 % anual, dentro de la guía de FY2027 (+13-15 %) y del objetivo a largo plazo (+12-14 %) [2].</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fuentes (20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7.</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y BPA de FY2029e del consenso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Yahoo quoteSummary (solo dos ejercicios); 2) MarketBeat (solo el año en curso y el siguiente); 3) MarketScreener no abre sin sesión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causa de la subida de mayo-julio de 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8-K de la empresa de mayo-julio de 2026 (ninguno con hechos de negocio); 2) titulares de Seeking Alpha (RSS); 3) noticias de MarketBeat</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 explica como rebote del sector, sin causa concreta</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Form 10-K del ejercicio FY2026 (cerrado el 30-jun-2026): cuentas, segmentos, clientes, deuda, opioides, Specialty Alliance, riesgos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Cardinal Health,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11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https://www.sec.gov/Archives/edgar/data/721371/000072137126000038/cah-20260630.htm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Cardinal Health Reports Fourth Quarter and Fiscal Year 2026 Results (conciliación GAAP-ajustado, segmentos, guía FY2027)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Cardinal Health, Inc. (SEC, 8-K)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11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https://www.sec.gov/Archives/edgar/data/721371/000072137126000037/a26q4_x063026xex991xnewsre.htm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Cardinal Health Reports Fourth Quarter and Fiscal Year 2025 Results (BPA ajustado 8,24 USD; guía FY2026)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Cardinal Health, Inc. (SEC, 8-K)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https://www.sec.gov/Archives/edgar/data/721371/000072137125000075/a25q4_x063025xex991xnewsre.htm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Notas de resultados anuales FY2018-FY2024 (BPA ajustado, resultado operativo ajustado, deterioros de GMPD y cargos de opioides)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Cardinal Health, Inc. (SEC, 8-K)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ago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https://www.sec.gov/Archives/edgar/data/721371/000072137124000054/a24q4_x063024xex991xnewsre.htm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Notas de resultados del 1T, 2T y 3T FY2026 (trimestres, subidas de guía)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Cardinal Health, Inc. (SEC, 8-K)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https://www.sec.gov/Archives/edgar/data/721371/000072137126000017/a26q3_x033126xex991xnewsre.htm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10-Q del 3T FY2026 (31-mar-2026): deterioro de Navista e ION, Solaris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Cardinal Health,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https://www.sec.gov/Archives/edgar/data/721371/000072137126000018/cah-20260331.htm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XBRL company facts de Cardinal Health (amortización de intangibles, depreciación, intereses pagados)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https://data.sec.gov/api/xbrl/companyfacts/CIK0000721371.json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Cardinal Health Q4 FY2026 earnings call transcript (IEEPA, genéricos, Biopharma Solutions, recompras)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Cardinal Health, Inc. (relación con inversores)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https://s201.q4cdn.com/566741227/files/doc_financials/2026/q4/Q4-FY26-CAH-Earnings-Transcript.pdf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nueva línea de crédito de 4.000 M USD hasta agosto de 2031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Cardinal Health,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https://www.sec.gov/Archives/edgar/data/721371/000072137126000036/cah-20260807.htm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emisión de bonos de agosto de 2025 (600 M al 4,5 % 2030 y 400 M al 5,15 % 2035) para Solaris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Cardinal Health,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https://www.sec.gov/Archives/edgar/data/721371/000119312525189845/d51052d8k.htm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y carta de intenciones vinculante con CVS Health (extensión hasta el 30-jun-2032)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Cardinal Health,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https://www.sec.gov/Archives/edgar/data/721371/000072137126000041/draftcvsloi101v4.htm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Distribución farmacéutica mayorista: ficha sectorial corta (tamaño, cuotas, márgenes, comparables)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Repositorio de análisis (sectores/distribucion-farmaceutica-2026-10-15.md)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sectores/distribucion-farmaceutica-2026-10-15.md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10-K FY2025 de Cencora (previsión de IQVIA del gasto farmacéutico de EE. UU.)</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Cencora,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https://www.sec.gov/Archives/edgar/data/1140859/000114085925000131/cor-20250930.htm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Fichas de competidores (ventas, márgenes) de Yahoo Finance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Cardinal Health en la conferencia J.P. Morgan Healthcare 2026 (transición de los contratos de marcas afectados por los precios negociados de Medicare)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Cardinal Health, Inc. (nota de 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https://www.sec.gov/Archives/edgar/data/721371/000072137126000003/a2026jpmpressrelease.htm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Proxy statement 2026 (DEF 14A): consejo, remuneración, accionistas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Cardinal Health,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https://www.sec.gov/Archives/edgar/data/721371/000130817926000402/cah-20260921.htm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resultados de la junta de noviembre de 2025 (votos)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Cardinal Health,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https://www.sec.gov/Archives/edgar/data/721371/000072137125000133/cah-20251105.htm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retiro de Gregory B. Kenny como presidente del consejo (20-mar-2026)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Cardinal Health,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https://www.sec.gov/Archives/edgar/data/721371/000072137126000013/cah-20260317.htm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Cardinal Health appoints Patricia A. Hemingway Hall as Chair of the Board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Cardinal Health, Inc. (nota de 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https://www.sec.gov/Archives/edgar/data/721371/000072137126000013/finalpressrelease323.htm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4 de directivos y consejeros de Cardinal Health (19-oct-2025 a 19-oct-2026), herramienta form4.mjs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https://www.sec.gov/cgi-bin/browse-edgar?action=getcompany&amp;CIK=0000721371&amp;type=4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retiro de la directora de contabilidad (Mary Scherer, feb-2027) y nombramiento de Anita Zielinski (5-nov-2026)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Cardinal Health,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https://www.sec.gov/Archives/edgar/data/721371/000072137126000026/cah-20260804.htm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CAH, SPY y XLV (precio, rango, rentabilidades, beta, cierres de ejercicio): herramienta bolsa.mjs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https://finance.yahoo.com/quote/CAH/history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Consenso de CAH y comparables (estimaciones de BPA y ventas, objetivos, recomendaciones, precio de la sesión del 19-oct a las 10:04 de Nueva York): quoteSummary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https://finance.yahoo.com/quote/CAH/analysis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Cardinal Health: cambios de recomendación y objetivos (UBS 295 USD el 16-oct; RBC, Leerink, JPMorgan, Jefferies…; 19 analistas, objetivo medio 267,50)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https://www.marketbeat.com/stocks/NYSE/CAH/news/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Daily Treasury Par Yield Curve Rates 2026 (10 años: 5,09 % el 16-oct-2026)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Department of the Treasury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https://home.treasury.gov/resource-center/data-chart-center/interest-rates/TextView?type=daily_treasury_yield_curve&amp;field_tdr_date_value=2026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octubre de 2026, 4,20 %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Comparables de distribución farmacéutica (14/15-oct-2026), llevados al precio del 19-oct con la capitalización de Yahoo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Repositorio de análisis (sectores/distribucion-farmaceutica-2026-10-15-comparables.json) y 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sectores/distribucion-farmaceutica-2026-10-15-comparables.json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Titulares de Seeking Alpha sobre CAH (RSS, ago-oct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https://seekingalpha.com/api/sa/combined/CAH.xml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Stocktwits, flujo de mensajes de $CAH (ago-oct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Stocktwits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https://api.stocktwits.com/api/2/streams/symbol/CAH.json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 artículos y titulares sobre CAH (ago-oct 2026: «I'm Still Buying After Checking The Numbers», «Precision Medicine Drives A Sustained Revenue Growth Path», «Q4 Presents Positive Signal»)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https://seekingalpha.com/symbol/CAH/analysis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McKesson y Cencora: análisis value del 19-oct y del 15-oct-2026 (mismo sector; referencia de comparables, ROIC y riesgos comunes)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Repositorio de análisis (informes/mckesson-2026-10-19, informes/cencora-2026-10-15)</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informes/mckesson-2026-10-19/</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89,6 %</w:t>
      </w:r>
      <w:r>
        <w:t xml:space="preserve"> · Secciones con menos del 60 % de campos cubiertos: </w:t>
      </w:r>
      <w:r>
        <w:rPr>
          <w:b/>
          <w:bCs/>
        </w:rPr>
        <w:t xml:space="preserve">ninguna</w:t>
      </w:r>
      <w:r>
        <w:t xml:space="preserve"> · Generado el 19 oct 2026.</w:t>
      </w:r>
    </w:p>
    <w:p>
      <w:pPr>
        <w:pStyle w:val="Nota"/>
        <w:spacing w:after="100"/>
      </w:pPr>
      <w:r>
        <w:t xml:space="preserve">Cifras en millones de USD, ejercicio a 30 de junio etiquetado por el año en que termina (FY2026 = jul-25 a jun-26). El último ejercicio real es FY2026 y no hay trimestres posteriores: el LTM es FY2026 (el 1T FY2027 se publica el 5-nov-2026). Precio: cierre del 16-oct-2026 (254,06 USD); la sesión del 19-oct estaba abierta al hacer el análisis (252,46 USD a las 10:04 de Nueva York [23]) y la decisión se comprueba con ese precio en las pruebas de robustez. El BPA de la regla a 12 meses y su historia están en la base AJUSTADA de la empresa (sin amortización de intangibles comprados, remuneración ligada a compras, reestructuración, deterioros, litigios ni opioides), la misma que el consenso, y SIN el reembolso de aranceles IEEPA de FY2026 (0,31 USD por acción, no recurrente); el DCF resta 0,10 puntos de margen por los costes que se repiten y el ajustado excluye. El PER actual de la regla usa el BPA de los próximos 12 meses (8,4 meses de FY2027e y 3,6 de FY2028e), la misma base que la historia. Calificaciones de S&amp;P y Moody's sin comprobar. Precio de una acción en EUR: ≈ 226 EUR (1,1225 USD por EUR, 16-oct [31]), un 0,8 % de una cartera de 30.000 EUR.</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19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Cardinal Health, Inc. (CAH)</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 Id="rIdGrafico28" Type="http://schemas.openxmlformats.org/officeDocument/2006/relationships/chart" Target="charts/chart28.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_rels/chart28.xml.rels><?xml version="1.0" encoding="UTF-8" standalone="yes"?><Relationships xmlns="http://schemas.openxmlformats.org/package/2006/relationships"><Relationship Id="rId1" Type="http://schemas.openxmlformats.org/officeDocument/2006/relationships/package" Target="../embeddings/Hoja_grafico28.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254,06</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(155,84 – 258,30)</c:v>
                </c:pt>
                <c:pt idx="1">
                  <c:v>Precio objetivo de los analistas (235,00 – 295,00)</c:v>
                </c:pt>
                <c:pt idx="2">
                  <c:v>Comparables: PER NTM (187,44 – 235,93)</c:v>
                </c:pt>
                <c:pt idx="3">
                  <c:v>DCF (WACC y g ± 0,5) (221,33 – 314,76)</c:v>
                </c:pt>
                <c:pt idx="4">
                  <c:v>Escenarios (bajista – alcista) (168,45 – 294,60)</c:v>
                </c:pt>
                <c:pt idx="5">
                  <c:v>DCF con la prima implícita del mercado (4,2 %)</c:v>
                </c:pt>
                <c:pt idx="6">
                  <c:v>Precio actual (254,06)</c:v>
                </c:pt>
              </c:strCache>
            </c:strRef>
          </c:cat>
          <c:val>
            <c:numRef>
              <c:f>Hoja1!$B$2:$B$8</c:f>
              <c:numCache>
                <c:formatCode>#,##0</c:formatCode>
                <c:ptCount val="7"/>
                <c:pt idx="0">
                  <c:v>155.84</c:v>
                </c:pt>
                <c:pt idx="1">
                  <c:v>235</c:v>
                </c:pt>
                <c:pt idx="2">
                  <c:v>187.44</c:v>
                </c:pt>
                <c:pt idx="3">
                  <c:v>221.33</c:v>
                </c:pt>
                <c:pt idx="4">
                  <c:v>168.45</c:v>
                </c:pt>
                <c:pt idx="5">
                  <c:v>273.46</c:v>
                </c:pt>
                <c:pt idx="6">
                  <c:v>252.79</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(155,84 – 258,30)</c:v>
                </c:pt>
                <c:pt idx="1">
                  <c:v>Precio objetivo de los analistas (235,00 – 295,00)</c:v>
                </c:pt>
                <c:pt idx="2">
                  <c:v>Comparables: PER NTM (187,44 – 235,93)</c:v>
                </c:pt>
                <c:pt idx="3">
                  <c:v>DCF (WACC y g ± 0,5) (221,33 – 314,76)</c:v>
                </c:pt>
                <c:pt idx="4">
                  <c:v>Escenarios (bajista – alcista) (168,45 – 294,60)</c:v>
                </c:pt>
                <c:pt idx="5">
                  <c:v>DCF con la prima implícita del mercado (4,2 %)</c:v>
                </c:pt>
                <c:pt idx="6">
                  <c:v>Precio actual (254,06)</c:v>
                </c:pt>
              </c:strCache>
            </c:strRef>
          </c:cat>
          <c:val>
            <c:numRef>
              <c:f>Hoja1!$C$2:$C$8</c:f>
              <c:numCache>
                <c:formatCode>#,##0</c:formatCode>
                <c:ptCount val="7"/>
                <c:pt idx="0">
                  <c:v>102.46000000000001</c:v>
                </c:pt>
                <c:pt idx="1">
                  <c:v>60</c:v>
                </c:pt>
                <c:pt idx="2">
                  <c:v>48.49000000000001</c:v>
                </c:pt>
                <c:pt idx="3">
                  <c:v>93.42999999999998</c:v>
                </c:pt>
                <c:pt idx="4">
                  <c:v>126.15000000000003</c:v>
                </c:pt>
                <c:pt idx="5">
                  <c:v>71.51000000000005</c:v>
                </c:pt>
                <c:pt idx="6">
                  <c:v>2.5400000000000205</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3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(USD, millones)</a:t>
            </a:r>
          </a:p>
        </c:rich>
      </c:tx>
      <c:overlay val="0"/>
    </c:title>
    <c:autoTitleDeleted val="0"/>
    <c:plotArea>
      <c:layout/>
      <c:barChart>
        <c:barDir val="col"/>
        <c:grouping val="stacked"/>
        <c:varyColors val="0"/>
        <c:ser>
          <c:idx val="0"/>
          <c:order val="0"/>
          <c:tx>
            <c:strRef>
              <c:f>Hoja1!$B$1</c:f>
              <c:strCache>
                <c:ptCount val="1"/>
                <c:pt idx="0">
                  <c:v>Pharmaceutical and Specialty Solutions</c:v>
                </c:pt>
              </c:strCache>
            </c:strRef>
          </c:tx>
          <c:spPr>
            <a:solidFill>
              <a:srgbClr val="2A78D6"/>
            </a:solidFill>
            <a:ln w="12700">
              <a:solidFill>
                <a:srgbClr val="FFFFFF"/>
              </a:solidFill>
            </a:ln>
          </c:spPr>
          <c:invertIfNegative val="0"/>
          <c:cat>
            <c:strRef>
              <c:f>Hoja1!$A$2:$A$4</c:f>
              <c:strCache>
                <c:ptCount val="3"/>
                <c:pt idx="0">
                  <c:v>FY2024</c:v>
                </c:pt>
                <c:pt idx="1">
                  <c:v>FY2025</c:v>
                </c:pt>
                <c:pt idx="2">
                  <c:v>FY2026</c:v>
                </c:pt>
              </c:strCache>
            </c:strRef>
          </c:cat>
          <c:val>
            <c:numRef>
              <c:f>Hoja1!$B$2:$B$4</c:f>
              <c:numCache>
                <c:formatCode>#,##0</c:formatCode>
                <c:ptCount val="3"/>
                <c:pt idx="0">
                  <c:v>210019</c:v>
                </c:pt>
                <c:pt idx="1">
                  <c:v>204644</c:v>
                </c:pt>
                <c:pt idx="2">
                  <c:v>234833</c:v>
                </c:pt>
              </c:numCache>
            </c:numRef>
          </c:val>
        </c:ser>
        <c:ser>
          <c:idx val="1"/>
          <c:order val="1"/>
          <c:tx>
            <c:strRef>
              <c:f>Hoja1!$C$1</c:f>
              <c:strCache>
                <c:ptCount val="1"/>
                <c:pt idx="0">
                  <c:v>Global Medical Products and Distribution (GMPD)</c:v>
                </c:pt>
              </c:strCache>
            </c:strRef>
          </c:tx>
          <c:spPr>
            <a:solidFill>
              <a:srgbClr val="EB6834"/>
            </a:solidFill>
            <a:ln w="12700">
              <a:solidFill>
                <a:srgbClr val="FFFFFF"/>
              </a:solidFill>
            </a:ln>
          </c:spPr>
          <c:invertIfNegative val="0"/>
          <c:cat>
            <c:strRef>
              <c:f>Hoja1!$A$2:$A$4</c:f>
              <c:strCache>
                <c:ptCount val="3"/>
                <c:pt idx="0">
                  <c:v>FY2024</c:v>
                </c:pt>
                <c:pt idx="1">
                  <c:v>FY2025</c:v>
                </c:pt>
                <c:pt idx="2">
                  <c:v>FY2026</c:v>
                </c:pt>
              </c:strCache>
            </c:strRef>
          </c:cat>
          <c:val>
            <c:numRef>
              <c:f>Hoja1!$C$2:$C$4</c:f>
              <c:numCache>
                <c:formatCode>#,##0</c:formatCode>
                <c:ptCount val="3"/>
                <c:pt idx="0">
                  <c:v>12381</c:v>
                </c:pt>
                <c:pt idx="1">
                  <c:v>12636</c:v>
                </c:pt>
                <c:pt idx="2">
                  <c:v>12719</c:v>
                </c:pt>
              </c:numCache>
            </c:numRef>
          </c:val>
        </c:ser>
        <c:ser>
          <c:idx val="2"/>
          <c:order val="2"/>
          <c:tx>
            <c:strRef>
              <c:f>Hoja1!$D$1</c:f>
              <c:strCache>
                <c:ptCount val="1"/>
                <c:pt idx="0">
                  <c:v>Otros (at-Home Solutions, Nuclear and Precision Health, OptiFreight)</c:v>
                </c:pt>
              </c:strCache>
            </c:strRef>
          </c:tx>
          <c:spPr>
            <a:solidFill>
              <a:srgbClr val="1BAF7A"/>
            </a:solidFill>
            <a:ln w="12700">
              <a:solidFill>
                <a:srgbClr val="FFFFFF"/>
              </a:solidFill>
            </a:ln>
          </c:spPr>
          <c:invertIfNegative val="0"/>
          <c:cat>
            <c:strRef>
              <c:f>Hoja1!$A$2:$A$4</c:f>
              <c:strCache>
                <c:ptCount val="3"/>
                <c:pt idx="0">
                  <c:v>FY2024</c:v>
                </c:pt>
                <c:pt idx="1">
                  <c:v>FY2025</c:v>
                </c:pt>
                <c:pt idx="2">
                  <c:v>FY2026</c:v>
                </c:pt>
              </c:strCache>
            </c:strRef>
          </c:cat>
          <c:val>
            <c:numRef>
              <c:f>Hoja1!$D$2:$D$4</c:f>
              <c:numCache>
                <c:formatCode>#,##0</c:formatCode>
                <c:ptCount val="3"/>
                <c:pt idx="0">
                  <c:v>4512</c:v>
                </c:pt>
                <c:pt idx="1">
                  <c:v>5382</c:v>
                </c:pt>
                <c:pt idx="2">
                  <c:v>6792</c:v>
                </c:pt>
              </c:numCache>
            </c:numRef>
          </c:val>
        </c:ser>
        <c:ser>
          <c:idx val="3"/>
          <c:order val="3"/>
          <c:tx>
            <c:strRef>
              <c:f>Hoja1!$E$1</c:f>
              <c:strCache>
                <c:ptCount val="1"/>
                <c:pt idx="0">
                  <c:v>Corporativo y eliminaciones</c:v>
                </c:pt>
              </c:strCache>
            </c:strRef>
          </c:tx>
          <c:spPr>
            <a:solidFill>
              <a:srgbClr val="EDA100"/>
            </a:solidFill>
            <a:ln w="12700">
              <a:solidFill>
                <a:srgbClr val="FFFFFF"/>
              </a:solidFill>
            </a:ln>
          </c:spPr>
          <c:invertIfNegative val="0"/>
          <c:cat>
            <c:strRef>
              <c:f>Hoja1!$A$2:$A$4</c:f>
              <c:strCache>
                <c:ptCount val="3"/>
                <c:pt idx="0">
                  <c:v>FY2024</c:v>
                </c:pt>
                <c:pt idx="1">
                  <c:v>FY2025</c:v>
                </c:pt>
                <c:pt idx="2">
                  <c:v>FY2026</c:v>
                </c:pt>
              </c:strCache>
            </c:strRef>
          </c:cat>
          <c:val>
            <c:numRef>
              <c:f>Hoja1!$E$2:$E$4</c:f>
              <c:numCache>
                <c:formatCode>#,##0</c:formatCode>
                <c:ptCount val="3"/>
                <c:pt idx="0">
                  <c:v>-85</c:v>
                </c:pt>
                <c:pt idx="1">
                  <c:v>-84</c:v>
                </c:pt>
                <c:pt idx="2">
                  <c:v>-96</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(FY2026)</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Hoja1!$A$2:$A$5</c:f>
              <c:strCache>
                <c:ptCount val="4"/>
                <c:pt idx="0">
                  <c:v>Pharmaceutical and Specialty Solutions</c:v>
                </c:pt>
                <c:pt idx="1">
                  <c:v>Global Medical Products and Distribution (GMPD)</c:v>
                </c:pt>
                <c:pt idx="2">
                  <c:v>Otros (at-Home Solutions, Nuclear and Precision Health, OptiFreight)</c:v>
                </c:pt>
                <c:pt idx="3">
                  <c:v>Corporativo y eliminaciones</c:v>
                </c:pt>
              </c:strCache>
            </c:strRef>
          </c:cat>
          <c:val>
            <c:numRef>
              <c:f>Hoja1!$B$2:$B$5</c:f>
              <c:numCache>
                <c:formatCode>General</c:formatCode>
                <c:ptCount val="4"/>
                <c:pt idx="0">
                  <c:v>92.4</c:v>
                </c:pt>
                <c:pt idx="1">
                  <c:v>5</c:v>
                </c:pt>
                <c:pt idx="2">
                  <c:v>2.7</c:v>
                </c:pt>
                <c:pt idx="3">
                  <c:v>0</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Hoja1!$A$2:$A$3</c:f>
              <c:strCache>
                <c:ptCount val="2"/>
                <c:pt idx="0">
                  <c:v>Estados Unidos</c:v>
                </c:pt>
                <c:pt idx="1">
                  <c:v>Internacional</c:v>
                </c:pt>
              </c:strCache>
            </c:strRef>
          </c:cat>
          <c:val>
            <c:numRef>
              <c:f>Hoja1!$B$2:$B$3</c:f>
              <c:numCache>
                <c:formatCode>0"%"</c:formatCode>
                <c:ptCount val="2"/>
                <c:pt idx="0">
                  <c:v>99.3</c:v>
                </c:pt>
                <c:pt idx="1">
                  <c:v>0.7</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USD (ventas de los segmentos de EE. UU. de los tres grandes; estimación propia de la ficha sectorial))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2024</c:v>
                </c:pt>
                <c:pt idx="1">
                  <c:v>2025</c:v>
                </c:pt>
                <c:pt idx="2">
                  <c:v>2026e</c:v>
                </c:pt>
                <c:pt idx="3">
                  <c:v>2027e</c:v>
                </c:pt>
                <c:pt idx="4">
                  <c:v>2028e</c:v>
                </c:pt>
              </c:strCache>
            </c:strRef>
          </c:cat>
          <c:val>
            <c:numRef>
              <c:f>Hoja1!$B$2:$B$6</c:f>
              <c:numCache>
                <c:formatCode>#,##0</c:formatCode>
                <c:ptCount val="5"/>
                <c:pt idx="0">
                  <c:v>769000</c:v>
                </c:pt>
                <c:pt idx="1">
                  <c:v>856000</c:v>
                </c:pt>
                <c:pt idx="2">
                  <c:v>905000</c:v>
                </c:pt>
                <c:pt idx="3">
                  <c:v>950000</c:v>
                </c:pt>
                <c:pt idx="4">
                  <c:v>1000000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5</c:v>
                </c:pt>
                <c:pt idx="2">
                  <c:v>2</c:v>
                </c:pt>
                <c:pt idx="3">
                  <c:v>2</c:v>
                </c:pt>
                <c:pt idx="4">
                  <c:v>2</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Cardinal Health</c:v>
                </c:pt>
                <c:pt idx="1">
                  <c:v>McKesson</c:v>
                </c:pt>
                <c:pt idx="2">
                  <c:v>Cencora</c:v>
                </c:pt>
                <c:pt idx="3">
                  <c:v>Henry Schein</c:v>
                </c:pt>
                <c:pt idx="4">
                  <c:v>Medline (privada)</c:v>
                </c:pt>
                <c:pt idx="5">
                  <c:v>Owens &amp; Minor</c:v>
                </c:pt>
              </c:strCache>
            </c:strRef>
          </c:cat>
          <c:val>
            <c:numRef>
              <c:f>Hoja1!$B$2:$B$7</c:f>
              <c:numCache>
                <c:formatCode>0.0"%"</c:formatCode>
                <c:ptCount val="6"/>
                <c:pt idx="0">
                  <c:v>1.3</c:v>
                </c:pt>
                <c:pt idx="1">
                  <c:v>1.5</c:v>
                </c:pt>
                <c:pt idx="2">
                  <c:v>0.83</c:v>
                </c:pt>
                <c:pt idx="3">
                  <c:v>5.18</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1</c:v>
                </c:pt>
                <c:pt idx="1">
                  <c:v>3</c:v>
                </c:pt>
                <c:pt idx="2">
                  <c:v>2</c:v>
                </c:pt>
                <c:pt idx="3">
                  <c:v>3</c:v>
                </c:pt>
                <c:pt idx="4">
                  <c:v>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(USD,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Hoja1!$A$2:$A$15</c:f>
              <c:strCache>
                <c:ptCount val="14"/>
                <c:pt idx="0">
                  <c:v>FY2021</c:v>
                </c:pt>
                <c:pt idx="1">
                  <c:v>FY2022</c:v>
                </c:pt>
                <c:pt idx="2">
                  <c:v>FY2023</c:v>
                </c:pt>
                <c:pt idx="3">
                  <c:v>FY2024</c:v>
                </c:pt>
                <c:pt idx="4">
                  <c:v>FY2025</c:v>
                </c:pt>
                <c:pt idx="5">
                  <c:v>FY2026</c:v>
                </c:pt>
                <c:pt idx="6">
                  <c:v>FY2027e</c:v>
                </c:pt>
                <c:pt idx="7">
                  <c:v>FY2028e</c:v>
                </c:pt>
                <c:pt idx="8">
                  <c:v>FY2029e</c:v>
                </c:pt>
                <c:pt idx="9">
                  <c:v>FY2030e</c:v>
                </c:pt>
                <c:pt idx="10">
                  <c:v>FY2031e</c:v>
                </c:pt>
                <c:pt idx="11">
                  <c:v>FY2032e</c:v>
                </c:pt>
                <c:pt idx="12">
                  <c:v>FY2033e</c:v>
                </c:pt>
                <c:pt idx="13">
                  <c:v>FY2034e</c:v>
                </c:pt>
              </c:strCache>
            </c:strRef>
          </c:cat>
          <c:val>
            <c:numRef>
              <c:f>Hoja1!$B$2:$B$15</c:f>
              <c:numCache>
                <c:formatCode>#,##0</c:formatCode>
                <c:ptCount val="14"/>
                <c:pt idx="0">
                  <c:v>162467</c:v>
                </c:pt>
                <c:pt idx="1">
                  <c:v>181326</c:v>
                </c:pt>
                <c:pt idx="2">
                  <c:v>204979</c:v>
                </c:pt>
                <c:pt idx="3">
                  <c:v>226827</c:v>
                </c:pt>
                <c:pt idx="4">
                  <c:v>222578</c:v>
                </c:pt>
                <c:pt idx="5">
                  <c:v>254248</c:v>
                </c:pt>
                <c:pt idx="6">
                  <c:v>265689</c:v>
                </c:pt>
                <c:pt idx="7">
                  <c:v>281631</c:v>
                </c:pt>
                <c:pt idx="8">
                  <c:v>297120</c:v>
                </c:pt>
                <c:pt idx="9">
                  <c:v>311976</c:v>
                </c:pt>
                <c:pt idx="10">
                  <c:v>326015</c:v>
                </c:pt>
                <c:pt idx="11">
                  <c:v>339056</c:v>
                </c:pt>
                <c:pt idx="12">
                  <c:v>350923</c:v>
                </c:pt>
                <c:pt idx="13">
                  <c:v>361450</c:v>
                </c:pt>
              </c:numCache>
            </c:numRef>
          </c:val>
        </c:ser>
        <c:ser>
          <c:idx val="1"/>
          <c:order val="1"/>
          <c:tx>
            <c:strRef>
              <c:f>Hoja1!$C$1</c:f>
              <c:strCache>
                <c:ptCount val="1"/>
                <c:pt idx="0">
                  <c:v>EBITDA</c:v>
                </c:pt>
              </c:strCache>
            </c:strRef>
          </c:tx>
          <c:spPr>
            <a:solidFill>
              <a:srgbClr val="EB6834"/>
            </a:solidFill>
            <a:ln w="9525">
              <a:noFill/>
            </a:ln>
          </c:spPr>
          <c:invertIfNegative val="0"/>
          <c:cat>
            <c:strRef>
              <c:f>Hoja1!$A$2:$A$15</c:f>
              <c:strCache>
                <c:ptCount val="14"/>
                <c:pt idx="0">
                  <c:v>FY2021</c:v>
                </c:pt>
                <c:pt idx="1">
                  <c:v>FY2022</c:v>
                </c:pt>
                <c:pt idx="2">
                  <c:v>FY2023</c:v>
                </c:pt>
                <c:pt idx="3">
                  <c:v>FY2024</c:v>
                </c:pt>
                <c:pt idx="4">
                  <c:v>FY2025</c:v>
                </c:pt>
                <c:pt idx="5">
                  <c:v>FY2026</c:v>
                </c:pt>
                <c:pt idx="6">
                  <c:v>FY2027e</c:v>
                </c:pt>
                <c:pt idx="7">
                  <c:v>FY2028e</c:v>
                </c:pt>
                <c:pt idx="8">
                  <c:v>FY2029e</c:v>
                </c:pt>
                <c:pt idx="9">
                  <c:v>FY2030e</c:v>
                </c:pt>
                <c:pt idx="10">
                  <c:v>FY2031e</c:v>
                </c:pt>
                <c:pt idx="11">
                  <c:v>FY2032e</c:v>
                </c:pt>
                <c:pt idx="12">
                  <c:v>FY2033e</c:v>
                </c:pt>
                <c:pt idx="13">
                  <c:v>FY2034e</c:v>
                </c:pt>
              </c:strCache>
            </c:strRef>
          </c:cat>
          <c:val>
            <c:numRef>
              <c:f>Hoja1!$C$2:$C$15</c:f>
              <c:numCache>
                <c:formatCode>#,##0</c:formatCode>
                <c:ptCount val="14"/>
                <c:pt idx="0">
                  <c:v>2610</c:v>
                </c:pt>
                <c:pt idx="1">
                  <c:v>2371</c:v>
                </c:pt>
                <c:pt idx="2">
                  <c:v>2468</c:v>
                </c:pt>
                <c:pt idx="3">
                  <c:v>2860</c:v>
                </c:pt>
                <c:pt idx="4">
                  <c:v>3273</c:v>
                </c:pt>
                <c:pt idx="5">
                  <c:v>4219</c:v>
                </c:pt>
                <c:pt idx="6">
                  <c:v>4251</c:v>
                </c:pt>
                <c:pt idx="7">
                  <c:v>4619</c:v>
                </c:pt>
                <c:pt idx="8">
                  <c:v>4962</c:v>
                </c:pt>
                <c:pt idx="9">
                  <c:v>5272</c:v>
                </c:pt>
                <c:pt idx="10">
                  <c:v>5575</c:v>
                </c:pt>
                <c:pt idx="11">
                  <c:v>5832</c:v>
                </c:pt>
                <c:pt idx="12">
                  <c:v>6071</c:v>
                </c:pt>
                <c:pt idx="13">
                  <c:v>6253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FY2021</c:v>
                </c:pt>
                <c:pt idx="1">
                  <c:v>FY2022</c:v>
                </c:pt>
                <c:pt idx="2">
                  <c:v>FY2023</c:v>
                </c:pt>
                <c:pt idx="3">
                  <c:v>FY2024</c:v>
                </c:pt>
                <c:pt idx="4">
                  <c:v>FY2025</c:v>
                </c:pt>
                <c:pt idx="5">
                  <c:v>FY2026</c:v>
                </c:pt>
              </c:strCache>
            </c:strRef>
          </c:cat>
          <c:val>
            <c:numRef>
              <c:f>Hoja1!$B$2:$B$7</c:f>
              <c:numCache>
                <c:formatCode>0"%"</c:formatCode>
                <c:ptCount val="6"/>
                <c:pt idx="0">
                  <c:v>4.2</c:v>
                </c:pt>
                <c:pt idx="1">
                  <c:v>3.6</c:v>
                </c:pt>
                <c:pt idx="2">
                  <c:v>3.4</c:v>
                </c:pt>
                <c:pt idx="3">
                  <c:v>3.3</c:v>
                </c:pt>
                <c:pt idx="4">
                  <c:v>3.7</c:v>
                </c:pt>
                <c:pt idx="5">
                  <c:v>3.8</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FY2021</c:v>
                </c:pt>
                <c:pt idx="1">
                  <c:v>FY2022</c:v>
                </c:pt>
                <c:pt idx="2">
                  <c:v>FY2023</c:v>
                </c:pt>
                <c:pt idx="3">
                  <c:v>FY2024</c:v>
                </c:pt>
                <c:pt idx="4">
                  <c:v>FY2025</c:v>
                </c:pt>
                <c:pt idx="5">
                  <c:v>FY2026</c:v>
                </c:pt>
              </c:strCache>
            </c:strRef>
          </c:cat>
          <c:val>
            <c:numRef>
              <c:f>Hoja1!$C$2:$C$7</c:f>
              <c:numCache>
                <c:formatCode>0"%"</c:formatCode>
                <c:ptCount val="6"/>
                <c:pt idx="0">
                  <c:v>1.6</c:v>
                </c:pt>
                <c:pt idx="1">
                  <c:v>1.3</c:v>
                </c:pt>
                <c:pt idx="2">
                  <c:v>1.2</c:v>
                </c:pt>
                <c:pt idx="3">
                  <c:v>1.3</c:v>
                </c:pt>
                <c:pt idx="4">
                  <c:v>1.5</c:v>
                </c:pt>
                <c:pt idx="5">
                  <c:v>1.7</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FY2021</c:v>
                </c:pt>
                <c:pt idx="1">
                  <c:v>FY2022</c:v>
                </c:pt>
                <c:pt idx="2">
                  <c:v>FY2023</c:v>
                </c:pt>
                <c:pt idx="3">
                  <c:v>FY2024</c:v>
                </c:pt>
                <c:pt idx="4">
                  <c:v>FY2025</c:v>
                </c:pt>
                <c:pt idx="5">
                  <c:v>FY2026</c:v>
                </c:pt>
              </c:strCache>
            </c:strRef>
          </c:cat>
          <c:val>
            <c:numRef>
              <c:f>Hoja1!$D$2:$D$7</c:f>
              <c:numCache>
                <c:formatCode>0"%"</c:formatCode>
                <c:ptCount val="6"/>
                <c:pt idx="0">
                  <c:v>1.1</c:v>
                </c:pt>
                <c:pt idx="1">
                  <c:v>0.9</c:v>
                </c:pt>
                <c:pt idx="2">
                  <c:v>0.9</c:v>
                </c:pt>
                <c:pt idx="3">
                  <c:v>0.9</c:v>
                </c:pt>
                <c:pt idx="4">
                  <c:v>1.1</c:v>
                </c:pt>
                <c:pt idx="5">
                  <c:v>1.3</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Hoja1!$A$2:$A$7</c:f>
              <c:strCache>
                <c:ptCount val="6"/>
                <c:pt idx="0">
                  <c:v>FY2021</c:v>
                </c:pt>
                <c:pt idx="1">
                  <c:v>FY2022</c:v>
                </c:pt>
                <c:pt idx="2">
                  <c:v>FY2023</c:v>
                </c:pt>
                <c:pt idx="3">
                  <c:v>FY2024</c:v>
                </c:pt>
                <c:pt idx="4">
                  <c:v>FY2025</c:v>
                </c:pt>
                <c:pt idx="5">
                  <c:v>FY2026</c:v>
                </c:pt>
              </c:strCache>
            </c:strRef>
          </c:cat>
          <c:val>
            <c:numRef>
              <c:f>Hoja1!$E$2:$E$7</c:f>
              <c:numCache>
                <c:formatCode>0"%"</c:formatCode>
                <c:ptCount val="6"/>
                <c:pt idx="0">
                  <c:v>0.4</c:v>
                </c:pt>
                <c:pt idx="1">
                  <c:v>-0.5</c:v>
                </c:pt>
                <c:pt idx="2">
                  <c:v>0.2</c:v>
                </c:pt>
                <c:pt idx="3">
                  <c:v>0.4</c:v>
                </c:pt>
                <c:pt idx="4">
                  <c:v>0.7</c:v>
                </c:pt>
                <c:pt idx="5">
                  <c:v>0.7</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1T25</c:v>
                </c:pt>
                <c:pt idx="1">
                  <c:v>2T25</c:v>
                </c:pt>
                <c:pt idx="2">
                  <c:v>3T25</c:v>
                </c:pt>
                <c:pt idx="3">
                  <c:v>4T25</c:v>
                </c:pt>
                <c:pt idx="4">
                  <c:v>1T26</c:v>
                </c:pt>
                <c:pt idx="5">
                  <c:v>2T26</c:v>
                </c:pt>
                <c:pt idx="6">
                  <c:v>3T26</c:v>
                </c:pt>
                <c:pt idx="7">
                  <c:v>4T26</c:v>
                </c:pt>
              </c:strCache>
            </c:strRef>
          </c:cat>
          <c:val>
            <c:numRef>
              <c:f>Hoja1!$B$2:$B$9</c:f>
              <c:numCache>
                <c:formatCode>0.0"%"</c:formatCode>
                <c:ptCount val="8"/>
                <c:pt idx="4">
                  <c:v>22.4</c:v>
                </c:pt>
                <c:pt idx="5">
                  <c:v>18.8</c:v>
                </c:pt>
                <c:pt idx="6">
                  <c:v>11</c:v>
                </c:pt>
                <c:pt idx="7">
                  <c:v>5.8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FY2021</c:v>
                </c:pt>
                <c:pt idx="1">
                  <c:v>FY2022</c:v>
                </c:pt>
                <c:pt idx="2">
                  <c:v>FY2023</c:v>
                </c:pt>
                <c:pt idx="3">
                  <c:v>FY2024</c:v>
                </c:pt>
                <c:pt idx="4">
                  <c:v>FY2025</c:v>
                </c:pt>
                <c:pt idx="5">
                  <c:v>FY2026</c:v>
                </c:pt>
              </c:strCache>
            </c:strRef>
          </c:cat>
          <c:val>
            <c:numRef>
              <c:f>Hoja1!$B$2:$B$7</c:f>
              <c:numCache>
                <c:formatCode>0</c:formatCode>
                <c:ptCount val="6"/>
                <c:pt idx="0">
                  <c:v>20</c:v>
                </c:pt>
                <c:pt idx="1">
                  <c:v>21</c:v>
                </c:pt>
                <c:pt idx="2">
                  <c:v>20</c:v>
                </c:pt>
                <c:pt idx="3">
                  <c:v>19</c:v>
                </c:pt>
                <c:pt idx="4">
                  <c:v>22</c:v>
                </c:pt>
                <c:pt idx="5">
                  <c:v>20</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FY2021</c:v>
                </c:pt>
                <c:pt idx="1">
                  <c:v>FY2022</c:v>
                </c:pt>
                <c:pt idx="2">
                  <c:v>FY2023</c:v>
                </c:pt>
                <c:pt idx="3">
                  <c:v>FY2024</c:v>
                </c:pt>
                <c:pt idx="4">
                  <c:v>FY2025</c:v>
                </c:pt>
                <c:pt idx="5">
                  <c:v>FY2026</c:v>
                </c:pt>
              </c:strCache>
            </c:strRef>
          </c:cat>
          <c:val>
            <c:numRef>
              <c:f>Hoja1!$C$2:$C$7</c:f>
              <c:numCache>
                <c:formatCode>0</c:formatCode>
                <c:ptCount val="6"/>
                <c:pt idx="0">
                  <c:v>34</c:v>
                </c:pt>
                <c:pt idx="1">
                  <c:v>33</c:v>
                </c:pt>
                <c:pt idx="2">
                  <c:v>30</c:v>
                </c:pt>
                <c:pt idx="3">
                  <c:v>25</c:v>
                </c:pt>
                <c:pt idx="4">
                  <c:v>29</c:v>
                </c:pt>
                <c:pt idx="5">
                  <c:v>26</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FY2021</c:v>
                </c:pt>
                <c:pt idx="1">
                  <c:v>FY2022</c:v>
                </c:pt>
                <c:pt idx="2">
                  <c:v>FY2023</c:v>
                </c:pt>
                <c:pt idx="3">
                  <c:v>FY2024</c:v>
                </c:pt>
                <c:pt idx="4">
                  <c:v>FY2025</c:v>
                </c:pt>
                <c:pt idx="5">
                  <c:v>FY2026</c:v>
                </c:pt>
              </c:strCache>
            </c:strRef>
          </c:cat>
          <c:val>
            <c:numRef>
              <c:f>Hoja1!$D$2:$D$7</c:f>
              <c:numCache>
                <c:formatCode>0</c:formatCode>
                <c:ptCount val="6"/>
                <c:pt idx="0">
                  <c:v>56</c:v>
                </c:pt>
                <c:pt idx="1">
                  <c:v>57</c:v>
                </c:pt>
                <c:pt idx="2">
                  <c:v>55</c:v>
                </c:pt>
                <c:pt idx="3">
                  <c:v>53</c:v>
                </c:pt>
                <c:pt idx="4">
                  <c:v>59</c:v>
                </c:pt>
                <c:pt idx="5">
                  <c:v>57</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(USD,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Hoja1!$A$2:$A$7</c:f>
              <c:strCache>
                <c:ptCount val="6"/>
                <c:pt idx="0">
                  <c:v>FY2021</c:v>
                </c:pt>
                <c:pt idx="1">
                  <c:v>FY2022</c:v>
                </c:pt>
                <c:pt idx="2">
                  <c:v>FY2023</c:v>
                </c:pt>
                <c:pt idx="3">
                  <c:v>FY2024</c:v>
                </c:pt>
                <c:pt idx="4">
                  <c:v>FY2025</c:v>
                </c:pt>
                <c:pt idx="5">
                  <c:v>FY2026</c:v>
                </c:pt>
              </c:strCache>
            </c:strRef>
          </c:cat>
          <c:val>
            <c:numRef>
              <c:f>Hoja1!$B$2:$B$7</c:f>
              <c:numCache>
                <c:formatCode>#,##0</c:formatCode>
                <c:ptCount val="6"/>
                <c:pt idx="0">
                  <c:v>2014</c:v>
                </c:pt>
                <c:pt idx="1">
                  <c:v>2767</c:v>
                </c:pt>
                <c:pt idx="2">
                  <c:v>2332</c:v>
                </c:pt>
                <c:pt idx="3">
                  <c:v>3215</c:v>
                </c:pt>
                <c:pt idx="4">
                  <c:v>1797</c:v>
                </c:pt>
                <c:pt idx="5">
                  <c:v>4468</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Hoja1!$A$2:$A$7</c:f>
              <c:strCache>
                <c:ptCount val="6"/>
                <c:pt idx="0">
                  <c:v>FY2021</c:v>
                </c:pt>
                <c:pt idx="1">
                  <c:v>FY2022</c:v>
                </c:pt>
                <c:pt idx="2">
                  <c:v>FY2023</c:v>
                </c:pt>
                <c:pt idx="3">
                  <c:v>FY2024</c:v>
                </c:pt>
                <c:pt idx="4">
                  <c:v>FY2025</c:v>
                </c:pt>
                <c:pt idx="5">
                  <c:v>FY2026</c:v>
                </c:pt>
              </c:strCache>
            </c:strRef>
          </c:cat>
          <c:val>
            <c:numRef>
              <c:f>Hoja1!$C$2:$C$7</c:f>
              <c:numCache>
                <c:formatCode>#,##0</c:formatCode>
                <c:ptCount val="6"/>
                <c:pt idx="0">
                  <c:v>611</c:v>
                </c:pt>
                <c:pt idx="1">
                  <c:v>-938</c:v>
                </c:pt>
                <c:pt idx="2">
                  <c:v>330</c:v>
                </c:pt>
                <c:pt idx="3">
                  <c:v>852</c:v>
                </c:pt>
                <c:pt idx="4">
                  <c:v>1561</c:v>
                </c:pt>
                <c:pt idx="5">
                  <c:v>1714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FY2021</c:v>
                </c:pt>
                <c:pt idx="1">
                  <c:v>FY2022</c:v>
                </c:pt>
                <c:pt idx="2">
                  <c:v>FY2023</c:v>
                </c:pt>
                <c:pt idx="3">
                  <c:v>FY2024</c:v>
                </c:pt>
                <c:pt idx="4">
                  <c:v>FY2025</c:v>
                </c:pt>
                <c:pt idx="5">
                  <c:v>FY2026</c:v>
                </c:pt>
              </c:strCache>
            </c:strRef>
          </c:cat>
          <c:val>
            <c:numRef>
              <c:f>Hoja1!$B$2:$B$7</c:f>
              <c:numCache>
                <c:formatCode>0"%"</c:formatCode>
                <c:ptCount val="6"/>
                <c:pt idx="0">
                  <c:v>39.5</c:v>
                </c:pt>
                <c:pt idx="1">
                  <c:v>55.8</c:v>
                </c:pt>
                <c:pt idx="5">
                  <c:v>153.9</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FY2021</c:v>
                </c:pt>
                <c:pt idx="1">
                  <c:v>FY2022</c:v>
                </c:pt>
                <c:pt idx="2">
                  <c:v>FY2023</c:v>
                </c:pt>
                <c:pt idx="3">
                  <c:v>FY2024</c:v>
                </c:pt>
                <c:pt idx="4">
                  <c:v>FY2025</c:v>
                </c:pt>
                <c:pt idx="5">
                  <c:v>FY2026</c:v>
                </c:pt>
              </c:strCache>
            </c:strRef>
          </c:cat>
          <c:val>
            <c:numRef>
              <c:f>Hoja1!$C$2:$C$7</c:f>
              <c:numCache>
                <c:formatCode>0"%"</c:formatCode>
                <c:ptCount val="6"/>
                <c:pt idx="0">
                  <c:v>8.1</c:v>
                </c:pt>
                <c:pt idx="1">
                  <c:v>8.1</c:v>
                </c:pt>
                <c:pt idx="2">
                  <c:v>8.1</c:v>
                </c:pt>
                <c:pt idx="3">
                  <c:v>8.1</c:v>
                </c:pt>
                <c:pt idx="4">
                  <c:v>8.1</c:v>
                </c:pt>
                <c:pt idx="5">
                  <c:v>8.1</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FY2021</c:v>
                </c:pt>
                <c:pt idx="1">
                  <c:v>FY2022</c:v>
                </c:pt>
                <c:pt idx="2">
                  <c:v>FY2023</c:v>
                </c:pt>
                <c:pt idx="3">
                  <c:v>FY2024</c:v>
                </c:pt>
                <c:pt idx="4">
                  <c:v>FY2025</c:v>
                </c:pt>
                <c:pt idx="5">
                  <c:v>FY2026</c:v>
                </c:pt>
              </c:strCache>
            </c:strRef>
          </c:cat>
          <c:val>
            <c:numRef>
              <c:f>Hoja1!$D$2:$D$7</c:f>
              <c:numCache>
                <c:formatCode>0"%"</c:formatCode>
                <c:ptCount val="6"/>
                <c:pt idx="0">
                  <c:v>34.1</c:v>
                </c:pt>
                <c:pt idx="1">
                  <c:v>-173.4</c:v>
                </c:pt>
                <c:pt idx="2">
                  <c:v>-18</c:v>
                </c:pt>
                <c:pt idx="3">
                  <c:v>-27.6</c:v>
                </c:pt>
                <c:pt idx="4">
                  <c:v>-52.1</c:v>
                </c:pt>
                <c:pt idx="5">
                  <c:v>-60.5</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FY2021</c:v>
                </c:pt>
                <c:pt idx="1">
                  <c:v>FY2022</c:v>
                </c:pt>
                <c:pt idx="2">
                  <c:v>FY2023</c:v>
                </c:pt>
                <c:pt idx="3">
                  <c:v>FY2024</c:v>
                </c:pt>
                <c:pt idx="4">
                  <c:v>FY2025</c:v>
                </c:pt>
                <c:pt idx="5">
                  <c:v>FY2026</c:v>
                </c:pt>
              </c:strCache>
            </c:strRef>
          </c:cat>
          <c:val>
            <c:numRef>
              <c:f>Hoja1!$B$2:$B$7</c:f>
              <c:numCache>
                <c:formatCode>0.0"x"</c:formatCode>
                <c:ptCount val="6"/>
                <c:pt idx="0">
                  <c:v>1.08</c:v>
                </c:pt>
                <c:pt idx="1">
                  <c:v>0.25</c:v>
                </c:pt>
                <c:pt idx="2">
                  <c:v>0.25</c:v>
                </c:pt>
                <c:pt idx="3">
                  <c:v>-0.01</c:v>
                </c:pt>
                <c:pt idx="4">
                  <c:v>1.42</c:v>
                </c:pt>
                <c:pt idx="5">
                  <c:v>0.96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(USD,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FY2027</c:v>
                </c:pt>
                <c:pt idx="1">
                  <c:v>FY2028-FY2029</c:v>
                </c:pt>
                <c:pt idx="2">
                  <c:v>FY2030-FY2031</c:v>
                </c:pt>
                <c:pt idx="3">
                  <c:v>FY2032+</c:v>
                </c:pt>
              </c:strCache>
            </c:strRef>
          </c:cat>
          <c:val>
            <c:numRef>
              <c:f>Hoja1!$B$2:$B$5</c:f>
              <c:numCache>
                <c:formatCode>#,##0</c:formatCode>
                <c:ptCount val="4"/>
                <c:pt idx="0">
                  <c:v>1835</c:v>
                </c:pt>
                <c:pt idx="1">
                  <c:v>1345</c:v>
                </c:pt>
                <c:pt idx="2">
                  <c:v>1339</c:v>
                </c:pt>
                <c:pt idx="3">
                  <c:v>4171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(USD,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Hoja1!$A$2:$A$7</c:f>
              <c:strCache>
                <c:ptCount val="6"/>
                <c:pt idx="0">
                  <c:v>FY2021</c:v>
                </c:pt>
                <c:pt idx="1">
                  <c:v>FY2022</c:v>
                </c:pt>
                <c:pt idx="2">
                  <c:v>FY2023</c:v>
                </c:pt>
                <c:pt idx="3">
                  <c:v>FY2024</c:v>
                </c:pt>
                <c:pt idx="4">
                  <c:v>FY2025</c:v>
                </c:pt>
                <c:pt idx="5">
                  <c:v>FY2026</c:v>
                </c:pt>
              </c:strCache>
            </c:strRef>
          </c:cat>
          <c:val>
            <c:numRef>
              <c:f>Hoja1!$B$2:$B$7</c:f>
              <c:numCache>
                <c:formatCode>#,##0</c:formatCode>
                <c:ptCount val="6"/>
                <c:pt idx="0">
                  <c:v>3</c:v>
                </c:pt>
                <c:pt idx="1">
                  <c:v>22</c:v>
                </c:pt>
                <c:pt idx="2">
                  <c:v>10</c:v>
                </c:pt>
                <c:pt idx="3">
                  <c:v>1190</c:v>
                </c:pt>
                <c:pt idx="4">
                  <c:v>5250</c:v>
                </c:pt>
                <c:pt idx="5">
                  <c:v>1991</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Hoja1!$A$2:$A$7</c:f>
              <c:strCache>
                <c:ptCount val="6"/>
                <c:pt idx="0">
                  <c:v>FY2021</c:v>
                </c:pt>
                <c:pt idx="1">
                  <c:v>FY2022</c:v>
                </c:pt>
                <c:pt idx="2">
                  <c:v>FY2023</c:v>
                </c:pt>
                <c:pt idx="3">
                  <c:v>FY2024</c:v>
                </c:pt>
                <c:pt idx="4">
                  <c:v>FY2025</c:v>
                </c:pt>
                <c:pt idx="5">
                  <c:v>FY2026</c:v>
                </c:pt>
              </c:strCache>
            </c:strRef>
          </c:cat>
          <c:val>
            <c:numRef>
              <c:f>Hoja1!$C$2:$C$7</c:f>
              <c:numCache>
                <c:formatCode>#,##0</c:formatCode>
                <c:ptCount val="6"/>
                <c:pt idx="0">
                  <c:v>573</c:v>
                </c:pt>
                <c:pt idx="1">
                  <c:v>559</c:v>
                </c:pt>
                <c:pt idx="2">
                  <c:v>525</c:v>
                </c:pt>
                <c:pt idx="3">
                  <c:v>499</c:v>
                </c:pt>
                <c:pt idx="4">
                  <c:v>494</c:v>
                </c:pt>
                <c:pt idx="5">
                  <c:v>491</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Hoja1!$A$2:$A$7</c:f>
              <c:strCache>
                <c:ptCount val="6"/>
                <c:pt idx="0">
                  <c:v>FY2021</c:v>
                </c:pt>
                <c:pt idx="1">
                  <c:v>FY2022</c:v>
                </c:pt>
                <c:pt idx="2">
                  <c:v>FY2023</c:v>
                </c:pt>
                <c:pt idx="3">
                  <c:v>FY2024</c:v>
                </c:pt>
                <c:pt idx="4">
                  <c:v>FY2025</c:v>
                </c:pt>
                <c:pt idx="5">
                  <c:v>FY2026</c:v>
                </c:pt>
              </c:strCache>
            </c:strRef>
          </c:cat>
          <c:val>
            <c:numRef>
              <c:f>Hoja1!$D$2:$D$7</c:f>
              <c:numCache>
                <c:formatCode>#,##0</c:formatCode>
                <c:ptCount val="6"/>
                <c:pt idx="0">
                  <c:v>200</c:v>
                </c:pt>
                <c:pt idx="1">
                  <c:v>1000</c:v>
                </c:pt>
                <c:pt idx="2">
                  <c:v>2000</c:v>
                </c:pt>
                <c:pt idx="3">
                  <c:v>750</c:v>
                </c:pt>
                <c:pt idx="4">
                  <c:v>765</c:v>
                </c:pt>
                <c:pt idx="5">
                  <c:v>1358</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Independiente</c:v>
                </c:pt>
                <c:pt idx="1">
                  <c:v>Ejecutivo</c:v>
                </c:pt>
              </c:strCache>
            </c:strRef>
          </c:cat>
          <c:val>
            <c:numRef>
              <c:f>Hoja1!$B$2:$B$3</c:f>
              <c:numCache>
                <c:formatCode>0</c:formatCode>
                <c:ptCount val="2"/>
                <c:pt idx="0">
                  <c:v>10</c:v>
                </c:pt>
                <c:pt idx="1">
                  <c:v>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Vanguard (Capital Management y Portfolio Management)</c:v>
                </c:pt>
                <c:pt idx="1">
                  <c:v>Wellington Management</c:v>
                </c:pt>
                <c:pt idx="2">
                  <c:v>State Street</c:v>
                </c:pt>
                <c:pt idx="3">
                  <c:v>Consejeros y directivos</c:v>
                </c:pt>
              </c:strCache>
            </c:strRef>
          </c:cat>
          <c:val>
            <c:numRef>
              <c:f>Hoja1!$B$2:$B$5</c:f>
              <c:numCache>
                <c:formatCode>0.0"%"</c:formatCode>
                <c:ptCount val="4"/>
                <c:pt idx="0">
                  <c:v>13.6</c:v>
                </c:pt>
                <c:pt idx="1">
                  <c:v>6.4</c:v>
                </c:pt>
                <c:pt idx="2">
                  <c:v>6.3</c:v>
                </c:pt>
                <c:pt idx="3">
                  <c:v>0.3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-17.5</c:v>
                </c:pt>
                <c:pt idx="1">
                  <c:v>-12.6</c:v>
                </c:pt>
                <c:pt idx="2">
                  <c:v>-24.5</c:v>
                </c:pt>
                <c:pt idx="3">
                  <c:v>18</c:v>
                </c:pt>
                <c:pt idx="4">
                  <c:v>10.1</c:v>
                </c:pt>
                <c:pt idx="5">
                  <c:v>-0.4</c:v>
                </c:pt>
                <c:pt idx="6">
                  <c:v>54.1</c:v>
                </c:pt>
                <c:pt idx="7">
                  <c:v>34.1</c:v>
                </c:pt>
                <c:pt idx="8">
                  <c:v>19</c:v>
                </c:pt>
                <c:pt idx="9">
                  <c:v>76.3</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12</c:v>
                </c:pt>
                <c:pt idx="1">
                  <c:v>21.7</c:v>
                </c:pt>
                <c:pt idx="2">
                  <c:v>-4.6</c:v>
                </c:pt>
                <c:pt idx="3">
                  <c:v>31.2</c:v>
                </c:pt>
                <c:pt idx="4">
                  <c:v>18.3</c:v>
                </c:pt>
                <c:pt idx="5">
                  <c:v>28.7</c:v>
                </c:pt>
                <c:pt idx="6">
                  <c:v>-18.2</c:v>
                </c:pt>
                <c:pt idx="7">
                  <c:v>26.2</c:v>
                </c:pt>
                <c:pt idx="8">
                  <c:v>24.9</c:v>
                </c:pt>
                <c:pt idx="9">
                  <c:v>17.7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FY2021</c:v>
                </c:pt>
                <c:pt idx="1">
                  <c:v>FY2022</c:v>
                </c:pt>
                <c:pt idx="2">
                  <c:v>FY2023</c:v>
                </c:pt>
                <c:pt idx="3">
                  <c:v>FY2024</c:v>
                </c:pt>
                <c:pt idx="4">
                  <c:v>FY2025</c:v>
                </c:pt>
                <c:pt idx="5">
                  <c:v>FY2026</c:v>
                </c:pt>
              </c:strCache>
            </c:strRef>
          </c:cat>
          <c:val>
            <c:numRef>
              <c:f>Hoja1!$B$2:$B$7</c:f>
              <c:numCache>
                <c:formatCode>0.0"x"</c:formatCode>
                <c:ptCount val="6"/>
                <c:pt idx="0">
                  <c:v>7.5</c:v>
                </c:pt>
                <c:pt idx="1">
                  <c:v>6.4</c:v>
                </c:pt>
                <c:pt idx="2">
                  <c:v>10.3</c:v>
                </c:pt>
                <c:pt idx="3">
                  <c:v>8.5</c:v>
                </c:pt>
                <c:pt idx="4">
                  <c:v>13.9</c:v>
                </c:pt>
                <c:pt idx="5">
                  <c:v>14.3</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FY2021</c:v>
                </c:pt>
                <c:pt idx="1">
                  <c:v>FY2022</c:v>
                </c:pt>
                <c:pt idx="2">
                  <c:v>FY2023</c:v>
                </c:pt>
                <c:pt idx="3">
                  <c:v>FY2024</c:v>
                </c:pt>
                <c:pt idx="4">
                  <c:v>FY2025</c:v>
                </c:pt>
                <c:pt idx="5">
                  <c:v>FY2026</c:v>
                </c:pt>
              </c:strCache>
            </c:strRef>
          </c:cat>
          <c:val>
            <c:numRef>
              <c:f>Hoja1!$C$2:$C$7</c:f>
              <c:numCache>
                <c:formatCode>0.0"x"</c:formatCode>
                <c:ptCount val="6"/>
                <c:pt idx="0">
                  <c:v>10.3</c:v>
                </c:pt>
                <c:pt idx="1">
                  <c:v>10.3</c:v>
                </c:pt>
                <c:pt idx="2">
                  <c:v>10.3</c:v>
                </c:pt>
                <c:pt idx="3">
                  <c:v>10.3</c:v>
                </c:pt>
                <c:pt idx="4">
                  <c:v>10.3</c:v>
                </c:pt>
                <c:pt idx="5">
                  <c:v>10.3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Cardinal Health</c:v>
                </c:pt>
                <c:pt idx="1">
                  <c:v>Cencora</c:v>
                </c:pt>
                <c:pt idx="2">
                  <c:v>McKesson</c:v>
                </c:pt>
                <c:pt idx="3">
                  <c:v>Henry Schein</c:v>
                </c:pt>
                <c:pt idx="4">
                  <c:v>Medipal Holdings</c:v>
                </c:pt>
                <c:pt idx="5">
                  <c:v>Alfresa Holdings</c:v>
                </c:pt>
                <c:pt idx="6">
                  <c:v>Suzuken</c:v>
                </c:pt>
                <c:pt idx="7">
                  <c:v>Galenica</c:v>
                </c:pt>
                <c:pt idx="8">
                  <c:v>EBOS Group</c:v>
                </c:pt>
              </c:strCache>
            </c:strRef>
          </c:cat>
          <c:val>
            <c:numRef>
              <c:f>Hoja1!$B$2:$B$10</c:f>
              <c:numCache>
                <c:formatCode>0.0"x"</c:formatCode>
                <c:ptCount val="9"/>
                <c:pt idx="2">
                  <c:v>16.4</c:v>
                </c:pt>
                <c:pt idx="3">
                  <c:v>13</c:v>
                </c:pt>
                <c:pt idx="4">
                  <c:v>5.6</c:v>
                </c:pt>
                <c:pt idx="5">
                  <c:v>4.7</c:v>
                </c:pt>
                <c:pt idx="6">
                  <c:v>4.5</c:v>
                </c:pt>
                <c:pt idx="7">
                  <c:v>20.3</c:v>
                </c:pt>
                <c:pt idx="8">
                  <c:v>10</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McKesson</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9</c:v>
                </c:pt>
              </c:numCache>
            </c:numRef>
          </c:xVal>
          <c:yVal>
            <c:numRef>
              <c:f>Hoja1!$C$2</c:f>
              <c:numCache>
                <c:formatCode>0.0"x"</c:formatCode>
                <c:ptCount val="1"/>
                <c:pt idx="0">
                  <c:v>16.4</c:v>
                </c:pt>
              </c:numCache>
            </c:numRef>
          </c:yVal>
          <c:smooth val="0"/>
        </c:ser>
        <c:ser>
          <c:idx val="1"/>
          <c:order val="1"/>
          <c:tx>
            <c:strRef>
              <c:f>Hoja1!$A$3</c:f>
              <c:strCache>
                <c:ptCount val="1"/>
                <c:pt idx="0">
                  <c:v>Henry Schein</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5.2</c:v>
                </c:pt>
              </c:numCache>
            </c:numRef>
          </c:xVal>
          <c:yVal>
            <c:numRef>
              <c:f>Hoja1!$C$3</c:f>
              <c:numCache>
                <c:formatCode>0.0"x"</c:formatCode>
                <c:ptCount val="1"/>
                <c:pt idx="0">
                  <c:v>13</c:v>
                </c:pt>
              </c:numCache>
            </c:numRef>
          </c:yVal>
          <c:smooth val="0"/>
        </c:ser>
        <c:ser>
          <c:idx val="2"/>
          <c:order val="2"/>
          <c:tx>
            <c:strRef>
              <c:f>Hoja1!$A$4</c:f>
              <c:strCache>
                <c:ptCount val="1"/>
                <c:pt idx="0">
                  <c:v>Medipal Holdings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3.7</c:v>
                </c:pt>
              </c:numCache>
            </c:numRef>
          </c:xVal>
          <c:yVal>
            <c:numRef>
              <c:f>Hoja1!$C$4</c:f>
              <c:numCache>
                <c:formatCode>0.0"x"</c:formatCode>
                <c:ptCount val="1"/>
                <c:pt idx="0">
                  <c:v>5.6</c:v>
                </c:pt>
              </c:numCache>
            </c:numRef>
          </c:yVal>
          <c:smooth val="0"/>
        </c:ser>
        <c:ser>
          <c:idx val="3"/>
          <c:order val="3"/>
          <c:tx>
            <c:strRef>
              <c:f>Hoja1!$A$5</c:f>
              <c:strCache>
                <c:ptCount val="1"/>
                <c:pt idx="0">
                  <c:v>Alfresa Holdings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3.5</c:v>
                </c:pt>
              </c:numCache>
            </c:numRef>
          </c:xVal>
          <c:yVal>
            <c:numRef>
              <c:f>Hoja1!$C$5</c:f>
              <c:numCache>
                <c:formatCode>0.0"x"</c:formatCode>
                <c:ptCount val="1"/>
                <c:pt idx="0">
                  <c:v>4.7</c:v>
                </c:pt>
              </c:numCache>
            </c:numRef>
          </c:yVal>
          <c:smooth val="0"/>
        </c:ser>
        <c:ser>
          <c:idx val="4"/>
          <c:order val="4"/>
          <c:tx>
            <c:strRef>
              <c:f>Hoja1!$A$6</c:f>
              <c:strCache>
                <c:ptCount val="1"/>
                <c:pt idx="0">
                  <c:v>Suzuken</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3.6</c:v>
                </c:pt>
              </c:numCache>
            </c:numRef>
          </c:xVal>
          <c:yVal>
            <c:numRef>
              <c:f>Hoja1!$C$6</c:f>
              <c:numCache>
                <c:formatCode>0.0"x"</c:formatCode>
                <c:ptCount val="1"/>
                <c:pt idx="0">
                  <c:v>4.5</c:v>
                </c:pt>
              </c:numCache>
            </c:numRef>
          </c:yVal>
          <c:smooth val="0"/>
        </c:ser>
        <c:ser>
          <c:idx val="5"/>
          <c:order val="5"/>
          <c:tx>
            <c:strRef>
              <c:f>Hoja1!$A$7</c:f>
              <c:strCache>
                <c:ptCount val="1"/>
                <c:pt idx="0">
                  <c:v>Galenica</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5</c:v>
                </c:pt>
              </c:numCache>
            </c:numRef>
          </c:xVal>
          <c:yVal>
            <c:numRef>
              <c:f>Hoja1!$C$7</c:f>
              <c:numCache>
                <c:formatCode>0.0"x"</c:formatCode>
                <c:ptCount val="1"/>
                <c:pt idx="0">
                  <c:v>20.3</c:v>
                </c:pt>
              </c:numCache>
            </c:numRef>
          </c:yVal>
          <c:smooth val="0"/>
        </c:ser>
        <c:ser>
          <c:idx val="6"/>
          <c:order val="6"/>
          <c:tx>
            <c:strRef>
              <c:f>Hoja1!$A$8</c:f>
              <c:strCache>
                <c:ptCount val="1"/>
                <c:pt idx="0">
                  <c:v>EBOS Group</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5.4</c:v>
                </c:pt>
              </c:numCache>
            </c:numRef>
          </c:xVal>
          <c:yVal>
            <c:numRef>
              <c:f>Hoja1!$C$8</c:f>
              <c:numCache>
                <c:formatCode>0.0"x"</c:formatCode>
                <c:ptCount val="1"/>
                <c:pt idx="0">
                  <c:v>10</c:v>
                </c:pt>
              </c:numCache>
            </c:numRef>
          </c:yVal>
          <c:smooth val="0"/>
        </c:ser>
        <c:axId val="10"/>
        <c:axId val="20"/>
      </c:scatterChart>
      <c:valAx>
        <c:axId val="10"/>
        <c:scaling>
          <c:orientation val="minMax"/>
          <c:max val="11"/>
          <c:min val="2"/>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Solaris Health (urología, mayoría)</c:v>
                </c:pt>
                <c:pt idx="1">
                  <c:v>GI Alliance (73 %)</c:v>
                </c:pt>
                <c:pt idx="2">
                  <c:v>Integrated Oncology Network</c:v>
                </c:pt>
                <c:pt idx="3">
                  <c:v>Advanced Diabetes Supply</c:v>
                </c:pt>
                <c:pt idx="4">
                  <c:v>Option Care Health (100 %, con McKesson al 49 %)</c:v>
                </c:pt>
              </c:strCache>
            </c:strRef>
          </c:cat>
          <c:val>
            <c:numRef>
              <c:f>Hoja1!$B$2:$B$6</c:f>
              <c:numCache>
                <c:formatCode>0.0"x"</c:formatCode>
                <c:ptCount val="5"/>
                <c:pt idx="4">
                  <c:v>14.3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(USD,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FY2027e</c:v>
                </c:pt>
                <c:pt idx="1">
                  <c:v>FY2028e</c:v>
                </c:pt>
                <c:pt idx="2">
                  <c:v>FY2029e</c:v>
                </c:pt>
                <c:pt idx="3">
                  <c:v>FY2030e</c:v>
                </c:pt>
                <c:pt idx="4">
                  <c:v>FY2031e</c:v>
                </c:pt>
                <c:pt idx="5">
                  <c:v>FY2032e</c:v>
                </c:pt>
                <c:pt idx="6">
                  <c:v>FY2033e</c:v>
                </c:pt>
                <c:pt idx="7">
                  <c:v>FY2034e</c:v>
                </c:pt>
              </c:strCache>
            </c:strRef>
          </c:cat>
          <c:val>
            <c:numRef>
              <c:f>Hoja1!$B$2:$B$9</c:f>
              <c:numCache>
                <c:formatCode>#,##0</c:formatCode>
                <c:ptCount val="8"/>
                <c:pt idx="0">
                  <c:v>3148</c:v>
                </c:pt>
                <c:pt idx="1">
                  <c:v>3589</c:v>
                </c:pt>
                <c:pt idx="2">
                  <c:v>3821</c:v>
                </c:pt>
                <c:pt idx="3">
                  <c:v>4022</c:v>
                </c:pt>
                <c:pt idx="4">
                  <c:v>4214</c:v>
                </c:pt>
                <c:pt idx="5">
                  <c:v>4366</c:v>
                </c:pt>
                <c:pt idx="6">
                  <c:v>4501</c:v>
                </c:pt>
                <c:pt idx="7">
                  <c:v>4589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(USD,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23101</c:v>
                </c:pt>
                <c:pt idx="1">
                  <c:v>46191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(USD) · precio actual 254,06</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168.45</c:v>
                </c:pt>
                <c:pt idx="1">
                  <c:v>259.8</c:v>
                </c:pt>
                <c:pt idx="2">
                  <c:v>294.6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254,06</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(155,84 – 258,30)</c:v>
                </c:pt>
                <c:pt idx="1">
                  <c:v>Precio objetivo de los analistas (235,00 – 295,00)</c:v>
                </c:pt>
                <c:pt idx="2">
                  <c:v>Comparables: PER NTM (187,44 – 235,93)</c:v>
                </c:pt>
                <c:pt idx="3">
                  <c:v>DCF (WACC y g ± 0,5) (221,33 – 314,76)</c:v>
                </c:pt>
                <c:pt idx="4">
                  <c:v>Escenarios (bajista – alcista) (168,45 – 294,60)</c:v>
                </c:pt>
                <c:pt idx="5">
                  <c:v>DCF con la prima implícita del mercado (4,2 %)</c:v>
                </c:pt>
                <c:pt idx="6">
                  <c:v>Precio actual (254,06)</c:v>
                </c:pt>
              </c:strCache>
            </c:strRef>
          </c:cat>
          <c:val>
            <c:numRef>
              <c:f>Hoja1!$B$2:$B$8</c:f>
              <c:numCache>
                <c:formatCode>#,##0</c:formatCode>
                <c:ptCount val="7"/>
                <c:pt idx="0">
                  <c:v>155.84</c:v>
                </c:pt>
                <c:pt idx="1">
                  <c:v>235</c:v>
                </c:pt>
                <c:pt idx="2">
                  <c:v>187.44</c:v>
                </c:pt>
                <c:pt idx="3">
                  <c:v>221.33</c:v>
                </c:pt>
                <c:pt idx="4">
                  <c:v>168.45</c:v>
                </c:pt>
                <c:pt idx="5">
                  <c:v>273.46</c:v>
                </c:pt>
                <c:pt idx="6">
                  <c:v>252.79</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(155,84 – 258,30)</c:v>
                </c:pt>
                <c:pt idx="1">
                  <c:v>Precio objetivo de los analistas (235,00 – 295,00)</c:v>
                </c:pt>
                <c:pt idx="2">
                  <c:v>Comparables: PER NTM (187,44 – 235,93)</c:v>
                </c:pt>
                <c:pt idx="3">
                  <c:v>DCF (WACC y g ± 0,5) (221,33 – 314,76)</c:v>
                </c:pt>
                <c:pt idx="4">
                  <c:v>Escenarios (bajista – alcista) (168,45 – 294,60)</c:v>
                </c:pt>
                <c:pt idx="5">
                  <c:v>DCF con la prima implícita del mercado (4,2 %)</c:v>
                </c:pt>
                <c:pt idx="6">
                  <c:v>Precio actual (254,06)</c:v>
                </c:pt>
              </c:strCache>
            </c:strRef>
          </c:cat>
          <c:val>
            <c:numRef>
              <c:f>Hoja1!$C$2:$C$8</c:f>
              <c:numCache>
                <c:formatCode>#,##0</c:formatCode>
                <c:ptCount val="7"/>
                <c:pt idx="0">
                  <c:v>102.46000000000001</c:v>
                </c:pt>
                <c:pt idx="1">
                  <c:v>60</c:v>
                </c:pt>
                <c:pt idx="2">
                  <c:v>48.49000000000001</c:v>
                </c:pt>
                <c:pt idx="3">
                  <c:v>93.42999999999998</c:v>
                </c:pt>
                <c:pt idx="4">
                  <c:v>126.15000000000003</c:v>
                </c:pt>
                <c:pt idx="5">
                  <c:v>71.51000000000005</c:v>
                </c:pt>
                <c:pt idx="6">
                  <c:v>2.5400000000000205</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3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2026-10-15T11:43:41.470Z</dcterms:created>
  <dcterms:modified xsi:type="dcterms:W3CDTF">2026-10-15T11:43:41.470Z</dcterms:modified>
</cp:coreProperties>
</file>

<file path=docProps/custom.xml><?xml version="1.0" encoding="utf-8"?>
<Properties xmlns="http://schemas.openxmlformats.org/officeDocument/2006/custom-properties" xmlns:vt="http://schemas.openxmlformats.org/officeDocument/2006/docPropsVTypes"/>
</file>