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Edarat Communication and Information Technology Co.</w:t>
      </w:r>
    </w:p>
    <w:p>
      <w:pPr>
        <w:spacing w:after="60"/>
        <w:rPr>
          <w:color w:val="52514E"/>
          <w:sz w:val="22"/>
          <w:szCs w:val="22"/>
        </w:rPr>
      </w:pPr>
      <w:r>
        <w:rPr>
          <w:color w:val="52514E"/>
          <w:sz w:val="22"/>
          <w:szCs w:val="22"/>
        </w:rPr>
        <w:t xml:space="preserve">9557.SR · Saudi Exchange (Tadawul), mercado paralelo Nomu · ISIN n.d.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SAR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275,40 SAR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286,29 SAR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+4,0 % (base +0,0 %)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70,85 SAR · mercado 83,03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2.079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Edarat Communication and Information Technology 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9557.SR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Saudi Exchange (Tadawul), mercado paralelo Nomu</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Nomu Parallel Market Index (MSCI Saudi Arabia, ETF KSA, como aproximación)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Ingeniería de centros de datos y nube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Riad · 2008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https://edaratgroup.com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275,40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140,00 – 333,00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2.079 M SAR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2.060 M SAR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3621 acciones y ≈ 1 M SAR/día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286,29 SAR</w:t>
      </w:r>
      <w:r>
        <w:t xml:space="preserve"> frente a 275,40 · Rentabilidad a 12 meses </w:t>
      </w:r>
      <w:r>
        <w:rPr>
          <w:b/>
          <w:bCs/>
        </w:rPr>
        <w:t xml:space="preserve">+4,0 % (base +0,0 %)</w:t>
      </w:r>
      <w:r>
        <w:t xml:space="preserve"> · Valor intrínseco 70,85 SAR · con la prima implícita del mercado: 83,03 (-69,9 %) · Alcista / bajista -63,2 % / -85,5 %</w:t>
      </w:r>
    </w:p>
    <w:p>
      <w:pPr>
        <w:spacing w:after="100"/>
      </w:pPr>
      <w:r>
        <w:rPr>
          <w:b/>
        </w:rPr>
        <w:t xml:space="preserve">La recomendación y por qué.</w:t>
      </w:r>
      <w:r>
        <w:t xml:space="preserve"> Mantener, con convicción media. A 12 meses, la regla común da +4,0 % ponderada y 0,0 % en el base (objetivo de 286,29 SAR frente a 275,40), lejos de los umbrales de compra, y el valor intrínseco es de 70,85 SAR (-74,3 %): el precio pide 43 veces nuestro BPA de 2027e, que ya incluye el salto de las GPU. No es Vender (la ponderada no llega a −10 %) porque el beneficio crece de verdad y el múltiplo puede sostenerse mientras lleguen contratos de MIS. Calidad: ROIC del 58,6 % frente a un WACC del 13,77 %, pero sostenibilidad «En parte»: no pasa el filtro de calidad. La convicción es media porque las dos medidas apuntan al mismo sitio (sin recorrido en valor y poco a 12 meses), pero la historia de múltiplos es corta y el precio de una acción tan poco líquida puede alejarse mucho del valor durante años; subirían la convicción un cliente grande distinto de MIS y contratos de GPU firmados, y la bajaría un frenazo de MIS. Solo compraríamos por debajo de 70,85 SAR.</w:t>
      </w:r>
    </w:p>
    <w:p>
      <w:pPr>
        <w:spacing w:after="100"/>
      </w:pPr>
      <w:r>
        <w:rPr>
          <w:b/>
        </w:rPr>
        <w:t xml:space="preserve">El negocio.</w:t>
      </w:r>
      <w:r>
        <w:t xml:space="preserve"> Edarat diseña y supervisa centros de datos (60 % de las ventas) y alquila nube local y espacio en centros de datos (40 %) en Arabia Saudí [3]. MIS, su accionista del 30 %, compró el 55 % de las ventas del 1S26 y le debe 56,5 M SAR [2]. ROIC alto (58,6 %) porque la ingeniería apenas necesita capital; sostenibilidad del crecimiento «En parte»: sin foso, con la nube al 7,6 % de margen bruto y con 150 M SAR de GPU sin clientes anunciados.</w:t>
      </w:r>
    </w:p>
    <w:p>
      <w:pPr>
        <w:spacing w:after="100"/>
      </w:pPr>
      <w:r>
        <w:rPr>
          <w:b/>
        </w:rPr>
        <w:t xml:space="preserve">Sector y ciclo.</w:t>
      </w:r>
      <w:r>
        <w:t xml:space="preserve"> Centros de datos de Arabia Saudí en plena expansión: 7.900 M SAR en 2025 y +13 % anual (Mordor), colocation al +34 % (Arizton) [15, 16]. La IA y la soberanía de datos tiran; los hiperescaladores llegan y aprietan precios.</w:t>
      </w:r>
    </w:p>
    <w:p>
      <w:pPr>
        <w:spacing w:after="100"/>
      </w:pPr>
      <w:r>
        <w:rPr>
          <w:b/>
        </w:rPr>
        <w:t xml:space="preserve">Finanzas.</w:t>
      </w:r>
      <w:r>
        <w:t xml:space="preserve"> Ventas de 37 a 192 M SAR en 2021-2025 (+53 % anual) y beneficio de 6,5 a 36,3 M; 1S26 +22 % y +30 % [1, 3, 6]. Caja neta de 30 M a jun-26, que se convertirá en deuda con las GPU [2, 20]. Flujo operativo irregular (28-92 % del beneficio) por el cobro de MIS.</w:t>
      </w:r>
    </w:p>
    <w:p>
      <w:pPr>
        <w:spacing w:after="100"/>
      </w:pPr>
      <w:r>
        <w:rPr>
          <w:b/>
        </w:rPr>
        <w:t xml:space="preserve">Equipo y gobierno.</w:t>
      </w:r>
      <w:r>
        <w:t xml:space="preserve"> Fundadores al mando desde 2008 con ≈ 13 % cada uno (dato de 2022); consejo nuevo con mayoría independiente desde sep-2026 y sin consejero de MIS [17, 30]. Alertas: MIS es cliente, deudor, accionista y avalista; el consejero delegado tiene parte de una proveedora vinculada (Edarat Lebanon) [10].</w:t>
      </w:r>
    </w:p>
    <w:p>
      <w:pPr>
        <w:spacing w:after="100"/>
      </w:pPr>
      <w:r>
        <w:rPr>
          <w:b/>
        </w:rPr>
        <w:t xml:space="preserve">Valoración.</w:t>
      </w:r>
      <w:r>
        <w:t xml:space="preserve"> DCF de 70,94 SAR con WACC del 13,77 %; el DCF inverso no encuentra crecimiento razonable que justifique el precio. Cotiza a 39,7 veces el EBITDA de doce meses frente a una mediana de 17 de los comparables. Sin analistas que la sigan.</w:t>
      </w:r>
    </w:p>
    <w:p>
      <w:pPr>
        <w:spacing w:after="100"/>
      </w:pPr>
      <w:r>
        <w:rPr>
          <w:b/>
        </w:rPr>
        <w:t xml:space="preserve">Riesgos y catalizadores.</w:t>
      </w:r>
      <w:r>
        <w:t xml:space="preserve"> Dominante: MIS (bajista de 39,85 SAR); después, las GPU y la liquidez (≈ 1 M SAR al día). Catalizadores: la entrega de las GPU (4T26-1T27), los resultados de 2026 (≈ 9-feb-2027) y el paso al mercado principal. Regla 13: no cambia (subida de un año con causa en resultados y contratos; sin colocación anunciada).</w:t>
      </w:r>
    </w:p>
    <w:p>
      <w:pPr>
        <w:spacing w:after="100"/>
      </w:pPr>
      <w:r>
        <w:rPr>
          <w:b/>
        </w:rPr>
        <w:t xml:space="preserve">Qué cambiaría la decisión.</w:t>
      </w:r>
      <w:r>
        <w:t xml:space="preserve"> Compraríamos por debajo de 70,85 SAR; venderíamos por encima de 318,10 SAR o si MIS frenara sus proyectos sin otros clientes que lo compensen.</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286,29 SAR</w:t>
      </w:r>
      <w:r>
        <w:t xml:space="preserve"> (rentabilidad +4,0 % (base +0,0 %)) · Valor intrínseco: 70,85 SAR (-74,3 % sobre 275,40) · con la prima implícita del mercado: 83,03 (-69,9 %)</w:t>
      </w:r>
    </w:p>
    <w:p>
      <w:pPr>
        <w:spacing w:after="100"/>
      </w:pPr>
      <w:r>
        <w:t xml:space="preserve">Edarat es una pequeña ingeniería saudí de centros de datos con una nube local, que ha multiplicado sus ventas por cinco en cuatro años (192 M SAR en 2025) gracias, sobre todo, a los proyectos de MIS, su accionista del 30 % [2, 3]. Ahora apuesta 150 M SAR en GPU para alquilar capacidad de IA [19].</w:t>
      </w:r>
    </w:p>
    <w:p>
      <w:pPr>
        <w:spacing w:after="100"/>
      </w:pPr>
      <w:r>
        <w:t xml:space="preserve">El precio (275,40 SAR, 2.079 M de capitalización) paga 51 veces el beneficio de doce meses y 43 veces nuestro BPA de 2027e. El DCF (70,94 SAR) y los comparables dicen que es caro; a 12 meses, la regla común da +4,0 %. Crece de verdad, pero con un cliente vinculado, sin foso y con poca liquidez.</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286,29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 × 5,06 = 138,14 · 33,1x × 8,32 = 275,39 · 43,0x × 10,61 = 456,23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 / 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historia adelantada de 3 años: decide la más baja de v3 y v2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70,85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-63,2 % / -85,5 %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 frente a 13,8 % y 12,4 %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12,4 %)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83,03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(15,1 % anual proyectado; financiable al ROIC actual: 26,2 %)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70,85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70,85 y 318,10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318,10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70,85 SAR: el valor intrínseco superaría al precio.</w:t>
      </w:r>
    </w:p>
    <w:p>
      <w:pPr>
        <w:pStyle w:val="ListParagraph"/>
        <w:numPr>
          <w:ilvl w:val="0"/>
          <w:numId w:val="2"/>
        </w:numPr>
        <w:spacing w:after="60"/>
      </w:pPr>
      <w:r>
        <w:t xml:space="preserve">Precio por encima de 318,10 SAR: pasaría a Vender.</w:t>
      </w:r>
    </w:p>
    <w:p>
      <w:pPr>
        <w:pStyle w:val="ListParagraph"/>
        <w:numPr>
          <w:ilvl w:val="0"/>
          <w:numId w:val="2"/>
        </w:numPr>
        <w:spacing w:after="60"/>
      </w:pPr>
      <w:r>
        <w:t xml:space="preserve">Contratos de GPU firmados a buen precio y clientes de ingeniería distintos de MIS: subiríamos el base y la sostenibilidad.</w:t>
      </w:r>
    </w:p>
    <w:p>
      <w:pPr>
        <w:pStyle w:val="ListParagraph"/>
        <w:numPr>
          <w:ilvl w:val="0"/>
          <w:numId w:val="2"/>
        </w:numPr>
        <w:spacing w:after="60"/>
      </w:pPr>
      <w:r>
        <w:t xml:space="preserve">MIS por debajo del 30 % de las ventas sin sustituto, o retrasos en sus pagos: bajaríamos el base.</w:t>
      </w:r>
    </w:p>
    <w:p>
      <w:pPr>
        <w:pStyle w:val="ListParagraph"/>
        <w:numPr>
          <w:ilvl w:val="0"/>
          <w:numId w:val="2"/>
        </w:numPr>
        <w:spacing w:after="60"/>
      </w:pPr>
      <w:r>
        <w:t xml:space="preserve">Colocación de MIS o de los fundadores al pasar al mercado principal: revisaríamos la regla 13.</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Edarat será una plataforma de IA y centros de datos que crece al 30-40 % durante años: a 43 veces el BPA de 2027e y 40 veces el EBITDA, el precio no tiene solución en el DCF con un crecimiento razonable.</w:t>
      </w:r>
    </w:p>
    <w:p>
      <w:pPr>
        <w:keepNext/>
        <w:spacing w:after="100"/>
      </w:pPr>
      <w:r>
        <w:rPr>
          <w:b/>
          <w:bCs/>
        </w:rPr>
        <w:t xml:space="preserve">Lo que creemos nosotros.</w:t>
      </w:r>
    </w:p>
    <w:p>
      <w:pPr>
        <w:spacing w:after="100"/>
      </w:pPr>
      <w:r>
        <w:t xml:space="preserve">Un buen negocio de ingeniería con poco capital, muy dependiente de MIS, que ahora se convierte en uno de capital intensivo (GPU) sin clientes anunciados; crece, pero la calidad del crecimiento no está probada.</w:t>
      </w:r>
    </w:p>
    <w:p>
      <w:pPr>
        <w:keepNext/>
        <w:spacing w:after="100"/>
      </w:pPr>
      <w:r>
        <w:rPr>
          <w:b/>
          <w:bCs/>
        </w:rPr>
        <w:t xml:space="preserve">Por qué podemos tener razón.</w:t>
      </w:r>
    </w:p>
    <w:p>
      <w:pPr>
        <w:spacing w:after="100"/>
      </w:pPr>
      <w:r>
        <w:t xml:space="preserve">El 55 % de las ventas del 1S26 a MIS, el margen bruto de la nube en el 7,6 % y la amortización de 30 M al año de las GPU, seis veces la de 2025 [2, 20].</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AR) · precio actual 275,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real</w:t>
      </w:r>
      <w:r>
        <w:t xml:space="preserve">: ventas +53 % anual en 2021-2025 y +22 % en el 1S26 [3, 6].</w:t>
      </w:r>
    </w:p>
    <w:p>
      <w:pPr>
        <w:pStyle w:val="ListParagraph"/>
        <w:numPr>
          <w:ilvl w:val="0"/>
          <w:numId w:val="2"/>
        </w:numPr>
        <w:spacing w:after="60"/>
      </w:pPr>
      <w:r>
        <w:rPr>
          <w:b/>
        </w:rPr>
        <w:t xml:space="preserve">ROIC alto</w:t>
      </w:r>
      <w:r>
        <w:t xml:space="preserve"> (≈ 59 % en 2025) con poco capital en ingeniería [3].</w:t>
      </w:r>
    </w:p>
    <w:p>
      <w:pPr>
        <w:pStyle w:val="ListParagraph"/>
        <w:numPr>
          <w:ilvl w:val="0"/>
          <w:numId w:val="2"/>
        </w:numPr>
        <w:spacing w:after="60"/>
      </w:pPr>
      <w:r>
        <w:rPr>
          <w:b/>
        </w:rPr>
        <w:t xml:space="preserve">Contrato de 200 MW</w:t>
      </w:r>
      <w:r>
        <w:t xml:space="preserve"> de MIS (197,8 M SAR con IVA) que da trabajo para 2027-2028 [18].</w:t>
      </w:r>
    </w:p>
    <w:p>
      <w:pPr>
        <w:pStyle w:val="ListParagraph"/>
        <w:numPr>
          <w:ilvl w:val="0"/>
          <w:numId w:val="2"/>
        </w:numPr>
        <w:spacing w:after="60"/>
      </w:pPr>
      <w:r>
        <w:rPr>
          <w:b/>
        </w:rPr>
        <w:t xml:space="preserve">Mercado en expansión</w:t>
      </w:r>
      <w:r>
        <w:t xml:space="preserve">: centros de datos +13 % anual y colocation +34 % [15, 16].</w:t>
      </w:r>
    </w:p>
    <w:p>
      <w:pPr>
        <w:pStyle w:val="ListParagraph"/>
        <w:numPr>
          <w:ilvl w:val="0"/>
          <w:numId w:val="2"/>
        </w:numPr>
        <w:spacing w:after="60"/>
      </w:pPr>
      <w:r>
        <w:rPr>
          <w:b/>
        </w:rPr>
        <w:t xml:space="preserve">Consejo con mayoría independiente</w:t>
      </w:r>
      <w:r>
        <w:t xml:space="preserve"> desde sep-2026 [30].</w:t>
      </w:r>
    </w:p>
    <w:p>
      <w:pPr>
        <w:pStyle w:val="Heading2"/>
      </w:pPr>
      <w:r>
        <w:t xml:space="preserve">En contra</w:t>
      </w:r>
    </w:p>
    <w:p>
      <w:pPr>
        <w:pStyle w:val="ListParagraph"/>
        <w:numPr>
          <w:ilvl w:val="0"/>
          <w:numId w:val="2"/>
        </w:numPr>
        <w:spacing w:after="60"/>
      </w:pPr>
      <w:r>
        <w:rPr>
          <w:b/>
        </w:rPr>
        <w:t xml:space="preserve">MIS</w:t>
      </w:r>
      <w:r>
        <w:t xml:space="preserve">: 55 % de las ventas del 1S26, 56,5 M por cobrar, accionista del 30 % [2].</w:t>
      </w:r>
    </w:p>
    <w:p>
      <w:pPr>
        <w:pStyle w:val="ListParagraph"/>
        <w:numPr>
          <w:ilvl w:val="0"/>
          <w:numId w:val="2"/>
        </w:numPr>
        <w:spacing w:after="60"/>
      </w:pPr>
      <w:r>
        <w:rPr>
          <w:b/>
        </w:rPr>
        <w:t xml:space="preserve">Valoración</w:t>
      </w:r>
      <w:r>
        <w:t xml:space="preserve">: 51 veces el beneficio y DCF de ≈ 71 SAR [36].</w:t>
      </w:r>
    </w:p>
    <w:p>
      <w:pPr>
        <w:pStyle w:val="ListParagraph"/>
        <w:numPr>
          <w:ilvl w:val="0"/>
          <w:numId w:val="2"/>
        </w:numPr>
        <w:spacing w:after="60"/>
      </w:pPr>
      <w:r>
        <w:rPr>
          <w:b/>
        </w:rPr>
        <w:t xml:space="preserve">GPU</w:t>
      </w:r>
      <w:r>
        <w:t xml:space="preserve">: 150 M SAR, más que el patrimonio, sin clientes anunciados [20].</w:t>
      </w:r>
    </w:p>
    <w:p>
      <w:pPr>
        <w:pStyle w:val="ListParagraph"/>
        <w:numPr>
          <w:ilvl w:val="0"/>
          <w:numId w:val="2"/>
        </w:numPr>
        <w:spacing w:after="60"/>
      </w:pPr>
      <w:r>
        <w:rPr>
          <w:b/>
        </w:rPr>
        <w:t xml:space="preserve">Liquidez</w:t>
      </w:r>
      <w:r>
        <w:t xml:space="preserve">: ≈ 1 M SAR al día en Nomu, solo para inversores cualificados [34].</w:t>
      </w:r>
    </w:p>
    <w:p>
      <w:pPr>
        <w:pStyle w:val="ListParagraph"/>
        <w:numPr>
          <w:ilvl w:val="0"/>
          <w:numId w:val="2"/>
        </w:numPr>
        <w:spacing w:after="60"/>
      </w:pPr>
      <w:r>
        <w:rPr>
          <w:b/>
        </w:rPr>
        <w:t xml:space="preserve">Nube sin margen</w:t>
      </w:r>
      <w:r>
        <w:t xml:space="preserve">: 7,6 % bruto en el 1S26 [2].</w:t>
      </w:r>
    </w:p>
    <w:p>
      <w:pPr>
        <w:pStyle w:val="Heading2"/>
      </w:pPr>
      <w:r>
        <w:t xml:space="preserve">Qué tiene que pasar para que la tesis funcione</w:t>
      </w:r>
    </w:p>
    <w:p>
      <w:pPr>
        <w:spacing w:after="100"/>
      </w:pPr>
      <w:r>
        <w:t xml:space="preserve">La tesis depende de dos cosas: que MIS siga adjudicando y pagando, y que las GPU se alquilen. Las señales están en el peso de MIS en las ventas y su saldo pendiente, en los primeros contratos de GPU (4T26-1T27) y en el margen bruto de la nube: si MIS baja del 30 % sin otros clientes que lo compensen, o las GPU llegan sin contratos, el bajista gana peso.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MIS / total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60 % o &lt; 30 % sin sustituto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y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Saldo a cobrar de MIS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M SAR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70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riesgo de crédito.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la nube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otro semestre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coste de capacidad.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de GPU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Ninguno anunciado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Ninguno al 1T27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 M SAR de inversión.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Volumen medio diario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3.600 acciones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2.000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Liquidez.</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50,8x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Edarat nació en Riad en 2008, fundada por tres ingenieros libaneses (Adel Rizk, Erick Baduy y Ghassan Al-Khazen), como ingeniería de centros de datos: diseño, supervisión de obra y mantenimiento técnico [2, 17]. En 2015 abrió una sucursal en Dubái y hacia 2020-2021 lanzó EdaratCloud, una nube local de infraestructura como servicio [1, 2]. Antes de salir a bolsa, Al Moammar Information Systems (MIS), un integrador saudí cotizado, tenía el 40 % [17]. Salió a Nomu el 26-dic-2022 por cotización directa del 20 % del capital [2]; en 2024 MIS vendió un 10 % en privado por 61,49 M SAR para dar flotante al paso al mercado principal, que sigue pendiente [28, 29]. En 2025-2026 creció con proyectos de MIS, entró en colocation y aprobó un plan de 150 M SAR en GPU [18,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en Riad (registro mercantil del 23-ago-2008) por tres socios libaneses, Adel Rizk, Erick Baduy y Ghassan Al-Khazen, como ingeniería de centros de datos [2,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una sucursal en Dubai Silicon Oasis (Emiratos)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EdaratCloud, su nube de infraestructura como servicio, ya factura 13 M SAR; antes de salir a bolsa, Al Moammar Information Systems (MIS) tiene el 40 % del capital y cada fundador el 13,33 %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directa al mercado paralelo Nomu el 26-dic-2022 con el 20 % del capital (126.000 acciones)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 vende el 10 % en operación privada por 61,49 M SAR «para cumplir los requisitos de liquidez del paso al mercado principal», que el consejo aprueba el 17-abr-2024 [28,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192 M SAR (+84 %) con proyectos de MIS; entra en colocation y computación en el borde (Mobily, SenseTime, Ma’aden) [21,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 de MIS para un centro de datos de IA de 200 MW (197,8 M SAR) y plan de 150 M SAR en GPU; consejo nuevo con mayoría independiente [18, 19].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Edarat tiene dos negocios. Ingeniería de centros de datos (116,2 M SAR, el 60 % de las ventas de 2025): diseña centros de datos, supervisa su construcción, los prueba y los pone en marcha, y gestiona su mantenimiento técnico [3]. Nube y colocation (76,2 M, el 40 %): EdaratCloud, una nube local de infraestructura como servicio para organismos y empresas que deben guardar sus datos en el país, y desde abril de 2025 alquiler de espacio en centros de datos (colocation) y computación en el borde [3, 7]. En 2025 facturó 192,4 M SAR (+84 %) y ganó 36,3 M [3]. Vende casi todo en Arabia Saudí, con una sucursal en Dubái [2].</w:t>
      </w:r>
    </w:p>
    <w:p>
      <w:pPr>
        <w:pStyle w:val="Heading2"/>
      </w:pPr>
      <w:r>
        <w:t xml:space="preserve">Cómo gana dinero</w:t>
      </w:r>
    </w:p>
    <w:p>
      <w:pPr>
        <w:spacing w:after="100"/>
      </w:pPr>
      <w:r>
        <w:t xml:space="preserve">En ingeniería cobra por proyecto: honorarios de diseño y supervisión por hitos, con márgenes brutos altos (55 % en el 1S26, 42 % en el 1S25) porque el coste es sobre todo de ingenieros propios y subcontratas [2]. En la nube cobra suscripciones mensuales por capacidad, y en colocation alquila espacio, energía y conexión por contratos de 3-5 años (Mobily 18 M SAR al año; SenseTime 16,5 M en tres años; Edge Network, más de 48 M en cinco) [21, 22, 23]. La nube tiene menos margen bruto (30,5 % en el 1S25 y solo 7,6 % en el 1S26, con el coste de la capacidad de colocation y la amortización de la nube ampliada) [2]. Ahora apuesta por alquilar capacidad de GPU para IA: 150 M SAR de inversión, financiada con crédito del proveedor y bancos [19, 20].</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56"/>
        <w:gridCol w:w="1320"/>
        <w:gridCol w:w="1320"/>
        <w:gridCol w:w="1320"/>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Ingeniería y servicios de centros de datos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Margen bruto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Nube (EdaratCloud) y colocation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Margen bruto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Ingeniería y servicios de centros de datos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Nube (EdaratCloud) y colocation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estimación: la empresa no publica el repart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cliente decisivo es MIS, su accionista del 30 %: le compró 41,2 M en 2024 (39 % de las ventas), 77,6 M en 2025 (40 %) y 50,2 M en el 1S26 (55 %), y le debía 56,5 M a 30-jun-2026 [2, 10]. En 2026 le ha adjudicado 72,45 M (marzo), 19,84 M en colocation (julio) y 197,8 M con IVA por el diseño y la supervisión de un centro de datos de IA de 200 MW (septiembre) [18, 27, 42]. El resto son grandes grupos y organismos: Center3 (stc), Mobily, NEOM, Tadawul, Banque Saudi Fransi, Saudi Energy y Ma’aden [21, 26]. Poder de negociación: alto del lado de MIS, que es cliente, proveedor (vende capacidad de colocation) y accionista a la vez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MIS (vinculada, accionista del 30 %) /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(2024: 41,2 M SAR)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en 2025 (77,6 M); 55 % en el 1S26 (50,2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pp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 y supervisión de centros de datos de MIS [2,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Saldo a cobrar de MIS (M SAR)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(dic-2025)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medio año de ventas a MIS sin cobrar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ingeniería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Proyectos de MIS de más margen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nube y colocation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capacidad de colocation y amortización de la nube ampliada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generales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Apalancamiento operativo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centros de datos de Arabia Saudí: 2.110 M USD (≈ 7.900 M SAR) en 2025 y 3.900 M USD en 2030, un 13,1 % anual según Mordor Intelligence [15]. La colocation es el tramo que más crece: 315 M USD en 2024 y 1.800 M en 2030 (+33,7 % anual, ≈ 1.290 MW) según Arizton [16]. Es una medida aproximada para Edarat, que vende ingeniería y nube, no centros de datos propios. Con Mordor, Edarat tiene ≈ 2,4 % del mercado.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7.900 M SAR (2.110 M USD) en centros de datos en 2025 según Mordor Intelligence, con un 13,07 % anual hasta 2030 [15]; la colocation sola, 315 M USD en 2024 y 1.800 M en 2030 según Arizton (+33,7 % anual)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SAR (centros de datos de Arabia Saudí, Mordor Intelligence; 1 USD = 3,75 SA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IA y centros de datos de hiperescala (Visión 2030, Humain, PIF)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 encarga a Edarat el diseño y la supervisión de un centro de IA de 200 MW; Arizton prevé ≈ 1.290 MW de colocation en 2030 [16,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Soberanía de datos (los datos públicos y regulados deben quedarse en el país)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soberana local gana a la extranjera en organismos y bancos: contratos con NEOM, Tadawul, BSF y Saudi Energy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los hiperescaladores (Google, Microsoft, Oracle, AWS) con regiones propias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Compiten con EdaratCloud en precio y servicios; Edarat se apoya en el VMware de Rackspace y en GPU propias [19,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público y del PIF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proyectos de centros de datos dependen de presupuestos públicos y de grupos del PIF; un recorte frena la ingeniería [18].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ingeniería compite con consultoras globales (Jacobs, WSP, Arup) y con los integradores locales; en nube, con stc (Center3), Mobily, Oracle, Google y Microsoft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 accionista del 30 %, compró el 55 % de las ventas del 1S26 y debe 56,5 M; los demás son grandes grupos y organismos [2,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GPU (Nvidia vía distribuidores), licencias de VMware y espacio de colocation de terceros: el margen bruto de la nube cayó al 7,6 % en el 1S26 [2,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historial de proyectos y homologaciones; pero cualquier gran ingeniería puede entrar en un mercado que crece al 13 %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nube pública de los hiperescaladores sustituye a la nube local salvo en datos regulados [15].</w:t>
            </w:r>
          </w:p>
        </w:tc>
      </w:tr>
    </w:tbl>
    <w:p>
      <w:pPr>
        <w:spacing w:after="160" w:before="0"/>
      </w:pPr>
    </w:p>
    <w:p>
      <w:pPr>
        <w:pStyle w:val="Heading2"/>
      </w:pPr>
      <w:r>
        <w:t xml:space="preserve">Ciclo</w:t>
      </w:r>
    </w:p>
    <w:p>
      <w:pPr>
        <w:spacing w:after="100"/>
      </w:pPr>
      <w:r>
        <w:t xml:space="preserve">El ciclo es de inversión fuerte: el Estado y el PIF quieren hacer de Arabia Saudí un centro regional de IA, con centros de datos de cientos de megavatios (el de 200 MW de MIS es uno) y la entrada de Google, Microsoft, Oracle y AWS con regiones propias [15, 18]. La demanda de ingeniería depende de que esos proyectos se ejecuten: si el petróleo baja y el gasto público se recorta, los proyectos se aplazan y la ingeniería lo nota primero. Señales: adjudicaciones de MIS y de los operadores (stc, Mobily), y el precio del alquiler de GPU, que en EE. UU. ya ha bajado con la oferta [18, 21].</w:t>
      </w:r>
    </w:p>
    <w:p>
      <w:pPr>
        <w:pStyle w:val="Heading2"/>
      </w:pPr>
      <w:r>
        <w:t xml:space="preserve">Regulación</w:t>
      </w:r>
    </w:p>
    <w:p>
      <w:pPr>
        <w:spacing w:after="100"/>
      </w:pPr>
      <w:r>
        <w:t xml:space="preserve">La ley de protección de datos personales y las normas de la Autoridad Nacional de Ciberseguridad y de la CST obligan a guardar en el país los datos públicos y regulados: es el origen de la nube soberana local, donde Edarat compite [15, 26]. El riesgo es que los hiperescaladores ya cumplen esas normas con regiones propias en Arabia Saudí. Las operaciones con MIS son vinculadas: las aprueba la junta con informe del auditor [10]. Como valor de Nomu, Edarat solo publica cuentas semestrales; el paso al mercado principal, aprobado en 2024 y con Al Rajhi Capital de asesor desde abril de 2026, le exigiría informar cada trimestre [29].</w:t>
      </w:r>
    </w:p>
    <w:p>
      <w:pPr>
        <w:pStyle w:val="Heading2"/>
      </w:pPr>
      <w:r>
        <w:t xml:space="preserve">Tendencias y disrupción</w:t>
      </w:r>
    </w:p>
    <w:p>
      <w:pPr>
        <w:spacing w:after="100"/>
      </w:pPr>
      <w:r>
        <w:t xml:space="preserve">A favor: el gasto en centros de datos para IA, la soberanía de datos y la colocation (+34 % anual según Arizton) [15, 16]. Edarat se mueve hacia donde va el dinero: ingeniería de un centro de IA de 200 MW y alquiler de GPU [18, 19]. En contra: la nube local compite con los hiperescaladores en precio, las GPU se abaratan y se quedan viejas en 3-5 años, y la ingeniería es un negocio de proyectos que se acaba cuando acaba la obra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Pequeña ingeniería especializada en centros de datos y nube local: ≈ 2,4 % del mercado de centros de datos de Mordor en 2025 (192 M SAR sobre ≈ 7.900 M)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foso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32"/>
        <w:gridCol w:w="847"/>
        <w:gridCol w:w="953"/>
        <w:gridCol w:w="1059"/>
        <w:gridCol w:w="847"/>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 Moammar Information Systems (MIS)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7200.SR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Solutions by stc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7202.SR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Perfect Presentation (2P)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7204.SR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Equinix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EQIX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WSP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WSP.TO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Jacobs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red: proyectos y contratos de capacidad uno a uno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y la colocation contratadas a 3-5 años (SenseTime, Edge Network) cuestan de migrar; la ingeniería se adjudica proyecto a proyecto [9,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18 años en centros de datos saudíes y certificaciones; ninguna licencia exclusiva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la nube del 7,6 % en el 1S26: sin escala frente a stc, Mobily o los hiperescaladores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grande y en crecimiento con muchos actores [1].</w:t>
            </w:r>
          </w:p>
        </w:tc>
      </w:tr>
    </w:tbl>
    <w:p>
      <w:pPr>
        <w:spacing w:after="160" w:before="0"/>
      </w:pPr>
    </w:p>
    <w:p>
      <w:pPr>
        <w:pStyle w:val="Heading2"/>
      </w:pPr>
      <w:r>
        <w:t xml:space="preserve">Amenazas</w:t>
      </w:r>
    </w:p>
    <w:p>
      <w:pPr>
        <w:spacing w:after="100"/>
      </w:pPr>
      <w:r>
        <w:t xml:space="preserve">La primera amenaza es depender de MIS: si MIS reduce sus proyectos, los adjudica a otro o paga más tarde, Edarat pierde más de la mitad de sus ventas y casi todo su margen; lo veo posible (30 % en tres años) porque MIS ya no tiene consejero en Edarat desde septiembre de 2026 [2, 30]. La segunda, la nube: Google, Microsoft, Oracle y AWS abren regiones en el país y stc (Center3) y Mobily tienen centros de datos propios, lo que aprieta el margen de EdaratCloud (7,6 % bruto en el 1S26) [2, 25]. La tercera, las GPU: si el precio del alquiler sigue bajando, los 150 M SAR no se recuperan en los cinco años de vida útil [20].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spacing w:after="100"/>
      </w:pPr>
      <w:r>
        <w:t xml:space="preserve">Crecimiento anual compuesto 2021-2025: ingresos </w:t>
      </w:r>
      <w:r>
        <w:rPr>
          <w:b/>
          <w:bCs/>
        </w:rPr>
        <w:t xml:space="preserve">50,7 %</w:t>
      </w:r>
      <w:r>
        <w:t xml:space="preserve">, EBITDA </w:t>
      </w:r>
      <w:r>
        <w:rPr>
          <w:b/>
          <w:bCs/>
        </w:rPr>
        <w:t xml:space="preserve">53,0 %</w:t>
      </w:r>
      <w:r>
        <w:t xml:space="preserve">, BPA </w:t>
      </w:r>
      <w:r>
        <w:rPr>
          <w:b/>
          <w:bCs/>
        </w:rPr>
        <w:t xml:space="preserve">53,9 %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SA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37,3 M SAR en 2021 a 192,4 M en 2025 (+53 % anual) y el beneficio de 6,5 M a 36,3 M [1, 3]. El salto de 2025 (+84 %) vino de proyectos de ingeniería de MIS (77,6 M, el 40 %) y de la nueva colocation [3, 10]. El margen EBITDA subió del 22 % en 2021 al 28-30 % en 2022-2024 y bajó al 23,7 % en 2025 por la mezcla (colocation de poco margen) [1, 9]. En el 1S26 las ventas crecieron un 22 % (91,6 M) y el beneficio un 30 % (19,8 M), pero con un 55 % de las ventas a MIS y el margen bruto de la nube hundido al 7,6 % [2, 6].</w:t>
      </w:r>
    </w:p>
    <w:p>
      <w:pPr>
        <w:pStyle w:val="Heading2"/>
      </w:pPr>
      <w:r>
        <w:t xml:space="preserve">Ajustes y partidas no recurrentes</w:t>
      </w:r>
    </w:p>
    <w:p>
      <w:pPr>
        <w:spacing w:after="100"/>
      </w:pPr>
      <w:r>
        <w:t xml:space="preserve">Uso cifras publicadas. El BPA está reexpresado a las acciones de hoy (7,545 M) tras cuatro ampliaciones gratuitas: 2023, 2024, 2025 y la del 50 % aprobada el 14-jun-2026 [6]. 2021-2022: el beneficio operativo publicado incluye los gastos financieros, pequeños [1]. El flujo operativo de 2025 (33,4 M) está inflado por 22 M de proveedores que se pagaron en el 1S26 [2]. Los pagos en acciones a empleados son pequeños (0,3 M en el 1S26)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Edarat no hace presentaciones de resultados con guía; el anuncio del 1S26 (29-jul-2026) atribuye el crecimiento a nuevos contratos de ingeniería (+27 %, 56 M SAR) y a más capacidad de colocation (+15 %, 35,6 M) [6]. Lo que no explica: por qué el margen bruto de la nube cayó del 30,5 % al 7,6 % y por qué las ventas a MIS subieron al 55 % del total [2]. Desde entonces ha anunciado el contrato de 200 MW de MIS y el pedido de GPU, que cambian el perfil de 2027 [18, 20]. Los próximos resultados (anuales de 2026) se esperan hacia febrero de 2027 (los de 2025 salieron el 9-feb-2026) [3].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(2026: 40 % de National Excellence Data Centers, comprado a MIS (vinculada) por 400.000 SAR de capital; puesta en equivalencia, sin efecto en ventas [2, 14].).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hoy con caja neta: 36,2 M SAR de caja frente a 5,3 M de préstamo y 0,9 M de arrendamientos a 30-jun-2026 [2]. Va a cambiar: el plan de GPU (150 M, el 130 % del patrimonio de 115 M) se financia con deuda, y el préstamo bancario tiene un límite de pasivo total / patrimonio tangible de 1,25 que el pedido acerca [2, 20]. El punto delicado es el circulante: clientes, MIS y obra pendiente de facturar suman 88 M (42 % de las ventas de doce meses), y solo MIS debe 56,5 M [2].</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28</w:t>
      </w:r>
      <w:r>
        <w:t xml:space="preserve">, conversión </w:t>
      </w:r>
      <w:r>
        <w:rPr>
          <w:b/>
          <w:bCs/>
        </w:rPr>
        <w:t xml:space="preserve">29 %</w:t>
      </w:r>
      <w:r>
        <w:t xml:space="preserve"> del beneficio neto; adquisiciones 0, dividendos 2, recompras 3.</w:t>
      </w:r>
    </w:p>
    <w:p>
      <w:pPr>
        <w:spacing w:after="100"/>
      </w:pPr>
      <w:r>
        <w:t xml:space="preserve">La conversión de beneficio en caja es irregular: flujo operativo del 116 % del beneficio en 2022, 28 % en 2023, 33 % en 2024 y 92 % en 2025, y 61 % en el 1S26 [1, 2, 8]. La causa es el cobro de MIS y la obra pendiente de facturar: el circulante come casi todo el crecimiento. El capex fue del 1,7-9 % de las ventas hasta 2025 (17,4 M en 2025, ampliación de la nube) y saltará al 30 % en 2026-2027 con las GPU [8, 20]. No reparte dividendo desde 2022; recompra pocas acciones para el plan de empleados [1, 8].</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PKF Al-Bassam &amp; Co.</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sin salvedades: PKF Al-Bassam audita las anuales y revisa las semestrales [1, 2, 3]. Lo que más cuidado pide: el reconocimiento por hitos de los proyectos de MIS (activos de contrato de 28,8 M a fin de 2025) y el saldo de 56,5 M con MIS, una vinculada [2]. El margen bruto de la ingeniería subió al 55 % justo cuando MIS pasó a ser el 55 % de las ventas: los precios entre partes vinculadas merecen una lectura escéptica [2, 10].</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y margen concentrados en una vinculada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 accionista del 30 %, fue el 55 % de las ventas del 1S26 y debe 56,5 M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 lento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del 28-33 % del beneficio en 2023-2024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Partes vinculadas de los directivos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Lebanon (16,66 % del consejero delegado y del vicepresidente) presta servicios a Edarat [10].</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64,6 % · </w:t>
      </w:r>
      <w:r>
        <w:rPr>
          <w:b/>
          <w:bCs/>
        </w:rPr>
        <w:t xml:space="preserve">WACC</w:t>
      </w:r>
      <w:r>
        <w:t xml:space="preserve">: 13,8 %.</w:t>
      </w:r>
    </w:p>
    <w:p>
      <w:pPr>
        <w:spacing w:after="100"/>
      </w:pPr>
      <w:r>
        <w:t xml:space="preserve">La rentabilidad sobre el capital es alta por ahora: con un capital invertido de ≈ 85 M SAR (patrimonio de 95 M menos la caja neta) y un beneficio operativo después de impuestos de ≈ 37 M, el ROIC de 2025 está por encima del 40 % y el ROE fue del 38 % [3]. La causa es el modelo de ingeniería: casi sin activos fijos (21,6 M de equipos) y con márgenes brutos del 40-55 % en proyectos de MIS [2]. Va a bajar: las GPU añaden 150 M de capital con una rentabilidad por probar, y la nube ya gana poco [2, 20]. Los comparables saudíes rinden menos (Solutions by stc, margen EBITDA del 15 %) [36].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36,24 M SAR a 30-jun-2026 frente a 5,26 M de préstamo a largo plazo (2,67 M a corto) y 0,85 M de arrendamientos; línea de 18 M con Saudi Awwal Bank (SAIBOR + 3,5 % a corto y + 4 % en capex), avalada en 4,5 M por MIS, con un límite de pasivo total / patrimonio tangible de 1,25 [2, 13]. El pedido de GPU de 127,5 M (sep-2026) se paga con crédito del proveedor y bancos: la deuda subirá en el 4T26-1T27.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Indemnizaciones por cese de los empleados (obligación legal saudí) de 11,0 M SAR a 30-jun-2026, que trato como deuda en el puente [2]. Pasivos de contrato (cobros por adelantado) de 12,0 M [2]. Compromiso fuera de balance: el pedido de GPU de 127,5 M SAR (sep-2026), que se pagará con crédito del proveedor y préstamos bancarios a partir del 4T26 [20].</w:t>
      </w:r>
    </w:p>
    <w:p>
      <w:pPr>
        <w:pStyle w:val="Heading1"/>
      </w:pPr>
      <w:r>
        <w:t xml:space="preserve">12. Asignación de capital</w:t>
      </w:r>
    </w:p>
    <w:p>
      <w:pPr>
        <w:pStyle w:val="Confianza"/>
        <w:spacing w:after="100"/>
      </w:pPr>
      <w:r>
        <w:t xml:space="preserve">Confianza: Media</w:t>
      </w:r>
    </w:p>
    <w:p>
      <w:pPr>
        <w:spacing w:after="100"/>
      </w:pPr>
      <w:r>
        <w:t xml:space="preserve">Sin política de dividendos publicada: pagó 3,5 M SAR en 2022 y nada desde entonces [1]. Reparte acciones gratuitas cada año (2023, 2024, 2025 y 2026) para dar liquidez, sin efecto en el valor [6]. Prioriza invertir en la nube y en GPU (plan de 150 M) y entrar en centros de datos (40 % de National Excellence Data Centers, comprado a MIS) [14,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Excellence Data Centers (40 %, a MIS)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Sociedad recién creada; aportación de capital de 400.000 SAR [14].</w:t>
            </w:r>
          </w:p>
        </w:tc>
      </w:tr>
    </w:tbl>
    <w:p>
      <w:pPr>
        <w:spacing w:after="160" w:before="0"/>
      </w:pPr>
    </w:p>
    <w:p>
      <w:pPr>
        <w:spacing w:after="100"/>
      </w:pPr>
      <w:r>
        <w:t xml:space="preserve">La asignación de capital ha sido buena mientras el negocio era de ingeniería con poco capital: el patrimonio pasó de 12,9 M a 115 M SAR sin ampliaciones de dinero [1, 2]. La apuesta de las GPU cambia el perfil: 150 M SAR, más que todo el patrimonio, en activos que se quedan viejos en cinco años, sin cliente anunciado para esa capacidad y financiados con deuda [19, 20]. Si se alquilan bien, suman ≈ 50-60 M de ventas al año; si no, la amortización (30 M al año) se come el beneficio. Las operaciones con MIS (compra de un 40 % de una sociedad de centros de datos a MIS) piden vigilancia [14].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Erick Ernest Baduy (Al-Baduy)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en 2008; dirige la empresa desde entonces y firma las cuentas. Tenía el 13,33 % a fin de 2022 (último dato publicado) y el 16,66 % de Edarat Lebanon, vinculada [10,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Adel Fouad Rizk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(vicepresidente hasta 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13,33 % a fin de 2022 y 16,66 % de Edarat Lebanon [10,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Ghassan Abou Ammar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administrativo desde 2008 [2,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Salam bin Zaki Al-Khunaizi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2026-09-28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Elegido en la junta del 17-sep-2026 y nombrado presidente el 28-sep; sustituye a Abdullah Al-Ghamdi, que tenía un interés indirecto en MIS [10, 30, 31].</w:t>
            </w:r>
          </w:p>
        </w:tc>
      </w:tr>
    </w:tbl>
    <w:p>
      <w:pPr>
        <w:spacing w:after="160" w:before="0"/>
      </w:pPr>
    </w:p>
    <w:p>
      <w:pPr>
        <w:spacing w:after="100"/>
      </w:pPr>
      <w:r>
        <w:t xml:space="preserve">Equipo fundador: Erick Baduy dirige la empresa desde 2008 y Adel Rizk es consejero ejecutivo; cada uno tenía el 13,33 % a fin de 2022, último dato publicado [17]. El director financiero, Ghassan Abou Ammar, está desde 2008 [17]. Han multiplicado las ventas por cinco en cuatro años sin pedir dinero a los accionistas. No dan guía, así que no hay historial de cumplimiento. Lo que preocupa: Baduy y Rizk tienen cada uno el 16,66 % de Edarat Lebanon, que presta servicios a Edarat (0,7 M SAR en 2025), y la dependencia de MIS [10]. Los directivos clave cobraron 1,5 M SAR en salarios en el 1S26 [2].</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Salam bin Zaki Al-Khunaizi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2026-09-17</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Musaed bin Fahad Al-Sudairi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2026-09-17</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Mohammed bin Abdullah Al-Sabeq</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2026-09-17</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Erick Ernest Baduy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2026-09-17</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Adel Fouad Rizk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2026-09-17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 Moammar Information Systems (MIS, 7200.SR)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Corporativo (cliente y vinculada)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el 10 % en 2024 (del 40 % al 30 %) por 61,49 M SAR</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Erick Ernest Baduy (cofundador, consejero delegado)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 fin de 2022; sin publicación posterior</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Adel Fouad Rizk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 fin de 2022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Ghassan Adel Al-Khazen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 de fin de 2022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Solo se publica el total: 1,53 M SAR en salarios de los directivos clave en el 1S26 (1,87 M en el 1S25), sin desglose del consejero delegado [2]. Hay un plan de acciones para empleados con autocartera (8.384 acciones concedidas en 2025, con consolidación en cuatro años) [2]. No hay voto consultivo de la remuneración publicado.</w:t>
      </w:r>
    </w:p>
    <w:p>
      <w:pPr>
        <w:pStyle w:val="Heading2"/>
      </w:pPr>
      <w:r>
        <w:t xml:space="preserve">Operaciones vinculadas, estructura de control y defensas</w:t>
      </w:r>
    </w:p>
    <w:p>
      <w:pPr>
        <w:spacing w:after="100"/>
      </w:pPr>
      <w:r>
        <w:t xml:space="preserve">No hay un accionista de control: MIS tiene el 30 % y los tres fundadores tenían el 40 % a fin de 2022 [17, 28]. Desde el 17-sep-2026 el consejo tiene cinco miembros, tres independientes (el presidente, Salam Al-Khunaizi, y el vicepresidente, Musaed Al-Sudairi, entre ellos) y dos ejecutivos fundadores; MIS ya no tiene consejero y el presidente anterior, Abdullah Al-Ghamdi, tenía un interés indirecto en MIS [10, 30, 31]. Una acción, un voto. La junta del 17-sep-2026 tuvo una asistencia del 57,9 % [30]. La comisión de auditoría la preside un externo, Fahad Al-Humaidi [32].</w:t>
      </w:r>
    </w:p>
    <w:p>
      <w:pPr>
        <w:pStyle w:val="Heading2"/>
      </w:pPr>
      <w:r>
        <w:t xml:space="preserve">Señales de alerta</w:t>
      </w:r>
    </w:p>
    <w:p>
      <w:pPr>
        <w:pStyle w:val="ListParagraph"/>
        <w:numPr>
          <w:ilvl w:val="0"/>
          <w:numId w:val="2"/>
        </w:numPr>
        <w:spacing w:after="60"/>
      </w:pPr>
      <w:r>
        <w:t xml:space="preserve">MIS es a la vez accionista del 30 %, el cliente del 55 % de las ventas del 1S26, deudor de 56,5 M SAR y avalista del préstamo bancario [2, 10].</w:t>
      </w:r>
    </w:p>
    <w:p>
      <w:pPr>
        <w:pStyle w:val="ListParagraph"/>
        <w:numPr>
          <w:ilvl w:val="0"/>
          <w:numId w:val="2"/>
        </w:numPr>
        <w:spacing w:after="60"/>
      </w:pPr>
      <w:r>
        <w:t xml:space="preserve">El consejero delegado y el vicepresidente saliente tienen el 16,66 % cada uno de Edarat Lebanon, proveedora vinculada [10].</w:t>
      </w:r>
    </w:p>
    <w:p>
      <w:pPr>
        <w:pStyle w:val="ListParagraph"/>
        <w:numPr>
          <w:ilvl w:val="0"/>
          <w:numId w:val="2"/>
        </w:numPr>
        <w:spacing w:after="60"/>
      </w:pPr>
      <w:r>
        <w:t xml:space="preserve">No se publica la remuneración del consejero delegado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Edarat no da guía de ventas ni de márgenes; los anuncios de resultados solo explican las causas del periodo [3, 6].</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Ningún analista publica estimaciones de Edarat: Yahoo no tiene cobertura y Argaam no recoge informes de casas de análisis para valores de Nomu [36]. El mercado se guía por los anuncios de contratos de Tadawul.</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cerró a 275,40 SAR el 19-oct-2026: +87 % en un año (el mercado saudí, −11 %) y +73 % en 2026, aunque un 17 % por debajo del máximo de 52 semanas (333 SAR el 24-sep) [34, 35]. Subió un 214 % en 2023 y un 265 % en 2024 y cayó un 30 % en 2025 [34]. Vale 2.079 M SAR, 3,4 veces lo que pagaron por el 10 % en 2024 [28, 36]. Volatilidad del 49 % y movimientos diarios de más del 10 % con pocos miles de acciones: la liquidez (≈ 1 M SAR al día) es el primer riesgo de la acción [34, 40].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 / -3,4 % / +6,4 % / +89,5 %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 / +96,3 %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 a 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140 SAR (2-nov-2025, ajustado) a ≈ 248 (máximo del 3-feb-2026; 372,2 sin ajustar): contratos de colocation con SenseTime (oct) y Mobily (nov), pedido de MIS (dic) y un +44 % en enero sin noticia propia encontrada, antes de unos resultados de 2025 con ventas +84 % (9-feb) [3, 21, 34,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día con 2.679 acciones, recuperada al día siguiente con 31.813: ruido de liquidez, sin noticia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máximo de 333 SAR (24-sep), tras el contrato de 200 MW de MIS y el plan de GPU (+10 % en septiembre), a 275,40: −6,7 % el 1-oct y −3,4 % el 19-oct, sin noticia propia [18, 20, 34,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consejo nuevo con tres independientes (presidente y vicepresidente), sin consejero de MIS; recompra de hasta 15.000 acciones para el plan de empleados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 (accionista del 30 %) adjudica a Edarat el diseño y la supervisión de un centro de datos de IA de 200 MW por 197,8 M SAR con IVA; el mismo día, plan de 150 M SAR en GPU (pedido de 127,5 M el 16-sep) [18,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ventas +22 % (91,6 M SAR) y beneficio +30 % (19,8 M); MIS, el 55 % de las ventas; pedido de colocation de MIS de 19,84 M [6,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gratuita del 50 % (de 50,4 M a 75,6 M SAR de capital): sin dinero nuevo ni efecto en el valor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Paso al mercado principal en marcha con Al Rajhi Capital como asesor. En 2024 MIS vendió el 10 % «para cumplir los requisitos de liquidez» del paso; con un flotante de ≈ 50 % no hace falta otra colocación, pero el paso dará liquidez a MIS y a los fundadores para vender (overhang) [28, 29,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Vigilar: una colocación de MIS o de los fundadores al pasar al mercado principal</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Próximos resultados (anuales de 2026), estimados hacia el 9-feb-2027 por la fecha de los de 2025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subida de un año (+87 %) la explican los resultados de 2025 (+84 % en ventas), los contratos de MIS (72,45 M en marzo y 197,8 M en septiembre) y la colocation (Mobily, SenseTime, Edge Network, Rackspace); el +44 % de enero no tiene noticia propia encontrada y la caída desde el máximo de septiembre tampoco: con ≈ 1 M SAR al día, el precio se mueve mucho con poco volumen [3, 18, 34]. No hay colocación anunciada ni bloqueo por vencer (la salida directa fue en 2022). Veredicto: no cambia; la recomendación no es de compra por valor, así que no hay hecho que esperar.</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Edarat cotiza a 43 veces nuestro BPA de 2027e, por encima de su mediana adelantada de 2023-2025 (28,3 veces) y cerca del máximo (47,6 veces a fin de 2024) [34]. La historia útil es corta (tres años) y de un valor que se multiplicó por once entre 2022 y 2024 al pasar de microempresa a tener contratos de MIS. Excluyo 2022: el cierre llegó tres sesiones después de la salida directa a Nomu y daría 8,7 veces, un precio sin descubrir. El PER de los comparables (16,5 veces de mediana) muestra cuánto paga el mercado por el crecimiento de Edarat.</w:t>
      </w:r>
    </w:p>
    <w:p>
      <w:pPr>
        <w:pStyle w:val="Heading1"/>
      </w:pPr>
      <w:r>
        <w:t xml:space="preserve">18. Comparables cotizados</w:t>
      </w:r>
    </w:p>
    <w:p>
      <w:pPr>
        <w:pStyle w:val="Confianza"/>
        <w:spacing w:after="100"/>
      </w:pPr>
      <w:r>
        <w:t xml:space="preserve">Confianza: Media</w:t>
      </w:r>
    </w:p>
    <w:p>
      <w:pPr>
        <w:spacing w:after="100"/>
      </w:pPr>
      <w:r>
        <w:t xml:space="preserve">Tres grupos con datos del mismo día: servicios de TI saudíes con estimaciones (Elm, Solutions by stc y Perfect Presentation), operadores de centros de datos de EE. UU. (Equinix y Digital Realty, REIT con PER alto por la amortización) e ingenierías globales que diseñan centros de datos (WSP y Jacobs) [36]. Fuera: MIS (sin estimaciones; cotiza a 99 veces el EBITDA), NEXTDC, IREN y Applied Digital (en pérdidas). Ninguno mezcla, como Edarat, ingeniería de proyecto y nube local con un cliente vinculado del 55 %.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Edarat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Solutions by stc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Perfect Presentation (2P)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Equinix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Realty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WSP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Jacobs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 / 17,2x / 22,4x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 1,8x / 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Edarat cotiza a 40 veces el EBITDA de los últimos doce meses y 51 veces el beneficio: más que Equinix (26 veces el EBITDA), que tiene activos de larga vida, y tres veces más que las ingenierías (WSP 12,8, Jacobs 18,3) y los saudíes de TI (11-17) [36]. Su margen EBITDA (24 %) es como el de Elm y menor que el de los operadores (46-48 %). Solo el crecimiento (+84 % en 2025) justifica una prima, y la mitad de ese crecimiento viene de una vinculada. Los comparables pesan un 20 %.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(10 %, venta de MIS en operación privada)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Inversores no identificados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61,49 M SAR por el 10 % = 614,9 M por el 100 % (≈ 81,3 SAR por acción de hoy); caja neta de fin de 2023 de 6,3 M; múltiplos sobre 2023. No es una compra de control.</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 única operación con precio es la venta privada del 10 % por MIS en marzo de 2024: 61,49 M SAR, que valoran la empresa en 615 M (≈ 81 SAR por acción de hoy), 7,6 veces las ventas y 27 veces el EBITDA de 2023 [28]. Fue una venta para dar flotante, no una compra de control, entre partes que se conocen; no le doy peso.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apoya en el 1S26 (ventas +22 %) y en un segundo semestre que compara con un 2S25 muy fuerte (+99 %): proyecto +20 % (230,8 M SAR) con los contratos de MIS de marzo y julio y la colocation de Mobily y Edge Network [6, 23, 27, 42]. 2027e salta un 36 %: el negocio actual +15 % (el centro de IA de 200 MW de MIS, 197,8 M con IVA en varios años; Rackspace desde el 2T27) y ≈ 50 M de alquiler de GPU [18, 20, 24]. Después, del 14 % al 6 % en 2032e, por debajo del mercado de centros de datos (13 % anual) [15].</w:t>
      </w:r>
    </w:p>
    <w:p>
      <w:pPr>
        <w:keepNext/>
        <w:spacing w:after="100"/>
      </w:pPr>
      <w:r>
        <w:rPr>
          <w:b/>
          <w:bCs/>
        </w:rPr>
        <w:t xml:space="preserve">Márgenes.</w:t>
      </w:r>
    </w:p>
    <w:p>
      <w:pPr>
        <w:spacing w:after="100"/>
      </w:pPr>
      <w:r>
        <w:t xml:space="preserve">El margen EBITDA fue del 22,3 % en 2021, 27,5 % en 2022, 28,4 % en 2023, 29,9 % en 2024 y 23,7 % en 2025 (24,9 % en los últimos doce meses) [1, 2, 9]. Proyecto un 25 % en 2026e y un 31-31,5 % en 2027-2028e con las GPU, que en alquiler de capacidad dan ≈ 65 % de margen EBITDA, y una bajada al 29,5 % en 2032e por la competencia de los hiperescaladores y la caída del precio del alquiler de GPU [20].</w:t>
      </w:r>
    </w:p>
    <w:p>
      <w:pPr>
        <w:keepNext/>
        <w:spacing w:after="100"/>
      </w:pPr>
      <w:r>
        <w:rPr>
          <w:b/>
          <w:bCs/>
        </w:rPr>
        <w:t xml:space="preserve">Inversión y circulante.</w:t>
      </w:r>
    </w:p>
    <w:p>
      <w:pPr>
        <w:spacing w:after="100"/>
      </w:pPr>
      <w:r>
        <w:t xml:space="preserve">Capex del 30 % de las ventas en 2026e y del 32 % en 2027e: las GPU (127,5 M pedidos y hasta 150 M aprobados) más ≈ 4 % de las ventas para la nube [20]. Después, del 11 % al 10 %: las GPU se amortizan en cinco años y hay que reponerlas. Amortización del 4,5 % en 2026e y del 13 % en 2027e (30 M al año de GPU sobre 5,1 M en 2025), que baja al 9,5 % [3, 20]. Circulante del 32 % de las ventas (≈ 34 % a jun-26), por el cobro lento de MIS [2]. Zakat e impuestos del 8,5 % (8,5 % en 2025 y en el 1S26) [2, 3].</w:t>
      </w:r>
    </w:p>
    <w:p>
      <w:pPr>
        <w:keepNext/>
        <w:spacing w:after="100"/>
      </w:pPr>
      <w:r>
        <w:rPr>
          <w:b/>
          <w:bCs/>
        </w:rPr>
        <w:t xml:space="preserve">Coste del capital.</w:t>
      </w:r>
    </w:p>
    <w:p>
      <w:pPr>
        <w:spacing w:after="100"/>
      </w:pPr>
      <w:r>
        <w:t xml:space="preserve">Flujos en SAR, anclado al USD a 3,75: tasa libre del 5,61 %, el Treasury a 10 años (5,10 %, FRED, 15-oct-2026) más el diferencial soberano saudí (0,51 %, Damodaran) [37, 38]. Beta de 1,10, de sector (servicios de TI y centros de datos): la medida contra el mercado saudí (0,34 mensual a cinco años) no sirve con ≈ 3.600 acciones al día [34]. Prima de mercado del 5,5 % y prima adicional del 2,28 %: 0,78 % de país (Damodaran) y 1,5 % por tamaño e iliquidez de Nomu [38]. Deuda del 3 % al 9 % (SAIBOR + 4 %) [2].</w:t>
      </w:r>
    </w:p>
    <w:p>
      <w:pPr>
        <w:keepNext/>
        <w:spacing w:after="100"/>
      </w:pPr>
      <w:r>
        <w:rPr>
          <w:b/>
          <w:bCs/>
        </w:rPr>
        <w:t xml:space="preserve">Valor terminal.</w:t>
      </w:r>
    </w:p>
    <w:p>
      <w:pPr>
        <w:spacing w:after="100"/>
      </w:pPr>
      <w:r>
        <w:t xml:space="preserve">Crecimiento a perpetuidad del 3,0 % en SAR/USD: la inflación esperada del dólar más algo de crecimiento real de un mercado joven, pero desde un negocio de proyectos y de capacidad que compite con gigantes. Gordon con un WACC del 13,8 % implica ≈ 5 veces el EBITDA terminal (con un múltiplo de salida de 15 veces, el crecimiento a perpetuidad implícito sería del 9,8 %, imposible a largo plazo), muy por debajo de lo que paga hoy el mercado por Edarat (40 veces el EBITDA de doce meses) y de la mediana de los comparables (≈ 17 veces) [36].</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84,99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M (45 %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 (ROIC 58,6 %)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 frente al 15,1 %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 (histórico: 64,6 %)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 (hoy: 2,4 %)</w:t>
            </w:r>
          </w:p>
        </w:tc>
      </w:tr>
    </w:tbl>
    <w:p>
      <w:pPr>
        <w:spacing w:after="160" w:before="0"/>
      </w:pPr>
    </w:p>
    <w:p>
      <w:pPr>
        <w:spacing w:after="100"/>
      </w:pPr>
      <w:r>
        <w:t xml:space="preserve">La proyección reinvierte el 45 % del NOPAT. Con el ROIC del último ejercicio (58,6 %), eso financia un crecimiento del 26,2 % anual, frente al 15,1 % de ingresos proyectado. Supone que el capital nuevo rinde un 24,9 %, frente a un ROIC incremental histórico del 64,6 %; la cuota de mercado pasaría al 2,7 % desde el 2,4 %.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ingeniería (contratos de MIS de marzo) y de colocation (Mobily, Edge Network) ≈ 11 %; otros 9 puntos por la incorporación a colocation de MIS (19,84 M, pago único) [23, 27, 42].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actual +15 % (centro de IA de 200 MW de MIS, Rackspace); otros 21 puntos por el alquiler de GPU, nuevo [18, 20, 24].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ingeniería y nube ≈ 10 % y GPU todo el año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centros de datos al 13 % según Mordor; Edarat por debajo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Madurez de la flota de GPU y competencia de los hiperescaladores [15].</w:t>
            </w:r>
          </w:p>
        </w:tc>
      </w:tr>
    </w:tbl>
    <w:p>
      <w:pPr>
        <w:spacing w:after="160" w:before="0"/>
      </w:pPr>
    </w:p>
    <w:p>
      <w:pPr>
        <w:spacing w:after="100"/>
      </w:pPr>
      <w:r>
        <w:t xml:space="preserve">En parte. El crecimiento proyectado (12 % anual en 2027-2032e, con el salto de las GPU) es menor que el de 2021-2025 (+53 % anual) y que el del mercado de centros de datos (13 %), y la cuota pasaría del 2,4 % al ≈ 2,7 % [15]. Pero no está demostrado que la calidad lo sostenga: no hay foso (sin poder de precios, con el margen de la nube en el 7,6 %), la mitad de las ventas y del margen viene de una vinculada (MIS) y el crecimiento de 2027 depende de 150 M SAR en GPU, más que todo el patrimonio, sin clientes anunciados [2, 20]. El ROIC histórico es alto (ingeniería con poco capital), pero el capital nuevo es de otra naturaleza.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14,3 %)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60 % justifica el precio (base: 29,5 %)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 (WACC: 13,8 %)</w:t>
            </w:r>
          </w:p>
        </w:tc>
      </w:tr>
    </w:tbl>
    <w:p>
      <w:pPr>
        <w:spacing w:after="160" w:before="0"/>
      </w:pPr>
    </w:p>
    <w:p>
      <w:pPr>
        <w:spacing w:after="100"/>
      </w:pPr>
      <w:r>
        <w:t xml:space="preserve">El DCF da 70,94 SAR por acción, un 74,2 % menos que el precio, con un WACC del 13,77 % y un crecimiento terminal del 3 %; el valor terminal pesa el 67 %. El DCF inverso no encuentra un crecimiento ni un margen razonables que justifiquen 275,40 SAR (ningún margen hasta el 60 % justifica el precio): con un circulante del 32 % de las ventas y las GPU que reponer, crecer más consume casi todo el flujo adicional. Lo que sí sale es la rentabilidad implícita: el precio solo cuadra si el accionista se conforma con un 6,1 % anual, apenas por encima de la tasa libre en dólares (5,61 %). Con la prima implícita del mercado (4,2 %) el DCF sube a 83,13 SAR. Ni con un WACC de 10 % se acerca al precio: la distancia no es de tasa, es de flujo de caja.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 frena o reparte sus proyectos, las GPU se alquilan a la mitad de lo previsto y la nube sigue sin margen: el crecimiento baja 6 puntos cada año (≈ 30 % en 2027e con las GPU y ≈ 8 % en 2028e) y el margen EBITDA 5 puntos, con la misma amortización de las GPU ya compradas [2, 20].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Edarat ejecuta el diseño del centro de 200 MW de MIS, alquila sus GPU a ≈ 50-60 M SAR al año y la colocation crece: ventas +36 % en 2027e y frenando al 6 % en 2032e, margen EBITDA del 25 % al 31 % con las GPU.</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en Arabia Saudí tira de la demanda: más proyectos de MIS y de otros operadores, las GPU llenas y más capacidad: 6 puntos más de crecimiento y 3 de margen [15, 16,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SAR) · precio actual 275,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70,76 SAR (-74,3 %).</w:t>
      </w:r>
    </w:p>
    <w:p>
      <w:pPr>
        <w:spacing w:after="100"/>
      </w:pPr>
      <w:r>
        <w:t xml:space="preserve">La asimetría en valor intrínseco es muy negativa: incluso el alcista (101,29 SAR, -63,2 %) queda lejos del precio, y el bajista (39,85 SAR, -85,5 %) recoge un MIS que frena y unas GPU medio vacías. Con probabilidades 25/50/25, el valor ponderado de los escenarios (70,76 SAR) es un 74,3 % inferior al precio, y el valor intrínseco de la síntesis, con los comparables, un 74,3 % (70,85 SAR).</w:t>
      </w:r>
    </w:p>
    <w:p>
      <w:pPr>
        <w:pStyle w:val="Heading1"/>
      </w:pPr>
      <w:r>
        <w:t xml:space="preserve">22. Suma de partes</w:t>
      </w:r>
    </w:p>
    <w:p>
      <w:pPr>
        <w:pStyle w:val="Confianza"/>
        <w:spacing w:after="100"/>
      </w:pPr>
      <w:r>
        <w:t xml:space="preserve">Confianza: Media</w:t>
      </w:r>
    </w:p>
    <w:p>
      <w:pPr>
        <w:spacing w:after="100"/>
      </w:pPr>
      <w:r>
        <w:t xml:space="preserve">No aplica: los dos segmentos (ingeniería y nube) comparten clientes (MIS sobre todo), equipo y centros de datos, y Edarat no publica su balance por separado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SAR) · precio actual 275,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70,85 SAR (-74,3 % sobre 275,40).</w:t>
      </w:r>
    </w:p>
    <w:p>
      <w:pPr>
        <w:spacing w:after="100"/>
      </w:pPr>
      <w:r>
        <w:t xml:space="preserve">Pesos: DCF 40 %, escenarios 40 % y comparables 20 %; transacciones sin peso (la única es la venta privada del 10 % por MIS en 2024, a ≈ 81 SAR por acción de hoy). Los comparables (mediana de 17 veces el EBITDA y 16,5 veces el beneficio) dan valores parecidos al DCF: el mercado no paga en ningún sitio 40 veces el EBITDA por ingeniería o nube. El puente parte del balance de junio de 2026: préstamo, arrendamientos e indemnizaciones por cese (11,0 M SAR) como deuda, caja de 36,2 M y la asociada (0,4 M) [2]. La deuda del pedido de GPU (127,5 M) aún no está en el balance, pero su capex sí está en el DCF.</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+65,7 %</w:t>
            </w:r>
          </w:p>
        </w:tc>
      </w:tr>
    </w:tbl>
    <w:p>
      <w:pPr>
        <w:spacing w:after="160" w:before="0"/>
      </w:pPr>
    </w:p>
    <w:p>
      <w:pPr>
        <w:spacing w:after="100"/>
      </w:pPr>
      <w:r>
        <w:rPr>
          <w:b/>
          <w:bCs/>
        </w:rPr>
        <w:t xml:space="preserve">Objetivo a 12 meses (ponderado):</w:t>
      </w:r>
      <w:r>
        <w:t xml:space="preserve"> 286,29 SAR · rentabilidad +4,0 % (base +0,0 %) · señal Mantener.</w:t>
      </w:r>
    </w:p>
    <w:p>
      <w:pPr>
        <w:spacing w:after="100"/>
      </w:pPr>
      <w:r>
        <w:t xml:space="preserve">Para comparar, con la regla v2 (historia al cierre, mismo precio): 27,3x / 33,1x / 43,0x, 4,0 % Mantener; con el tope anterior del base (×1,3, 14-oct mediodía): -4,6 % Mantener; con la v3 sin el selector (tope ×1,1): 6,0 % Mantener. Decide la v2, elegida por el selector de método (historia adelantada de 3 años: decide la más baja de v3 y v2 (v2); METODO-VIGENTE.md).</w:t>
      </w:r>
    </w:p>
    <w:p>
      <w:pPr>
        <w:keepNext/>
        <w:spacing w:after="100"/>
      </w:pPr>
      <w:r>
        <w:rPr>
          <w:b/>
          <w:bCs/>
        </w:rPr>
        <w:t xml:space="preserve">Frente al consenso (solo contraste).</w:t>
      </w:r>
    </w:p>
    <w:p>
      <w:pPr>
        <w:spacing w:after="100"/>
      </w:pPr>
      <w:r>
        <w:t xml:space="preserve">No hay consenso con el que comparar: ningún analista publica estimaciones de Edarat. El contraste es el propio precio: a 275,40 SAR el mercado paga 43 veces nuestro BPA de 2027e, que ya incluye el salto de las GPU.</w:t>
      </w:r>
    </w:p>
    <w:p>
      <w:pPr>
        <w:keepNext/>
        <w:spacing w:after="100"/>
      </w:pPr>
      <w:r>
        <w:rPr>
          <w:b/>
          <w:bCs/>
        </w:rPr>
        <w:t xml:space="preserve">Del valor intrínseco al objetivo a 12 meses.</w:t>
      </w:r>
    </w:p>
    <w:p>
      <w:pPr>
        <w:spacing w:after="100"/>
      </w:pPr>
      <w:r>
        <w:t xml:space="preserve">El objetivo a 12 meses lo decide la v2: con tres años de historia útil, el selector toma la más baja de v3 y v2. Ponderado 286,29 SAR (+4,0 %) y base 275,39 SAR (0,0 %), sin dividendo. La v3 daría +6,0 % ponderada y +18,7 % en el base: su base solo baja el PER actual (43,2 veces nuestro BPA de 2027e) un 10 % y cobra el salto del BPA de 2028e (+31 % con las GPU), mientras el bajista vuelve al mínimo de la historia (19,2 veces). La v2 parte de la mediana al cierre (33,1 veces). Ninguna llega a los umbrales de compra (15 % y 12 %) y el valor intrínseco (70,85 SAR) es un 74 % menor que el precio. Con el 2022 incluido (8,7 veces), la v3 decidiría y daría menos.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 y puesta en marcha de las GPU (cinco fases en seis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contratos de alquiler de GPU, o su ausencia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9-feb-2027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MIS, margen de la nube y conversión de caja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Paso al mercado principal de Tadawul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liquidez y entrada en índices; posible venta de MIS o de los fundadores [29]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del contrato de Rackspace (VMware, 28,27 M SAR en 42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recurrentes de nube [24]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del diseño y la supervisión del centro de IA de 200 MW de MIS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Ingeniería de ≈ 172 M SAR sin IVA en varios años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contratos de ingeniería con clientes distintos de MIS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Bajaría la concentración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MIS, accionista del 30 % y cliente del 55 % de las ventas del 1S26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a −50 % del beneficio si MIS reduce sus proyectos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200 MW adjudicado en sep-2026 (varios años de trabajo) y clientes de colocation a 3-5 años (Mobily, SenseTime, Edge Network) [18, 21, 22,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 MIS por debajo del 30 % del total sin otros clientes que lo compensen; saldo de MIS por encima de 60 M SAR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 GPU no se alquilan o se alquilan barato (150 M SAR, más que todo el patrimonio)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(30 M al año de amortización sin ventas que la cubran)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IA en Arabia Saudí y soberanía de datos; entrega en cinco fases en seis meses [15,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contratos de GPU anunciados al 1T27; margen EBITDA de 2027 por debajo del 27 %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Liquidez de la acción (≈ 1 M SAR al día en Nomu)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Movimientos de ±10 % en un día con pocos miles de acciones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Paso al mercado principal en marcha (Al Rajhi Capital) [29].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medio por debajo de 2.000 acciones al día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la nube aplastado por los hiperescaladores y el coste de la colocation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soberana local y VMware de Rackspace para clientes regulados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la nube por debajo del 10 % otro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MIS o de los fundadores al pasar al mercado principal (overhang)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temporal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Flotante ya de ≈ 50 %: no hace falta colocación para el paso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colocación o de venta de un accionista principal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vinculadas en contra del minoritario (MIS, Edarat Lebanon)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mayoría independiente desde sep-2026 y aprobación en junta con informe del auditor [10, 30].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compras a MIS o precios de proyectos de MIS fuera de mercado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Proyectos de centros de datos aplazados por recortes de gasto (petróleo, déficit)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Macroeconómico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recurrentes de nube y colocation (40 % de las ventas)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adjudicaciones de ingeniería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Endeudamiento por las GPU y el límite del préstamo (pasivo / patrimonio tangible ≤ 1,25)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de 36 M a jun-26 y beneficio de ≈ 40 M al año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Pasivo total por encima de 1,1 veces el patrimonio tangible</w:t>
            </w:r>
          </w:p>
        </w:tc>
      </w:tr>
    </w:tbl>
    <w:p>
      <w:pPr>
        <w:spacing w:after="160" w:before="0"/>
      </w:pPr>
    </w:p>
    <w:p>
      <w:pPr>
        <w:pStyle w:val="Heading2"/>
      </w:pPr>
      <w:r>
        <w:t xml:space="preserve">Pre-mortem</w:t>
      </w:r>
    </w:p>
    <w:p>
      <w:pPr>
        <w:spacing w:after="100"/>
      </w:pPr>
      <w:r>
        <w:t xml:space="preserve">Octubre de 2029: Edarat vale un 60 % menos. Lo que pasó: MIS terminó el diseño del centro de 200 MW y no adjudicó otro; sus nuevos proyectos fueron a una ingeniería global que el operador final prefería. Las ventas de ingeniería volvieron a 60 M SAR al año. Las GPU, compradas en 2026 a precios de máximo, se alquilaron a la mitad de lo previsto porque los hiperescaladores abrieron en Riad regiones con GPU más nuevas y baratas; la amortización de 30 M al año se comió el beneficio y Edarat tuvo que renegociar el préstamo. La nube siguió con márgenes de un dígito. El beneficio cayó a 20 M y el mercado, que pagaba 43 veces, pasó a pagar 15, como las ingenierías. Al pasar al mercado principal, MIS vendió parte de su 30 % y la acción, sin compradores naturales, cayó más. La señal que nadie quiso leer: el 55 % de las ventas del 1S26 a MIS y el margen de la nube en el 7,6 %.</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+20 % / −20 %</w:t>
      </w:r>
    </w:p>
    <w:p>
      <w:pPr>
        <w:spacing w:after="100"/>
      </w:pPr>
      <w:r>
        <w:t xml:space="preserve">La IA es el motor de la tesis y su mayor riesgo. Oportunidad: Arabia Saudí construye centros de datos de IA de cientos de megavatios y Edarat diseña uno de 200 MW para MIS (197,8 M SAR con IVA), y la demanda de GPU para entrenar e inferir modelos en el país (soberanía de datos) justifica su plan de 150 M [15, 18, 20]. Amenaza: el alquiler de GPU es un negocio de capital que se deprecia rápido; si la oferta mundial de GPU sigue creciendo y los hiperescaladores abren regiones en el país, el precio baja y la inversión no se recupera en cinco años [20]. Además, la IA abarata el diseño y la supervisión de ingeniería a medio plazo. Neto, alta exposición en los dos sentidos (≈ ±20 % del valor). Señal: contratos de GPU firmados y su precio por hora.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el consumo de energía y agua de los centros de datos que diseña y opera, la seguridad de los datos de sus clientes de nube (organismos, bancos, Tadawul) y la saudización del empleo técnico [15, 26]. No hay calificaciones ESG públicas.</w:t>
      </w:r>
    </w:p>
    <w:p>
      <w:pPr>
        <w:pStyle w:val="Heading2"/>
      </w:pPr>
      <w:r>
        <w:t xml:space="preserve">Controversias</w:t>
      </w:r>
    </w:p>
    <w:p>
      <w:pPr>
        <w:spacing w:after="100"/>
      </w:pPr>
      <w:r>
        <w:t xml:space="preserve">No constan sanciones ni incidentes de seguridad publicados. La controversia de gobierno es la red de operaciones con MIS y con Edarat Lebanon [10].</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precios se hacen los proyectos de MIS frente a los de otros clientes, y por qué el margen bruto de ingeniería subió al 55 % cuando MIS pasó al 55 % de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del beneficio depende de una vinculada.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GPU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clientes y a qué precio por hora van a alquilar las GPU, y con qué contratos?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 M SAR sin cliente anunciado.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Nube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margen bruto de la nube cayó del 30,5 % al 7,6 % en el 1S26 y a quién se paga la capacidad de colocation?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40 %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paga MIS los 56,5 M SAR que debe y en qué plazos?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come el flujo de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 de 200 MW</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cuántos años se reconocen los 197,8 M SAR y con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¿Piensan MIS o los fundadores vender al pasar al mercado principal?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Overhang sobre una acción poco líquida.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Edarat Lebanon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presta Edarat Lebanon y por qué la empresa no la integra?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Vinculada del consejero delegado.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24 controles correctos y 4 explicados. Fuentes: 43 (29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10,5 %: explica la causa (créditos fiscales, regularizaciones, mezcla de países) y no lo proyectes en el DCF. Explicación: En Arabia Saudí la parte saudí del capital paga zakat (2,5 % sobre una base patrimonial) y la extranjera un 20 % de impuesto sobre el beneficio; los tres fundadores son libaneses y los extranjeros tenían el 40 % a fin de 2022 [17]. El 10,5 % de 2023 es esa mezcla, no un crédito fiscal; el DCF proyecta un 8,5 %, el tipo de 2025 y del 1S26 [2, 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 explica la causa (créditos fiscales, regularizaciones, mezcla de países) y no lo proyectes en el DCF. Explicación: Mismo motivo: zakat sobre la parte saudí y 20 % sobre la extranjera (10,1 % del beneficio antes de impuestos). Baja a medida que los fundadores extranjeros pierden peso en el capital [4, 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8,5 %: explica la causa (créditos fiscales, regularizaciones, mezcla de países) y no lo proyectes en el DCF. Explicación: El 8,5 % de 2025 (y del 1S26) es el de zakat e impuesto de sociedades de una empresa con accionistas saudíes y extranjeros; es el que proyecta el DCF [2,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No hay solución porque el precio está muy lejos del valor del DCF (≈ 71 SAR frente a 275): con un circulante del 32 % de las ventas (MIS paga tarde) y capex de reposición de las GPU, más crecimiento apenas añade flujo de caja libre, y ni un margen EBITDA del 60 % justifica el precio. El motor sí calcula la rentabilidad implícita (≈ 6 %, frente a un WACC del 13,8 %). No es un error de los supuestos: el circulante y el capex son los de la empresa [2, 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24,9 % frente a un ROIC de 58,6 % y un incremental histórico de 64,6 %: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2,7 % en 2032e frente al 2,4 %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32,0 % frente a 30,4 % real: genera una variación de circulante de 15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fuentes (29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11, 12,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anual por segmento (resultado)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Anuncios de resultados anuales 2023-2025: solo ventas por segmento; 2) cuentas auditadas de 2023-2025: no accesibles (Saudi Exchange 403; PDF de pago en Argaam); 3) intermedios del 1S26: solo 1S26 y 1S25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margen semestral en los indicadores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y EBITDA semestral de 2023-2024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Nomu solo exige cuentas semestrales; 2) anuncios semestrales: sin amortización; 3) Yahoo y Stock Analysis: sin desglose semestral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Semestres en lugar de trimestres; EBITDA solo 1S25 y 1S26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 y 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Mordor (vía W.Media) y Arizton: solo tamaño y previsión, sin cuotas; 2) informes de la CST: sin cuotas de ingeniería de centros de datos; 3) cálculo con los ingresos de stc (Center3), Mobily y MIS: mezcla telecomunicaciones, integración y colocation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sin calificaciones; 2) MSCI y Sustainalytics: sin ficha para 9557; 3) prensa saudí: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Intermedios del 1S26, nota 7.5: solo el total de directivos clave (1,53 M SAR en salarios); 2) informe del comité de auditoría 2025: sin remuneraciones; 3) informe anual del consejo de 2023-2025: no publicado en Euroland ni accesible en Saudi Exchange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actuales de los fundadores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13,33 % cada uno; 2) Saudi Exchange, accionistas principales: 403; 3) Argaam: perfil sin desglose abierto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da el dato de fin de 2022</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historial_guidance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Anuncios de resultados 2023-2026: sin guía; 2) llamadas con inversores (2025): sin transcripción publicada; 3) prensa: sin guía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Edarat no da guía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recomendaciones y objetivos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sin analistas para 9557.SR; 2) MarketScreener: ficha sin estimaciones; 3) Argaam: sin cobertura de casas de análisis para valores de Nomu</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sin cobertura de analistas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Tadawul: no publica posiciones cortas de Nomu; 2) Yahoo: sin dato; 3) Argaam: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isin y empleados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Saudi Exchange: 403; 2) Euroland y Argaam: sin ISIN en la ficha abierta; 3) cuentas del 1S26: sin plantilla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Hawamer (foro saudí de referencia): 403; 2) Stocktwits: el símbolo no existe (404); 3) Reddit: 403 y sin hilos sobre Edarat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Statements for the year ended 31 December 2022 with Independent Auditor’s Report (PKF Al-Bassam): cuenta, balance y flujos de 2022 y 2021, coste de servicios, deuda, indemnizaciones por cese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Edarat (anuncio de Tadawul, adjunto)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https://ksastorage.eurolandir.com/press-releases-attachments/3506250/14617_3884_2023_04_13_11_21_55_en_20230413164826.pdf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Interim condensed financial statements for the six-month period ended 30 June 2026 (revisión limitada): cuenta del 1S26 y 1S25, balance a 30-jun-2026 y 31-dic-2025, flujos, segmentos (nota 19), vinculadas (nota 7), préstamos (nota 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Edarat (vía 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https://argaamplus.s3.amazonaws.com/9406bf87-5858-49c8-8902-ac6d7c60cb48.pdf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Financial results for the period ending on 2025-12-31 (ventas, beneficio bruto, operativo y neto; segmentos; préstamo a largo plazo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https://ksatools.eurolandir.com/tools/Pressreleases/Main/GetMessage/?id=7896365&amp;lang=en-GB&amp;companycode=sa-9557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consolidated Financial Results for the Period Ending on 2024-12-31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https://ksatools.eurolandir.com/tools/Pressreleases/Main/GetMessage/?id=7338770&amp;lang=en-GB&amp;companycode=sa-9557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Financial results for the period ending on 2023-12-31 (2022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https://ksatools.eurolandir.com/tools/Pressreleases/Main/GetMessage/?id=7309368&amp;lang=en-GB&amp;companycode=sa-9557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for the Period Ending on 2026-06-30 (Six Months): ventas por segmento y causas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https://ksatools.eurolandir.com/tools/Pressreleases/Main/GetMessage/?id=8107393&amp;lang=en-GB&amp;companycode=sa-9557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1S25, 1S24 y 1S23 (ventas, beneficio y margen bruto por segmento)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https://ksatools.eurolandir.com/tools/Pressreleases/Main/GetMessage/?id=7765780&amp;lang=en-GB&amp;companycode=sa-9557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(9557): balance y estado de flujos anuales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https://stockanalysis.com/quote/tadawul/9557/financials/balance-sheet/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fundamentals-timeseries de 9557.SR: EBITDA, beneficio antes de impuestos y tipo impositivo 2022-2025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https://finance.yahoo.com/quote/9557.SR/financials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Related Parties Transactions for the fiscal year ending Dec 31, 2025 (MIS: 77,55 M SAR de servicios prestados; Edarat Lebanon)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(adjunto a la convocatoria de la junta)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https://ksastorage.eurolandir.com/press-releases-attachments/4135614/945_14617_3884_2026-06-18_04-54-44_en.pdf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 Committee Report for the General Assembly, year ended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(adjunto)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https://ksastorage.eurolandir.com/press-releases-attachments/4133082/267_14617_3884_2026-06-15_06-46-08_en.pdf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Financial Results for the Period Ending on 2022-12-31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https://ksatools.eurolandir.com/tools/Pressreleases/Main/GetMessage/?id=7309403&amp;lang=en-GB&amp;companycode=sa-9557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Obtaining a Shari’ah Compliant Facilities (Saudi Awwal Bank, 18 M SAR)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https://ksatools.eurolandir.com/tools/Pressreleases/Main/GetMessage/?id=7324793&amp;lang=en-GB&amp;companycode=sa-9557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Purchase of a 40% stake in National Excellence Data Centers (400.000 SAR de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https://ksatools.eurolandir.com/tools/Pressreleases/Main/GetMessage/?id=7813983&amp;lang=en-GB&amp;companycode=sa-9557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CDC 2025: showcasing one of the fastest-growing DC markets in MENA (Mordor Intelligence: centros de datos de Arabia Saudí 2.110 M USD en 2025 y 3.900 M en 2030, +13,07 %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https://w.media/saudi-cdc-2025-showcasing-one-of-the-fastest-growing-dc-markets-in-mena/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Arabia Data Center Colocation Market (315 M USD en 2024, 1.800 M en 2030, +33,71 % anual; ≈ 1.290 MW en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Arizton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https://www.arizton.com/market-reports/saudi-arabia-data-center-colocation-market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2022 del consejo (árabe): historia, accionistas, consejo y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(adjunto)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https://ksastorage.eurolandir.com/press-releases-attachments/3506254/14617_3884_2023_04_13_11_30_01_en_20230413164826.pdf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Award letter from Almoammar Information Systems (MIS): diseño, supervisión, pruebas y puesta en marcha de un centro de datos de IA de 200 MW, 197,8 M SAR con 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https://ksatools.eurolandir.com/tools/Pressreleases/Main/GetMessage/?id=8134651&amp;lang=en-GB&amp;companycode=sa-9557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approval of an investment plan for up to SAR 150 Million to expand its EdaratCloud Stack (GPU)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https://ksatools.eurolandir.com/tools/Pressreleases/Main/GetMessage/?id=8135076&amp;lang=en-GB&amp;companycode=sa-9557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Purchasing of Cloud infrastructure and GPU computing equipment for SAR 127,539,553 (Aklaniat; crédito del proveedor y bancos; amortización en cinco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https://ksatools.eurolandir.com/tools/Pressreleases/Main/GetMessage/?id=8137508&amp;lang=en-GB&amp;companycode=sa-9557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Letter of Award from Etihad Etisalat (Mobily): colocation, 18,05 M SAR al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https://ksatools.eurolandir.com/tools/Pressreleases/Main/GetMessage/?id=7835173&amp;lang=en-GB&amp;companycode=sa-9557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Colocation Services Agreement with SenseTime KSA (16,49 M SAR en tres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https://ksatools.eurolandir.com/tools/Pressreleases/Main/GetMessage/?id=7821600&amp;lang=en-GB&amp;companycode=sa-9557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Contract with Edge Network Services Limited for data center colocation services (más del 25 % de las ventas de 2025 en cinco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https://ksatools.eurolandir.com/tools/Pressreleases/Main/GetMessage/?id=7933333&amp;lang=en-GB&amp;companycode=sa-9557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Contract Sign Off with Rackspace Arabia (servicios VMware, 28,27 M SAR en 42 meses desde el 2T27)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https://ksatools.eurolandir.com/tools/Pressreleases/Main/GetMessage/?id=8145058&amp;lang=en-GB&amp;companycode=sa-9557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ventas y márgenes de los últimos doce meses de Al Moammar (7200), Solutions by stc (7202), Elm (7203), 2P (7204), Equinix, Digital Realty, WSP y Jacobs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https://finance.yahoo.com/quote/7200.SR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Framework Contract with Saudi Energy (SE) y contratos con Center3 (stc), NEOM, Tadawul, BSF y Ma’aden (anuncios de 2024-2026)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https://ksatools.eurolandir.com/tools/Pressreleases/Main/GetMessage/?id=7961603&amp;lang=en-GB&amp;companycode=sa-9557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Purchase Order from Al Moammar Information Systems (incorporación a colocation, 19,84 M SAR)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https://ksatools.eurolandir.com/tools/Pressreleases/Main/GetMessage/?id=8107770&amp;lang=en-GB&amp;companycode=sa-9557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Letter from one of the company’s major shareholders (MIS vende el 10 % por 61.490.835 SAR en operación privada)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https://ksatools.eurolandir.com/tools/Pressreleases/Main/GetMessage/?id=7309362&amp;lang=en-GB&amp;companycode=sa-9557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resolution to transfer from the Parallel Market (Nomu) to the Main Market; actualización: Al Rajhi Capital, nuevo asesor (23-abr-2026)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https://ksatools.eurolandir.com/tools/Pressreleases/Main/GetMessage/?id=7947435&amp;lang=en-GB&amp;companycode=sa-9557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the Extraordinary General Assembly (17-sep-2026): consejo nuevo de cinco miembros (tres independientes) y recompra de hasta 15.000 acciones (97,2 % a favor)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https://ksatools.eurolandir.com/tools/Pressreleases/Main/GetMessage/?id=8138623&amp;lang=en-GB&amp;companycode=sa-9557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the Chairman and Vice Chairman of the Board (Salam Al-Khunaizi y Musaed Al-Sudairi) and the Board Secretary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https://ksatools.eurolandir.com/tools/Pressreleases/Main/GetMessage/?id=8146076&amp;lang=en-GB&amp;companycode=sa-9557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 Committee Report 2025 y ampliación del mandato de la comisión de auditoría (presidente Fahad Al-Humaidi)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https://ksatools.eurolandir.com/tools/Pressreleases/Main/GetMessage/?id=8119826&amp;lang=en-GB&amp;companycode=sa-9557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9557.SR: participación de internos (47,5 %)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https://finance.yahoo.com/quote/9557.SR/holders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9557.SR, KSA (iShares MSCI Saudi Arabia) e IGV: precio, rango, rentabilidades, beta, volatilidad, volumen y cierres de ejercicio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https://finance.yahoo.com/quote/9557.SR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 Edarat (Nomu): cierre del 19-oct-2026 a 275,40 SAR (−3,37 %), 1.136 acciones negociadas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https://www.argaam.com/en/company/companyoverview/marketid/14/companyid/5225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capitalización, valor empresa, múltiplos y estimaciones de Edarat y sus comparables,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https://finance.yahoo.com/quote/9557.SR/key-statistics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DGS10: bono del Tesoro de EE. UU. a 10 años (5,10 %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(Arabia Saudí: diferencial soberano 0,51 %, prima de país 0,78 %)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en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movimiento.mjs sobre 9557.SR (Yahoo): variación a 1-12 meses, media de 200 sesiones, mayores movimientos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https://finance.yahoo.com/quote/9557.SR/history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scales 52-week high (3-feb-2026)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https://www.argaam.com/en/article/articledetail/id/1877335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Award letter from MIS (8-mar-2026; 72,45 M SAR)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https://ksatools.eurolandir.com/tools/Pressreleases/Main/GetMessage/?id=7913335&amp;lang=en-GB&amp;companycode=sa-9557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increase: aprobación de la CMA (10-may-2026) y de la junta (14-jun-2026), de 50,4 M a 75,6 M SAR con acciones gratuitas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Edarat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https://ksatools.eurolandir.com/tools/Pressreleases/Main/GetMessage/?id=8072955&amp;lang=en-GB&amp;companycode=sa-9557</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77,3 %</w:t>
      </w:r>
      <w:r>
        <w:t xml:space="preserve"> · Secciones con menos del 60 % de campos cubiertos: </w:t>
      </w:r>
      <w:r>
        <w:rPr>
          <w:b/>
          <w:bCs/>
        </w:rPr>
        <w:t xml:space="preserve">directivos, gobierno, sentimiento, consenso</w:t>
      </w:r>
      <w:r>
        <w:t xml:space="preserve"> · Generado el 19 oct 2026.</w:t>
      </w:r>
    </w:p>
    <w:p>
      <w:pPr>
        <w:pStyle w:val="Nota"/>
        <w:spacing w:after="100"/>
      </w:pPr>
      <w:r>
        <w:t xml:space="preserve">Cotiza en Nomu, el mercado paralelo de Tadawul, abierto solo a inversores cualificados (un extranjero entra como inversor extranjero cualificado, QFI), en SAR y de domingo a jueves [2]. Liquidez muy escasa: ≈ 3.600 acciones y ≈ 1 M SAR al día de media en tres meses, con sesiones de menos de 100 acciones; el cierre del 19-oct-2026 se hizo con 1.136 acciones (316.000 SAR) [34, 35]. Una posición de 1.000 EUR (≈ 4.100 SAR) cabe, pero mueve el precio. Cuentas: sin XBRL y con Saudi Exchange cerrado (403); se usaron los anuncios oficiales de Tadawul y sus adjuntos (vía Euroland), las cuentas auditadas de 2022 (escaneadas, leídas como imagen) y los estados intermedios del 1S26 (vía Argaam); los balances y flujos de 2023-2024 vienen de Stock Analysis (secundaria) [1, 2, 3, 4, 5, 6, 7, 8]. Nomu solo exige cuentas semestrales: no hay trimestres. Sin analistas que la sigan. Cotiza desde el 26-dic-2022: el cierre de 2022 llegó tres sesiones después de la salida directa y no sirve como múltiplo; la historia útil es de tres años. Índice: el TASI y el índice de Nomu no tienen serie en Yahoo; la beta y las rentabilidades relativas se miden contra el ETF KSA, y la beta medida (0,34) no es útil con esta liquidez [34]. Precio: cierre del 19-oct-2026 (275,40 SAR) [35]. Sin foros ni redes con opiniones útiles: la sección de sentimiento no se imprime.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Edarat Communication and Information Technology Co. (9557.SR)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(SAR) · precio actual 275,40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Cotización 52 semanas (140,00 – 333,00)</c:v>
                </c:pt>
                <c:pt idx="1">
                  <c:v>DCF (WACC y g ± 0,5) (65,29 – 77,73)</c:v>
                </c:pt>
                <c:pt idx="2">
                  <c:v>Escenarios (bajista – alcista) (39,85 – 101,29)</c:v>
                </c:pt>
                <c:pt idx="3">
                  <c:v>DCF con la prima implícita del mercado (4,2 %)</c:v>
                </c:pt>
                <c:pt idx="4">
                  <c:v>Precio actual (275,40)</c:v>
                </c:pt>
              </c:strCache>
            </c:strRef>
          </c:cat>
          <c:val>
            <c:numRef>
              <c:f>Hoja1!$B$2:$B$6</c:f>
              <c:numCache>
                <c:formatCode>#,##0</c:formatCode>
                <c:ptCount val="5"/>
                <c:pt idx="0">
                  <c:v>140</c:v>
                </c:pt>
                <c:pt idx="1">
                  <c:v>65.29</c:v>
                </c:pt>
                <c:pt idx="2">
                  <c:v>39.85</c:v>
                </c:pt>
                <c:pt idx="3">
                  <c:v>78.33</c:v>
                </c:pt>
                <c:pt idx="4">
                  <c:v>274.02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Cotización 52 semanas (140,00 – 333,00)</c:v>
                </c:pt>
                <c:pt idx="1">
                  <c:v>DCF (WACC y g ± 0,5) (65,29 – 77,73)</c:v>
                </c:pt>
                <c:pt idx="2">
                  <c:v>Escenarios (bajista – alcista) (39,85 – 101,29)</c:v>
                </c:pt>
                <c:pt idx="3">
                  <c:v>DCF con la prima implícita del mercado (4,2 %)</c:v>
                </c:pt>
                <c:pt idx="4">
                  <c:v>Precio actual (275,40)</c:v>
                </c:pt>
              </c:strCache>
            </c:strRef>
          </c:cat>
          <c:val>
            <c:numRef>
              <c:f>Hoja1!$C$2:$C$6</c:f>
              <c:numCache>
                <c:formatCode>#,##0</c:formatCode>
                <c:ptCount val="5"/>
                <c:pt idx="0">
                  <c:v>193</c:v>
                </c:pt>
                <c:pt idx="1">
                  <c:v>12.439999999999998</c:v>
                </c:pt>
                <c:pt idx="2">
                  <c:v>61.440000000000005</c:v>
                </c:pt>
                <c:pt idx="3">
                  <c:v>10.150000000000006</c:v>
                </c:pt>
                <c:pt idx="4">
                  <c:v>2.759999999999991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(SAR, millones)</a:t>
            </a:r>
          </a:p>
        </c:rich>
      </c:tx>
      <c:overlay val="0"/>
    </c:title>
    <c:autoTitleDeleted val="0"/>
    <c:plotArea>
      <c:layout/>
      <c:barChart>
        <c:barDir val="col"/>
        <c:grouping val="stacked"/>
        <c:varyColors val="0"/>
        <c:ser>
          <c:idx val="0"/>
          <c:order val="0"/>
          <c:tx>
            <c:strRef>
              <c:f>Hoja1!$B$1</c:f>
              <c:strCache>
                <c:ptCount val="1"/>
                <c:pt idx="0">
                  <c:v>Ingeniería y servicios de centros de datos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24.36</c:v>
                </c:pt>
                <c:pt idx="1">
                  <c:v>46.81</c:v>
                </c:pt>
                <c:pt idx="2">
                  <c:v>49.8</c:v>
                </c:pt>
                <c:pt idx="3">
                  <c:v>55.63</c:v>
                </c:pt>
                <c:pt idx="4">
                  <c:v>116.2</c:v>
                </c:pt>
              </c:numCache>
            </c:numRef>
          </c:val>
        </c:ser>
        <c:ser>
          <c:idx val="1"/>
          <c:order val="1"/>
          <c:tx>
            <c:strRef>
              <c:f>Hoja1!$C$1</c:f>
              <c:strCache>
                <c:ptCount val="1"/>
                <c:pt idx="0">
                  <c:v>Nube (EdaratCloud) y colocation</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12.97</c:v>
                </c:pt>
                <c:pt idx="1">
                  <c:v>12.08</c:v>
                </c:pt>
                <c:pt idx="2">
                  <c:v>30.44</c:v>
                </c:pt>
                <c:pt idx="3">
                  <c:v>48.94</c:v>
                </c:pt>
                <c:pt idx="4">
                  <c:v>76.16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Ingeniería y servicios de centros de datos</c:v>
                </c:pt>
                <c:pt idx="1">
                  <c:v>Nube (EdaratCloud) y colocation</c:v>
                </c:pt>
              </c:strCache>
            </c:strRef>
          </c:cat>
          <c:val>
            <c:numRef>
              <c:f>Hoja1!$B$2:$B$3</c:f>
              <c:numCache>
                <c:formatCode>General</c:formatCode>
                <c:ptCount val="2"/>
                <c:pt idx="0">
                  <c:v>60.4</c:v>
                </c:pt>
                <c:pt idx="1">
                  <c:v>39.6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(estimación: la empresa no publica el reparto)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Arabia Saudí</c:v>
                </c:pt>
                <c:pt idx="1">
                  <c:v>Emiratos (sucursal de Dubái) y Líbano</c:v>
                </c:pt>
              </c:strCache>
            </c:strRef>
          </c:cat>
          <c:val>
            <c:numRef>
              <c:f>Hoja1!$B$2:$B$3</c:f>
              <c:numCache>
                <c:formatCode>0"%"</c:formatCode>
                <c:ptCount val="2"/>
                <c:pt idx="0">
                  <c:v>97</c:v>
                </c:pt>
                <c:pt idx="1">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SAR (centros de datos de Arabia Saudí, Mordor Intelligence; 1 USD = 3,75 SAR))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7913</c:v>
                </c:pt>
                <c:pt idx="1">
                  <c:v>8947</c:v>
                </c:pt>
                <c:pt idx="2">
                  <c:v>10117</c:v>
                </c:pt>
                <c:pt idx="3">
                  <c:v>11439</c:v>
                </c:pt>
                <c:pt idx="4">
                  <c:v>12935</c:v>
                </c:pt>
                <c:pt idx="5">
                  <c:v>14625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4</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Edarat</c:v>
                </c:pt>
                <c:pt idx="1">
                  <c:v>Al Moammar Information Systems (MIS)</c:v>
                </c:pt>
                <c:pt idx="2">
                  <c:v>Solutions by stc</c:v>
                </c:pt>
                <c:pt idx="3">
                  <c:v>Perfect Presentation (2P)</c:v>
                </c:pt>
                <c:pt idx="4">
                  <c:v>Equinix</c:v>
                </c:pt>
                <c:pt idx="5">
                  <c:v>WSP Global</c:v>
                </c:pt>
                <c:pt idx="6">
                  <c:v>Jacobs Solutions</c:v>
                </c:pt>
              </c:strCache>
            </c:strRef>
          </c:cat>
          <c:val>
            <c:numRef>
              <c:f>Hoja1!$B$2:$B$8</c:f>
              <c:numCache>
                <c:formatCode>0.0"%"</c:formatCode>
                <c:ptCount val="7"/>
                <c:pt idx="0">
                  <c:v>21.1</c:v>
                </c:pt>
                <c:pt idx="1">
                  <c:v>8.8</c:v>
                </c:pt>
                <c:pt idx="2">
                  <c:v>15.6</c:v>
                </c:pt>
                <c:pt idx="3">
                  <c:v>15.9</c:v>
                </c:pt>
                <c:pt idx="4">
                  <c:v>27</c:v>
                </c:pt>
                <c:pt idx="5">
                  <c:v>10.8</c:v>
                </c:pt>
                <c:pt idx="6">
                  <c:v>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2</c:v>
                </c:pt>
                <c:pt idx="3">
                  <c:v>1</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(SAR,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37.33</c:v>
                </c:pt>
                <c:pt idx="1">
                  <c:v>58.89</c:v>
                </c:pt>
                <c:pt idx="2">
                  <c:v>80.24</c:v>
                </c:pt>
                <c:pt idx="3">
                  <c:v>104.57</c:v>
                </c:pt>
                <c:pt idx="4">
                  <c:v>192.36</c:v>
                </c:pt>
                <c:pt idx="5">
                  <c:v>231</c:v>
                </c:pt>
                <c:pt idx="6">
                  <c:v>314</c:v>
                </c:pt>
                <c:pt idx="7">
                  <c:v>358</c:v>
                </c:pt>
                <c:pt idx="8">
                  <c:v>401</c:v>
                </c:pt>
                <c:pt idx="9">
                  <c:v>441</c:v>
                </c:pt>
                <c:pt idx="10">
                  <c:v>476</c:v>
                </c:pt>
                <c:pt idx="11">
                  <c:v>505</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8.32</c:v>
                </c:pt>
                <c:pt idx="1">
                  <c:v>16.19</c:v>
                </c:pt>
                <c:pt idx="2">
                  <c:v>22.75</c:v>
                </c:pt>
                <c:pt idx="3">
                  <c:v>31.24</c:v>
                </c:pt>
                <c:pt idx="4">
                  <c:v>45.63</c:v>
                </c:pt>
                <c:pt idx="5">
                  <c:v>58</c:v>
                </c:pt>
                <c:pt idx="6">
                  <c:v>97</c:v>
                </c:pt>
                <c:pt idx="7">
                  <c:v>113</c:v>
                </c:pt>
                <c:pt idx="8">
                  <c:v>124</c:v>
                </c:pt>
                <c:pt idx="9">
                  <c:v>134</c:v>
                </c:pt>
                <c:pt idx="10">
                  <c:v>143</c:v>
                </c:pt>
                <c:pt idx="11">
                  <c:v>149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34.3</c:v>
                </c:pt>
                <c:pt idx="1">
                  <c:v>39.8</c:v>
                </c:pt>
                <c:pt idx="2">
                  <c:v>43.1</c:v>
                </c:pt>
                <c:pt idx="3">
                  <c:v>43.3</c:v>
                </c:pt>
                <c:pt idx="4">
                  <c:v>32.3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22.3</c:v>
                </c:pt>
                <c:pt idx="1">
                  <c:v>27.5</c:v>
                </c:pt>
                <c:pt idx="2">
                  <c:v>28.4</c:v>
                </c:pt>
                <c:pt idx="3">
                  <c:v>29.9</c:v>
                </c:pt>
                <c:pt idx="4">
                  <c:v>23.7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20</c:v>
                </c:pt>
                <c:pt idx="1">
                  <c:v>24</c:v>
                </c:pt>
                <c:pt idx="2">
                  <c:v>24.7</c:v>
                </c:pt>
                <c:pt idx="3">
                  <c:v>26.5</c:v>
                </c:pt>
                <c:pt idx="4">
                  <c:v>21.1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17.4</c:v>
                </c:pt>
                <c:pt idx="1">
                  <c:v>21.4</c:v>
                </c:pt>
                <c:pt idx="2">
                  <c:v>21.6</c:v>
                </c:pt>
                <c:pt idx="3">
                  <c:v>23.6</c:v>
                </c:pt>
                <c:pt idx="4">
                  <c:v>18.9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0">
                  <c:v>39.7</c:v>
                </c:pt>
                <c:pt idx="1">
                  <c:v>32.9</c:v>
                </c:pt>
                <c:pt idx="2">
                  <c:v>14.4</c:v>
                </c:pt>
                <c:pt idx="3">
                  <c:v>46</c:v>
                </c:pt>
                <c:pt idx="4">
                  <c:v>64.7</c:v>
                </c:pt>
                <c:pt idx="5">
                  <c:v>98.8</c:v>
                </c:pt>
                <c:pt idx="6">
                  <c:v>21.9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Hoja1!$C$2:$C$8</c:f>
              <c:numCache>
                <c:formatCode>0.0"%"</c:formatCode>
                <c:ptCount val="7"/>
                <c:pt idx="0">
                  <c:v>39.7</c:v>
                </c:pt>
                <c:pt idx="1">
                  <c:v>32.9</c:v>
                </c:pt>
                <c:pt idx="2">
                  <c:v>14.4</c:v>
                </c:pt>
                <c:pt idx="3">
                  <c:v>46</c:v>
                </c:pt>
                <c:pt idx="4">
                  <c:v>64.7</c:v>
                </c:pt>
                <c:pt idx="5">
                  <c:v>98.8</c:v>
                </c:pt>
                <c:pt idx="6">
                  <c:v>21.9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72</c:v>
                </c:pt>
                <c:pt idx="1">
                  <c:v>57</c:v>
                </c:pt>
                <c:pt idx="2">
                  <c:v>171</c:v>
                </c:pt>
                <c:pt idx="3">
                  <c:v>205</c:v>
                </c:pt>
                <c:pt idx="4">
                  <c:v>122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33</c:v>
                </c:pt>
                <c:pt idx="1">
                  <c:v>34</c:v>
                </c:pt>
                <c:pt idx="2">
                  <c:v>37</c:v>
                </c:pt>
                <c:pt idx="3">
                  <c:v>46</c:v>
                </c:pt>
                <c:pt idx="4">
                  <c:v>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(SAR,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-1.3599999999999999</c:v>
                </c:pt>
                <c:pt idx="1">
                  <c:v>9.269999999999998</c:v>
                </c:pt>
                <c:pt idx="2">
                  <c:v>2.9099999999999997</c:v>
                </c:pt>
                <c:pt idx="3">
                  <c:v>2.27</c:v>
                </c:pt>
                <c:pt idx="4">
                  <c:v>15.239999999999998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6.48</c:v>
                </c:pt>
                <c:pt idx="1">
                  <c:v>12.6</c:v>
                </c:pt>
                <c:pt idx="2">
                  <c:v>17.37</c:v>
                </c:pt>
                <c:pt idx="3">
                  <c:v>24.66</c:v>
                </c:pt>
                <c:pt idx="4">
                  <c:v>36.34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42.8</c:v>
                </c:pt>
                <c:pt idx="1">
                  <c:v>74.8</c:v>
                </c:pt>
                <c:pt idx="2">
                  <c:v>69</c:v>
                </c:pt>
                <c:pt idx="3">
                  <c:v>57.5</c:v>
                </c:pt>
                <c:pt idx="4">
                  <c:v>58.6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13.8</c:v>
                </c:pt>
                <c:pt idx="1">
                  <c:v>13.8</c:v>
                </c:pt>
                <c:pt idx="2">
                  <c:v>13.8</c:v>
                </c:pt>
                <c:pt idx="3">
                  <c:v>13.8</c:v>
                </c:pt>
                <c:pt idx="4">
                  <c:v>13.8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50.2</c:v>
                </c:pt>
                <c:pt idx="1">
                  <c:v>73.3</c:v>
                </c:pt>
                <c:pt idx="2">
                  <c:v>57.4</c:v>
                </c:pt>
                <c:pt idx="3">
                  <c:v>48.4</c:v>
                </c:pt>
                <c:pt idx="4">
                  <c:v>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0.27</c:v>
                </c:pt>
                <c:pt idx="1">
                  <c:v>-0.18</c:v>
                </c:pt>
                <c:pt idx="2">
                  <c:v>-0.28</c:v>
                </c:pt>
                <c:pt idx="3">
                  <c:v>-0.29</c:v>
                </c:pt>
                <c:pt idx="4">
                  <c:v>-0.49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(SAR,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2026-27</c:v>
                </c:pt>
                <c:pt idx="1">
                  <c:v>2027-28</c:v>
                </c:pt>
              </c:strCache>
            </c:strRef>
          </c:cat>
          <c:val>
            <c:numRef>
              <c:f>Hoja1!$B$2:$B$3</c:f>
              <c:numCache>
                <c:formatCode>#,##0</c:formatCode>
                <c:ptCount val="2"/>
                <c:pt idx="0">
                  <c:v>2.67</c:v>
                </c:pt>
                <c:pt idx="1">
                  <c:v>2.58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(SAR,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1.73</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0.88</c:v>
                </c:pt>
                <c:pt idx="4">
                  <c:v>1.84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3</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Al Moammar Information Systems (MIS, 7200.SR)</c:v>
                </c:pt>
                <c:pt idx="1">
                  <c:v>Erick Ernest Baduy (cofundador, consejero delegado)</c:v>
                </c:pt>
                <c:pt idx="2">
                  <c:v>Adel Fouad Rizk (cofundador)</c:v>
                </c:pt>
                <c:pt idx="3">
                  <c:v>Ghassan Adel Al-Khazen (cofundador)</c:v>
                </c:pt>
              </c:strCache>
            </c:strRef>
          </c:cat>
          <c:val>
            <c:numRef>
              <c:f>Hoja1!$B$2:$B$5</c:f>
              <c:numCache>
                <c:formatCode>0.0"%"</c:formatCode>
                <c:ptCount val="4"/>
                <c:pt idx="0">
                  <c:v>30</c:v>
                </c:pt>
                <c:pt idx="1">
                  <c:v>13.33</c:v>
                </c:pt>
                <c:pt idx="2">
                  <c:v>13.33</c:v>
                </c:pt>
                <c:pt idx="3">
                  <c:v>13.33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213.6</c:v>
                </c:pt>
                <c:pt idx="1">
                  <c:v>264.9</c:v>
                </c:pt>
                <c:pt idx="2">
                  <c:v>-30.4</c:v>
                </c:pt>
              </c:numCache>
            </c:numRef>
          </c:val>
        </c:ser>
        <c:ser>
          <c:idx val="1"/>
          <c:order val="1"/>
          <c:tx>
            <c:strRef>
              <c:f>Hoja1!$C$1</c:f>
              <c:strCache>
                <c:ptCount val="1"/>
                <c:pt idx="0">
                  <c:v>Índice</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15</c:v>
                </c:pt>
                <c:pt idx="1">
                  <c:v>-0.2</c:v>
                </c:pt>
                <c:pt idx="2">
                  <c:v>-8.2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9.2</c:v>
                </c:pt>
                <c:pt idx="2">
                  <c:v>20.6</c:v>
                </c:pt>
                <c:pt idx="3">
                  <c:v>55.1</c:v>
                </c:pt>
                <c:pt idx="4">
                  <c:v>25.9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25.9</c:v>
                </c:pt>
                <c:pt idx="1">
                  <c:v>25.9</c:v>
                </c:pt>
                <c:pt idx="2">
                  <c:v>25.9</c:v>
                </c:pt>
                <c:pt idx="3">
                  <c:v>25.9</c:v>
                </c:pt>
                <c:pt idx="4">
                  <c:v>25.9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Edarat</c:v>
                </c:pt>
                <c:pt idx="1">
                  <c:v>Elm</c:v>
                </c:pt>
                <c:pt idx="2">
                  <c:v>Solutions by stc</c:v>
                </c:pt>
                <c:pt idx="3">
                  <c:v>Perfect Presentation (2P)</c:v>
                </c:pt>
                <c:pt idx="4">
                  <c:v>Equinix</c:v>
                </c:pt>
                <c:pt idx="5">
                  <c:v>Digital Realty</c:v>
                </c:pt>
                <c:pt idx="6">
                  <c:v>WSP Global</c:v>
                </c:pt>
                <c:pt idx="7">
                  <c:v>Jacobs Solutions</c:v>
                </c:pt>
              </c:strCache>
            </c:strRef>
          </c:cat>
          <c:val>
            <c:numRef>
              <c:f>Hoja1!$B$2:$B$9</c:f>
              <c:numCache>
                <c:formatCode>0.0"x"</c:formatCode>
                <c:ptCount val="8"/>
                <c:pt idx="1">
                  <c:v>14.4</c:v>
                </c:pt>
                <c:pt idx="2">
                  <c:v>10.4</c:v>
                </c:pt>
                <c:pt idx="3">
                  <c:v>9.9</c:v>
                </c:pt>
                <c:pt idx="4">
                  <c:v>23.3</c:v>
                </c:pt>
                <c:pt idx="5">
                  <c:v>23.4</c:v>
                </c:pt>
                <c:pt idx="7">
                  <c:v>16.7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Elm</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19.3</c:v>
                </c:pt>
              </c:numCache>
            </c:numRef>
          </c:xVal>
          <c:yVal>
            <c:numRef>
              <c:f>Hoja1!$C$2</c:f>
              <c:numCache>
                <c:formatCode>0.0"x"</c:formatCode>
                <c:ptCount val="1"/>
                <c:pt idx="0">
                  <c:v>14.4</c:v>
                </c:pt>
              </c:numCache>
            </c:numRef>
          </c:yVal>
          <c:smooth val="0"/>
        </c:ser>
        <c:ser>
          <c:idx val="1"/>
          <c:order val="1"/>
          <c:tx>
            <c:strRef>
              <c:f>Hoja1!$A$3</c:f>
              <c:strCache>
                <c:ptCount val="1"/>
                <c:pt idx="0">
                  <c:v>Solutions by stc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10.5</c:v>
                </c:pt>
              </c:numCache>
            </c:numRef>
          </c:xVal>
          <c:yVal>
            <c:numRef>
              <c:f>Hoja1!$C$3</c:f>
              <c:numCache>
                <c:formatCode>0.0"x"</c:formatCode>
                <c:ptCount val="1"/>
                <c:pt idx="0">
                  <c:v>10.4</c:v>
                </c:pt>
              </c:numCache>
            </c:numRef>
          </c:yVal>
          <c:smooth val="0"/>
        </c:ser>
        <c:ser>
          <c:idx val="2"/>
          <c:order val="2"/>
          <c:tx>
            <c:strRef>
              <c:f>Hoja1!$A$4</c:f>
              <c:strCache>
                <c:ptCount val="1"/>
                <c:pt idx="0">
                  <c:v>Perfect Presentation (2P)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14.3</c:v>
                </c:pt>
              </c:numCache>
            </c:numRef>
          </c:xVal>
          <c:yVal>
            <c:numRef>
              <c:f>Hoja1!$C$4</c:f>
              <c:numCache>
                <c:formatCode>0.0"x"</c:formatCode>
                <c:ptCount val="1"/>
                <c:pt idx="0">
                  <c:v>9.9</c:v>
                </c:pt>
              </c:numCache>
            </c:numRef>
          </c:yVal>
          <c:smooth val="0"/>
        </c:ser>
        <c:ser>
          <c:idx val="3"/>
          <c:order val="3"/>
          <c:tx>
            <c:strRef>
              <c:f>Hoja1!$A$5</c:f>
              <c:strCache>
                <c:ptCount val="1"/>
                <c:pt idx="0">
                  <c:v>Equinix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12.9</c:v>
                </c:pt>
              </c:numCache>
            </c:numRef>
          </c:xVal>
          <c:yVal>
            <c:numRef>
              <c:f>Hoja1!$C$5</c:f>
              <c:numCache>
                <c:formatCode>0.0"x"</c:formatCode>
                <c:ptCount val="1"/>
                <c:pt idx="0">
                  <c:v>23.3</c:v>
                </c:pt>
              </c:numCache>
            </c:numRef>
          </c:yVal>
          <c:smooth val="0"/>
        </c:ser>
        <c:ser>
          <c:idx val="4"/>
          <c:order val="4"/>
          <c:tx>
            <c:strRef>
              <c:f>Hoja1!$A$6</c:f>
              <c:strCache>
                <c:ptCount val="1"/>
                <c:pt idx="0">
                  <c:v>Digital Realty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14.6</c:v>
                </c:pt>
              </c:numCache>
            </c:numRef>
          </c:xVal>
          <c:yVal>
            <c:numRef>
              <c:f>Hoja1!$C$6</c:f>
              <c:numCache>
                <c:formatCode>0.0"x"</c:formatCode>
                <c:ptCount val="1"/>
                <c:pt idx="0">
                  <c:v>23.4</c:v>
                </c:pt>
              </c:numCache>
            </c:numRef>
          </c:yVal>
          <c:smooth val="0"/>
        </c:ser>
        <c:ser>
          <c:idx val="5"/>
          <c:order val="5"/>
          <c:tx>
            <c:strRef>
              <c:f>Hoja1!$A$7</c:f>
              <c:strCache>
                <c:ptCount val="1"/>
                <c:pt idx="0">
                  <c:v>Jacobs Solutions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9.8</c:v>
                </c:pt>
              </c:numCache>
            </c:numRef>
          </c:xVal>
          <c:yVal>
            <c:numRef>
              <c:f>Hoja1!$C$7</c:f>
              <c:numCache>
                <c:formatCode>0.0"x"</c:formatCode>
                <c:ptCount val="1"/>
                <c:pt idx="0">
                  <c:v>16.7</c:v>
                </c:pt>
              </c:numCache>
            </c:numRef>
          </c:yVal>
          <c:smooth val="0"/>
        </c:ser>
        <c:axId val="10"/>
        <c:axId val="20"/>
      </c:scatterChart>
      <c:valAx>
        <c:axId val="10"/>
        <c:scaling>
          <c:orientation val="minMax"/>
          <c:max val="22"/>
          <c:min val="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Edarat (10 %, venta de MIS en operación privada)</c:v>
                </c:pt>
              </c:strCache>
            </c:strRef>
          </c:cat>
          <c:val>
            <c:numRef>
              <c:f>Hoja1!$B$2</c:f>
              <c:numCache>
                <c:formatCode>0.0"x"</c:formatCode>
                <c:ptCount val="1"/>
                <c:pt idx="0">
                  <c:v>26.8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(SAR,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-31</c:v>
                </c:pt>
                <c:pt idx="1">
                  <c:v>-35</c:v>
                </c:pt>
                <c:pt idx="2">
                  <c:v>53</c:v>
                </c:pt>
                <c:pt idx="3">
                  <c:v>60</c:v>
                </c:pt>
                <c:pt idx="4">
                  <c:v>68</c:v>
                </c:pt>
                <c:pt idx="5">
                  <c:v>76</c:v>
                </c:pt>
                <c:pt idx="6">
                  <c:v>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(SAR,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169</c:v>
                </c:pt>
                <c:pt idx="1">
                  <c:v>347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(SAR) · precio actual 275,40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39.85</c:v>
                </c:pt>
                <c:pt idx="1">
                  <c:v>70.94</c:v>
                </c:pt>
                <c:pt idx="2">
                  <c:v>101.29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(SAR) · precio actual 275,40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Cotización 52 semanas (140,00 – 333,00)</c:v>
                </c:pt>
                <c:pt idx="1">
                  <c:v>DCF (WACC y g ± 0,5) (65,29 – 77,73)</c:v>
                </c:pt>
                <c:pt idx="2">
                  <c:v>Escenarios (bajista – alcista) (39,85 – 101,29)</c:v>
                </c:pt>
                <c:pt idx="3">
                  <c:v>DCF con la prima implícita del mercado (4,2 %)</c:v>
                </c:pt>
                <c:pt idx="4">
                  <c:v>Precio actual (275,40)</c:v>
                </c:pt>
              </c:strCache>
            </c:strRef>
          </c:cat>
          <c:val>
            <c:numRef>
              <c:f>Hoja1!$B$2:$B$6</c:f>
              <c:numCache>
                <c:formatCode>#,##0</c:formatCode>
                <c:ptCount val="5"/>
                <c:pt idx="0">
                  <c:v>140</c:v>
                </c:pt>
                <c:pt idx="1">
                  <c:v>65.29</c:v>
                </c:pt>
                <c:pt idx="2">
                  <c:v>39.85</c:v>
                </c:pt>
                <c:pt idx="3">
                  <c:v>78.33</c:v>
                </c:pt>
                <c:pt idx="4">
                  <c:v>274.02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Cotización 52 semanas (140,00 – 333,00)</c:v>
                </c:pt>
                <c:pt idx="1">
                  <c:v>DCF (WACC y g ± 0,5) (65,29 – 77,73)</c:v>
                </c:pt>
                <c:pt idx="2">
                  <c:v>Escenarios (bajista – alcista) (39,85 – 101,29)</c:v>
                </c:pt>
                <c:pt idx="3">
                  <c:v>DCF con la prima implícita del mercado (4,2 %)</c:v>
                </c:pt>
                <c:pt idx="4">
                  <c:v>Precio actual (275,40)</c:v>
                </c:pt>
              </c:strCache>
            </c:strRef>
          </c:cat>
          <c:val>
            <c:numRef>
              <c:f>Hoja1!$C$2:$C$6</c:f>
              <c:numCache>
                <c:formatCode>#,##0</c:formatCode>
                <c:ptCount val="5"/>
                <c:pt idx="0">
                  <c:v>193</c:v>
                </c:pt>
                <c:pt idx="1">
                  <c:v>12.439999999999998</c:v>
                </c:pt>
                <c:pt idx="2">
                  <c:v>61.440000000000005</c:v>
                </c:pt>
                <c:pt idx="3">
                  <c:v>10.150000000000006</c:v>
                </c:pt>
                <c:pt idx="4">
                  <c:v>2.759999999999991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