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Otis Worldwide Corporation</w:t>
      </w:r>
    </w:p>
    <w:p>
      <w:pPr>
        <w:spacing w:after="60"/>
        <w:rPr>
          <w:color w:val="52514E"/>
          <w:sz w:val="22"/>
          <w:szCs w:val="22"/>
        </w:rPr>
      </w:pPr>
      <w:r>
        <w:rPr>
          <w:color w:val="52514E"/>
          <w:sz w:val="22"/>
          <w:szCs w:val="22"/>
        </w:rPr>
        <w:t xml:space="preserve">OTIS · Bolsa de Nueva York (NYSE) · ISIN US68902V1070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72,07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88,88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+25,7 % (base +23,0 %)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75,87 USD · mercado 84,41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27.502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Otis Worldwide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OTIS / US68902V1070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Nueva York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(ascensores y escaleras mecánicas)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Farmington (Connecticut) · 1853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https://www.otis.com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72,07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63,58 – 94,57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27.502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36.111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292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88,88 USD</w:t>
      </w:r>
      <w:r>
        <w:t xml:space="preserve"> frente a 72,07 · Rentabilidad a 12 meses </w:t>
      </w:r>
      <w:r>
        <w:rPr>
          <w:b/>
          <w:bCs/>
        </w:rPr>
        <w:t xml:space="preserve">+25,7 % (base +23,0 %)</w:t>
      </w:r>
      <w:r>
        <w:t xml:space="preserve"> · Valor intrínseco 75,87 USD · con la prima implícita del mercado: 84,41 (+17,1 %) · Alcista / bajista +19,8 % / -31,2 %</w:t>
      </w:r>
    </w:p>
    <w:p>
      <w:pPr>
        <w:spacing w:after="100"/>
      </w:pPr>
      <w:r>
        <w:rPr>
          <w:b/>
        </w:rPr>
        <w:t xml:space="preserve">La recomendación y por qué.</w:t>
      </w:r>
      <w:r>
        <w:t xml:space="preserve"> Comprar, con convicción baja: la regla a 12 meses da Comprar, pero la compra no es robusta al precio de hoy (nivel B1). El objetivo a 12 meses es de 88,88 USD (nuestro BPA ajustado de 2028e × el PER de la regla común), un +25,7 % de rentabilidad ponderada con el dividendo y un +23,0 % en el caso base, frente a un precio de 72,07 USD (cierre del 20-oct-2026). El valor intrínseco (75,87 USD) queda un 5,3 % por encima. Con un BPA un 10 % menor, la ponderada baja al 13,4 % y el base al 11,0 %, por debajo de lo que pide la compra (15 % y 12 %): la compra robusta (nivel A) está en 71,09 USD. La convicción es baja porque la compra no aguanta un BPA un 10 % menor y las reglas de valor discrepan (Mantener frente a su coste de capital, Comprar con la prima que pide el mercado); la subiría un margen de servicio de vuelta al ≈ 25 % en el 3T-4T26 o un precio por debajo de 71,09 USD, y la bajaría una guía de 2027 por debajo de 4,30 USD.</w:t>
      </w:r>
    </w:p>
    <w:p>
      <w:pPr>
        <w:spacing w:after="100"/>
      </w:pPr>
      <w:r>
        <w:rPr>
          <w:b/>
        </w:rPr>
        <w:t xml:space="preserve">El negocio.</w:t>
      </w:r>
      <w:r>
        <w:t xml:space="preserve"> Otis es el mayor fabricante y mantenedor de ascensores y escaleras del mundo: 14.431 M USD de ventas en 2025, ≈ 13 % del mercado y 2,5 millones de unidades en mantenimiento [1, 15]. El servicio es el 65 % de las ventas y el 91 % del resultado de los segmentos (25 % de margen); el equipo nuevo gana un 4,8 % y llena la cartera. ROIC sobre el capital operativo del 59 % (≈ +51 puntos sobre el WACC del 8,25 %); el contable no sirve por el patrimonio negativo (−5.748 M).</w:t>
      </w:r>
    </w:p>
    <w:p>
      <w:pPr>
        <w:spacing w:after="100"/>
      </w:pPr>
      <w:r>
        <w:rPr>
          <w:b/>
        </w:rPr>
        <w:t xml:space="preserve">Finanzas.</w:t>
      </w:r>
      <w:r>
        <w:t xml:space="preserve"> El BPA ajustado creció un 8 % anual de 2021 a 2025 (de 3,01 a 4,05 USD) con recompras que bajaron las acciones diluidas de 431 M a 395 M [1, 11]. 2026 es el primer año sin crecimiento: la guía se rebajó dos veces, hasta 4,01-4,05 USD, por China, los aranceles y el margen de servicio [3, 4]. Deuda neta de 7.623 M (3 veces el EBITDA), con grado de inversión.</w:t>
      </w:r>
    </w:p>
    <w:p>
      <w:pPr>
        <w:spacing w:after="100"/>
      </w:pPr>
      <w:r>
        <w:rPr>
          <w:b/>
        </w:rPr>
        <w:t xml:space="preserve">Equipo y gobierno.</w:t>
      </w:r>
      <w:r>
        <w:t xml:space="preserve"> Judith Marks (consejera delegada desde 2020) cumplió la guía en 2021 y 2023-2025, no en 2022 ni en 2026, y se retira en el 1S27 [2, 25, 26]. La junta de 2025 rechazó la remuneración (60 % en contra) y la de 2026 la aprobó (94 %) [23, 24]. Los directivos han vendido 17,2 M USD en 12 meses, a 77-92 USD, sin ninguna compra [27].</w:t>
      </w:r>
    </w:p>
    <w:p>
      <w:pPr>
        <w:spacing w:after="100"/>
      </w:pPr>
      <w:r>
        <w:rPr>
          <w:b/>
        </w:rPr>
        <w:t xml:space="preserve">Valoración.</w:t>
      </w:r>
      <w:r>
        <w:t xml:space="preserve"> El DCF da 75,80 USD (+5,2 %) y el DCF inverso descuenta un 3,0 % de crecimiento anual frente al 3,6 % de nuestro base y al 3,3 % orgánico de 2021-2025: el precio no paga la recuperación del margen. La regla a 12 meses sube el PER de 16,4 a 18,0 veces (tope de ×1,1; la mediana adelantada de cinco años es de 22,9); con la regla v2 de control la ponderada es del 16,0 %. Escenarios asimétricos a la baja (−31 % frente a +20 %) por la deuda. La sostenibilidad del crecimiento pasa («Sí»): crece por debajo del mercado y sin capital.</w:t>
      </w:r>
    </w:p>
    <w:p>
      <w:pPr>
        <w:spacing w:after="100"/>
      </w:pPr>
      <w:r>
        <w:rPr>
          <w:b/>
        </w:rPr>
        <w:t xml:space="preserve">Riesgos y catalizadores.</w:t>
      </w:r>
      <w:r>
        <w:t xml:space="preserve"> El mayor riesgo es el servicio: la retención bajó en América, el margen del 2T26 cayó al 23,2 % y Otis renuncia a subir precios para frenarlo. Después, China, una KONE más grande con TK Elevator, la sucesión y la deuda. Riesgo de IA bajo y mixto (±3 %).</w:t>
      </w:r>
    </w:p>
    <w:p>
      <w:pPr>
        <w:spacing w:after="100"/>
      </w:pPr>
      <w:r>
        <w:rPr>
          <w:b/>
        </w:rPr>
        <w:t xml:space="preserve">Qué cambiaría la decisión.</w:t>
      </w:r>
      <w:r>
        <w:t xml:space="preserve"> Comprar de forma robusta por debajo de 71,09 USD (nivel A), un 1,4 % bajo el cierre del 20-oct; entre 71,09 y 75,87 es una compra B1; por encima de 75,87 el valor intrínseco queda por debajo del precio y la regla da Mantener. Un margen de servicio por debajo del 24 % en el 3T26 o una guía de 2027 por debajo de 4,30 USD invalidarían el base.</w:t>
      </w:r>
    </w:p>
    <w:p>
      <w:r>
        <w:br w:type="page"/>
      </w:r>
    </w:p>
    <w:p>
      <w:pPr>
        <w:pStyle w:val="Heading1"/>
      </w:pPr>
      <w:r>
        <w:t xml:space="preserve">Resumen ejecutivo</w:t>
      </w:r>
    </w:p>
    <w:p>
      <w:pPr>
        <w:spacing w:after="100"/>
      </w:pPr>
      <w:r>
        <w:rPr>
          <w:b/>
          <w:bCs/>
        </w:rPr>
        <w:t xml:space="preserve">Recomendación: Comprar</w:t>
      </w:r>
      <w:r>
        <w:t xml:space="preserve"> · Convicción: Baja · Horizonte: 12 meses · Objetivo a 12 meses: </w:t>
      </w:r>
      <w:r>
        <w:rPr>
          <w:b/>
          <w:bCs/>
        </w:rPr>
        <w:t xml:space="preserve">88,88 USD</w:t>
      </w:r>
      <w:r>
        <w:t xml:space="preserve"> (rentabilidad +25,7 % (base +23,0 %)) · Valor intrínseco: 75,87 USD (+5,3 % sobre 72,07) · con la prima implícita del mercado: 84,41 (+17,1 %)</w:t>
      </w:r>
    </w:p>
    <w:p>
      <w:pPr>
        <w:spacing w:after="100"/>
      </w:pPr>
      <w:r>
        <w:t xml:space="preserve">Otis es el dueño de la mayor cartera de mantenimiento de ascensores del mundo, un negocio que cobra por adelantado, se renueva solo y gana un 25 % de margen sobre un parque que envejece. El mercado la castiga por un 2026 sin crecimiento (China, aranceles, margen de servicio y retención) y por la salida de la consejera delegada, y la paga a 16,4 veces el BPA de los próximos 12 meses, el mínimo desde que cotiza y 6,5 veces menos que su mediana. Si el margen de servicio vuelve al 25 % y la cartera sigue creciendo, el PER no necesita volver a 23 para ganar un 20 %: basta con 18.</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 × 4,20 = 60,48 · 18,0x × 4,83 = 86,94 · 23,3x × 5,20 = 121,16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 / 23,0 %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86,54 (nuestro base +0,5 %)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 / -31,2 %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 frente a 8,3 % y 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84,41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 frente a 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75,87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75,87 y 100,64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100,64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71,09 USD: compra robusta (nivel A: aguanta también un BPA un 10 % menor y la regla v2).</w:t>
      </w:r>
    </w:p>
    <w:p>
      <w:pPr>
        <w:pStyle w:val="ListParagraph"/>
        <w:numPr>
          <w:ilvl w:val="0"/>
          <w:numId w:val="2"/>
        </w:numPr>
        <w:spacing w:after="60"/>
      </w:pPr>
      <w:r>
        <w:t xml:space="preserve">Precio entre 71,09 y 75,87 USD: compra B1 (la regla da Comprar, pero no aguanta un BPA un 10 % menor).</w:t>
      </w:r>
    </w:p>
    <w:p>
      <w:pPr>
        <w:pStyle w:val="ListParagraph"/>
        <w:numPr>
          <w:ilvl w:val="0"/>
          <w:numId w:val="2"/>
        </w:numPr>
        <w:spacing w:after="60"/>
      </w:pPr>
      <w:r>
        <w:t xml:space="preserve">Precio por encima de 75,87 USD: Mantener (el valor intrínseco queda por debajo del precio).</w:t>
      </w:r>
    </w:p>
    <w:p>
      <w:pPr>
        <w:pStyle w:val="ListParagraph"/>
        <w:numPr>
          <w:ilvl w:val="0"/>
          <w:numId w:val="2"/>
        </w:numPr>
        <w:spacing w:after="60"/>
      </w:pPr>
      <w:r>
        <w:t xml:space="preserve">Margen de servicio por debajo del 24 % en el 3T26 o guía de 2027 por debajo de 4,30 USD: rebajar el BPA y revisar.</w:t>
      </w:r>
    </w:p>
    <w:p>
      <w:pPr>
        <w:pStyle w:val="ListParagraph"/>
        <w:numPr>
          <w:ilvl w:val="0"/>
          <w:numId w:val="2"/>
        </w:numPr>
        <w:spacing w:after="60"/>
      </w:pPr>
      <w:r>
        <w:t xml:space="preserve">Margen de servicio de vuelta al 25 % en el 4T26 con la cartera +3 %: reforzar Comprar.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Otis ha dejado de crecer: un 3 % anual de ventas y un margen de servicio que no vuelve, con China, KONE-TKE y los independientes comiéndose el precio del mantenimiento. Los analistas esperan ≈ 87 USD (+20 %) pero llevan nueve meses bajando estimaciones y objetivos.</w:t>
      </w:r>
    </w:p>
    <w:p>
      <w:pPr>
        <w:keepNext/>
        <w:spacing w:after="100"/>
      </w:pPr>
      <w:r>
        <w:rPr>
          <w:b/>
          <w:bCs/>
        </w:rPr>
        <w:t xml:space="preserve">Lo que creemos nosotros.</w:t>
      </w:r>
    </w:p>
    <w:p>
      <w:pPr>
        <w:spacing w:after="100"/>
      </w:pPr>
      <w:r>
        <w:t xml:space="preserve">Coincidimos en el BPA de 2026-2027 y discrepamos en el múltiplo: el problema de 2026 es de margen de servicio y de China, no del foso. La cartera de unidades sigue creciendo (+3 %), la modernización (+26 % de cartera) llega a ventas en 2027 y el servicio ya es el 91 % del resultado.</w:t>
      </w:r>
    </w:p>
    <w:p>
      <w:pPr>
        <w:keepNext/>
        <w:spacing w:after="100"/>
      </w:pPr>
      <w:r>
        <w:rPr>
          <w:b/>
          <w:bCs/>
        </w:rPr>
        <w:t xml:space="preserve">Por qué podemos tener razón.</w:t>
      </w:r>
    </w:p>
    <w:p>
      <w:pPr>
        <w:spacing w:after="100"/>
      </w:pPr>
      <w:r>
        <w:t xml:space="preserve">La historia adelantada muestra que Otis cotizó a 21,6-27,5 veces en todos los cierres de año desde 2020; KONE y Schindler cotizan a 22-24 veces con peor margen. A 16,4 veces el precio supone que la caída de 2026 es permanente.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72,0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Cartera de mantenimiento</w:t>
      </w:r>
      <w:r>
        <w:t xml:space="preserve">: 2,5 millones de unidades, +3 % al año, con un 25 % de margen y cobro por adelantado.</w:t>
      </w:r>
    </w:p>
    <w:p>
      <w:pPr>
        <w:pStyle w:val="ListParagraph"/>
        <w:numPr>
          <w:ilvl w:val="0"/>
          <w:numId w:val="2"/>
        </w:numPr>
        <w:spacing w:after="60"/>
      </w:pPr>
      <w:r>
        <w:rPr>
          <w:b/>
        </w:rPr>
        <w:t xml:space="preserve">ROIC operativo del 59 %</w:t>
      </w:r>
      <w:r>
        <w:t xml:space="preserve">: ≈ +51 puntos sobre el WACC; crece sin capital.</w:t>
      </w:r>
    </w:p>
    <w:p>
      <w:pPr>
        <w:pStyle w:val="ListParagraph"/>
        <w:numPr>
          <w:ilvl w:val="0"/>
          <w:numId w:val="2"/>
        </w:numPr>
        <w:spacing w:after="60"/>
      </w:pPr>
      <w:r>
        <w:rPr>
          <w:b/>
        </w:rPr>
        <w:t xml:space="preserve">Barata frente a su historia</w:t>
      </w:r>
      <w:r>
        <w:t xml:space="preserve">: 16,4 veces el BPA adelantado frente a una mediana de 22,9 y a 22-24 de KONE y Schindler.</w:t>
      </w:r>
    </w:p>
    <w:p>
      <w:pPr>
        <w:pStyle w:val="ListParagraph"/>
        <w:numPr>
          <w:ilvl w:val="0"/>
          <w:numId w:val="2"/>
        </w:numPr>
        <w:spacing w:after="60"/>
      </w:pPr>
      <w:r>
        <w:rPr>
          <w:b/>
        </w:rPr>
        <w:t xml:space="preserve">Modernización</w:t>
      </w:r>
      <w:r>
        <w:t xml:space="preserve">: cartera +26 % y pedidos al alza con un parque que envejece.</w:t>
      </w:r>
    </w:p>
    <w:p>
      <w:pPr>
        <w:pStyle w:val="ListParagraph"/>
        <w:numPr>
          <w:ilvl w:val="0"/>
          <w:numId w:val="2"/>
        </w:numPr>
        <w:spacing w:after="60"/>
      </w:pPr>
      <w:r>
        <w:rPr>
          <w:b/>
        </w:rPr>
        <w:t xml:space="preserve">Retribución al accionista</w:t>
      </w:r>
      <w:r>
        <w:t xml:space="preserve">: ≈ 800 M de recompras y 2,4 % de dividendo al año.</w:t>
      </w:r>
    </w:p>
    <w:p>
      <w:pPr>
        <w:pStyle w:val="Heading2"/>
      </w:pPr>
      <w:r>
        <w:t xml:space="preserve">En contra</w:t>
      </w:r>
    </w:p>
    <w:p>
      <w:pPr>
        <w:pStyle w:val="ListParagraph"/>
        <w:numPr>
          <w:ilvl w:val="0"/>
          <w:numId w:val="2"/>
        </w:numPr>
        <w:spacing w:after="60"/>
      </w:pPr>
      <w:r>
        <w:rPr>
          <w:b/>
        </w:rPr>
        <w:t xml:space="preserve">Servicio en duda</w:t>
      </w:r>
      <w:r>
        <w:t xml:space="preserve">: retención a la baja en América y margen del 2T26 en 23,2 % (−170 pb).</w:t>
      </w:r>
    </w:p>
    <w:p>
      <w:pPr>
        <w:pStyle w:val="ListParagraph"/>
        <w:numPr>
          <w:ilvl w:val="0"/>
          <w:numId w:val="2"/>
        </w:numPr>
        <w:spacing w:after="60"/>
      </w:pPr>
      <w:r>
        <w:rPr>
          <w:b/>
        </w:rPr>
        <w:t xml:space="preserve">Guía rebajada dos veces</w:t>
      </w:r>
      <w:r>
        <w:t xml:space="preserve">: 2026 sin crecimiento del BPA (4,01-4,05 USD).</w:t>
      </w:r>
    </w:p>
    <w:p>
      <w:pPr>
        <w:pStyle w:val="ListParagraph"/>
        <w:numPr>
          <w:ilvl w:val="0"/>
          <w:numId w:val="2"/>
        </w:numPr>
        <w:spacing w:after="60"/>
      </w:pPr>
      <w:r>
        <w:rPr>
          <w:b/>
        </w:rPr>
        <w:t xml:space="preserve">China</w:t>
      </w:r>
      <w:r>
        <w:t xml:space="preserve">: el equipo nuevo sigue cayendo a ritmo de «high teens».</w:t>
      </w:r>
    </w:p>
    <w:p>
      <w:pPr>
        <w:pStyle w:val="ListParagraph"/>
        <w:numPr>
          <w:ilvl w:val="0"/>
          <w:numId w:val="2"/>
        </w:numPr>
        <w:spacing w:after="60"/>
      </w:pPr>
      <w:r>
        <w:rPr>
          <w:b/>
        </w:rPr>
        <w:t xml:space="preserve">Deuda</w:t>
      </w:r>
      <w:r>
        <w:t xml:space="preserve">: 3 veces el EBITDA y patrimonio negativo; el bajista vale −31 %.</w:t>
      </w:r>
    </w:p>
    <w:p>
      <w:pPr>
        <w:pStyle w:val="ListParagraph"/>
        <w:numPr>
          <w:ilvl w:val="0"/>
          <w:numId w:val="2"/>
        </w:numPr>
        <w:spacing w:after="60"/>
      </w:pPr>
      <w:r>
        <w:rPr>
          <w:b/>
        </w:rPr>
        <w:t xml:space="preserve">Sucesión y directivos vendedores</w:t>
      </w:r>
      <w:r>
        <w:t xml:space="preserve">: la consejera delegada se va en 2027; 17,2 M USD vendidos y ninguna compra.</w:t>
      </w:r>
    </w:p>
    <w:p>
      <w:pPr>
        <w:pStyle w:val="Heading2"/>
      </w:pPr>
      <w:r>
        <w:t xml:space="preserve">Qué tiene que pasar para que la tesis funcione</w:t>
      </w:r>
    </w:p>
    <w:p>
      <w:pPr>
        <w:spacing w:after="100"/>
      </w:pPr>
      <w:r>
        <w:t xml:space="preserve">La tesis depende de que el margen de servicio vuelva al ≈ 25 % en el 4T26 sin perder más cartera, de que China deje de restar en 2027 y de que el sucesor mantenga la estrategia. La señal en contra sería un margen de servicio por debajo del 24 % en el 3T26, una cartera de mantenimiento creciendo menos del 2 % o una guía de 2027 por debajo de 4,30 USD de BPA.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del segmento de servicio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24 %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91 % del resultado y la base del BPA de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mantenimiento (unidades)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retención y el foso.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4,01-4,05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4,00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nuestro objetivo.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equipo nuevo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(2T26; cartera +9 % sin China)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Cartera sin China &lt;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ciclo fuera de China.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Límite de las recompras y del grado de inversión.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18,5x / 16,3x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 · 3,1x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Elisha Otis presentó en 1853 el freno de seguridad que hizo posibles los ascensores de pasajeros; la Otis Elevator Company instaló el primero en Nueva York en 1857 [1, 10]. United Technologies la compró en 1976 y durante 44 años fue su división de ascensores. El 3-abr-2020, en plena pandemia, UTC la escindió junto con Carrier y se fusionó con Raytheon; Otis salió a bolsa con 6.300 M USD de deuda y patrimonio negativo [10]. Desde entonces, con Judy Marks al frente (presidenta en 2017, consejera delegada en 2019), ha girado hacia el servicio, recomprado minoritarios en España, Japón, China e India, vendido Rusia (2022) y aplicado el programa UpLift (2023-2025) [1, 21]. En septiembre de 2026 anunció la retirada de Marks en 2027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1853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Elisha Otis presenta el freno de seguridad para ascensores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 Technologies compra Otis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Judy Marks, presidenta de Otis (consejera delegada desde 2019)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Separación de UTC (3 de abril) y salida a bolsa con 6.300 M de deuda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Rusia; oferta por los minoritarios de Zardoya Otis (España)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UpLift: ahorro anual de unos 200 M y nuevo modelo de servicio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Reorganización de China y compra del 100 % de Otis Electric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WeMaintain, dos rebajas de guía y anuncio de la retirada de la consejera delegada [4, 6, 21].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Otis es el mayor fabricante y mantenedor de ascensores y escaleras mecánicas del mundo: 14.431 M USD de ventas en 2025, 72.000 empleados (45.000 en campo, 37.000 mecánicos de servicio), más de 1.400 delegaciones, 16 fábricas y presencia directa en más de 70 países [1]. Vende equipo nuevo a promotores y constructoras (35 % de las ventas, 9 % del beneficio de los segmentos) y servicio a propietarios y administradores de edificios (65 % y 91 %) [1]. El servicio incluye mantenimiento preventivo y reparaciones de 2,5 millones de unidades, propias y de otras marcas, y la modernización de equipos viejos [1]. Ningún cliente pesa más del 10 % [1]. Las plataformas Gen2, Gen3 y Gen360 cubren la vivienda y la oficina; SkyRise, los rascacielos; Otis ONE conecta 1,1 millones de unidades a la nube [1].</w:t>
      </w:r>
    </w:p>
    <w:p>
      <w:pPr>
        <w:pStyle w:val="Heading2"/>
      </w:pPr>
      <w:r>
        <w:t xml:space="preserve">Cómo gana dinero</w:t>
      </w:r>
    </w:p>
    <w:p>
      <w:pPr>
        <w:spacing w:after="100"/>
      </w:pPr>
      <w:r>
        <w:t xml:space="preserve">El dinero se gana en el mantenimiento: contratos de varios años (unos cuatro), con subida anual de precio y una visita que depende de la densidad de equipos por mecánico en cada ciudad [1, 6]. El 91 % del beneficio de los segmentos sale del servicio, con un margen del 25,1 % en 2025, frente al 4,8 % del equipo nuevo [1]. El equipo nuevo se vende casi a coste porque alimenta la cartera: cada ascensor instalado puede dar 20-30 años de mantenimiento si se retiene al cliente. El margen depende del precio frente a los salarios (la mano de obra es el coste principal; los materiales, 600-700 M al año) y de la mezcla: la modernización crece más pero gana menos que el mantenimiento [6]. Poca estacionalidad: el equipo nuevo baja en el 1T por el Año Nuevo chino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Equipo nuevo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(Rusia)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Equipo nuevo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(Rusia)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muy repartidos: el cliente medio tiene unas cuatro unidades y ninguno supera el 10 % de las ventas [1, 6]. Los contratos de mantenimiento duran unos cuatro años, así que solo se puede renegociar el precio de una cuarta parte de la cartera cada año [6]. El poder de precios es real pero limitado: el mantenimiento subió un 3 % de precio en 2026, a la par que la inflación salarial, y cuando Otis intentó subir más con «micro-precios» por IA, las bajas aumentaron y frenó [6]. La retención cayó a finales de 2024, se estabilizó en el 1T26 y volvió a bajar en América en el 2T26; Otis no publica la cifra salvo una vez al año [6, 7]. En China, la cartera crece a un ritmo «high single digit» y la modernización se duplica por los estímulos [6].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mantenimiento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2,4 millones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2,5 millones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(3T25); +3 % (1T26 y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se frena; la retención fuera de China bajó en el 2T26 [6, 7,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modernización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 M USD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1.858 M USD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+24 % orgánico en el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línea que más crece; cartera +26 % a tipos constantes en junio de 2026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mantenimiento y reparación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7.211 M USD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7.584 M USD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Mantenimiento +3 % orgánico (cartera +3 %, precio +3 %, mezcla y bajas en contra); reparación +12 % en el 2T26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del segmento de servicio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 (2025); 23,2 %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pb interanual en el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la dirección: ≈ 25 % en el 4T26 [2, 4,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equipo nuevo en China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2.444 M USD (2023)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 M USD (2025, ventas de origen China, todos los negocios)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 en dos años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equipo nuevo en China cae a ritmo de «high teens» en el 2T26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de equipo nuevo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a tipos constantes (jun-26); +9 % sin China</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−5 % en el 2T26 con América +13 % y China −20 % [4,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Unidades conectadas (Otis ONE)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1,1 millones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para el mantenimiento predictivo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mundial de ascensores y escaleras mecánicas en sus tres negocios (equipo nuevo, mantenimiento y modernización), que es el perímetro de las cuotas de los grandes. Usamos Roland Berger: 110.000 M USD en 2025 y 133.000 M USD en 2030, con el mantenimiento como mayor negocio y la modernización como el que más crece (≈ 7 % anual) [15]. Otras casas dan cifras de 85.000 a 160.000 M según el perímetro; preferimos la de Roland Berger porque cuadra con las ventas de los cinco grandes (unos 55.000 M USD, la mitad) [17,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110.000 M USD en 2025 [15]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residencial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enero-junio de 2026 la superficie de obra nueva iniciada cayó un 23,4 % y la inversión inmobiliaria un 18,0 % [16]. Las ventas de Otis con origen China bajaron de 2.444 M USD en 2023 a 1.650 M en 2025 y el equipo nuevo en China cae a ritmo de «high teens» en 2026 [1, 4]. Roland Berger no ve mejora antes de 2027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de la base instalada (modernización y reparación)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Modernización ≈ 7 % anual hasta 2030 [15]; las ventas de modernización de Otis crecieron un 24 % orgánico en el 2T26 y su cartera un 26 % a tipos constantes; la dirección habla de una ola «hasta los años 2030» [4,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base mantenida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mantenimiento aportará 13.000 de los 23.000 M USD de crecimiento del mercado hasta 2030 [15]; la cartera de Otis crece un 3-4 % al año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Equipo nuevo fuera de China (América, India, Oriente Medio)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equipo nuevo de Otis en América +24 % en el 1T26 y +15 % en el 2T26; cartera sin China +9 %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mano de obra y escasez de mecánicos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Otis contrata unos 1.000 mecánicos al año y sufre 50 M de sobrecostes de productividad en 2026 por la formación y las horas extra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Concentración del sector (KONE-TKE)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compra TK Elevator por 29.400 M EUR de valor empresa; juntas mantendrían 3,2 millones de unidades, más que Otis (2,5 millones); la CMA británica abrió consulta el 22-sep-2026 [18, 20].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grandes con el 45 % del mercado; en equipo nuevo se compite en precio (margen del 3-5 % en Otis), en mantenimiento la rivalidad es local y por calidad de servicio [1,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(cuatro unidades de media), pero pueden cambiar de mantenedor al vencer el contrato; la retención de Otis bajó en 2025-2026 y las subidas de precio por encima de la inflación provocan bajas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Materiales de 600-700 M al año, cubiertos al 98 % para 2026; la mano de obra especializada es el verdadero cuello de botella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densidad de mecánicos por ciudad, piezas y certificación; los independientes y los fabricantes chinos entran por precio en mantenimiento y en equipo nuevo de vivienda [1,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del ascensor en un edificio de más de cuatro plantas, y la inspección y el mantenimiento son obligatorios por ley [1].</w:t>
            </w:r>
          </w:p>
        </w:tc>
      </w:tr>
    </w:tbl>
    <w:p>
      <w:pPr>
        <w:spacing w:after="160" w:before="0"/>
      </w:pPr>
    </w:p>
    <w:p>
      <w:pPr>
        <w:pStyle w:val="Heading2"/>
      </w:pPr>
      <w:r>
        <w:t xml:space="preserve">Ciclo</w:t>
      </w:r>
    </w:p>
    <w:p>
      <w:pPr>
        <w:spacing w:after="100"/>
      </w:pPr>
      <w:r>
        <w:t xml:space="preserve">El ciclo va partido: el equipo nuevo cae en China por tercer año (obra nueva −23 % en el 1S26) mientras crece en América e India, y el servicio crece en todas las regiones [4, 6, 16]. En 2020 las ventas de Otis cayeron solo un 2,8 % y el beneficio operativo ajustado subió [10]; en 2022 el golpe vino del dólar y de los costes, con ventas −4,3 % y margen ajustado estable (15,5 %) [1]. No hay datos de Otis como empresa independiente en 2008-09.</w:t>
      </w:r>
    </w:p>
    <w:p>
      <w:pPr>
        <w:pStyle w:val="Heading2"/>
      </w:pPr>
      <w:r>
        <w:t xml:space="preserve">Regulación</w:t>
      </w:r>
    </w:p>
    <w:p>
      <w:pPr>
        <w:spacing w:after="100"/>
      </w:pPr>
      <w:r>
        <w:t xml:space="preserve">Las normas de seguridad (inspecciones obligatorias, códigos ASME A17 en EE. UU. y EN 81 en Europa) garantizan la demanda de mantenimiento y empujan la modernización de equipos viejos [1]. La regulación que más pesa ahora es la de competencia: la compra de TKE por KONE necesita autorización en la UE, el Reino Unido y EE. UU.; la CMA abrió consulta en septiembre de 2026 [20]. En China, los estímulos con bonos especiales para renovar viviendas antiguas impulsan la modernización (pedidos de modernización en China +100 % en el 2T26) [6]. Aranceles de EE. UU.: Otis espera un pequeño beneficio en 2026 frente a 2025 [7].</w:t>
      </w:r>
    </w:p>
    <w:p>
      <w:pPr>
        <w:pStyle w:val="Heading2"/>
      </w:pPr>
      <w:r>
        <w:t xml:space="preserve">Tendencias y disrupción</w:t>
      </w:r>
    </w:p>
    <w:p>
      <w:pPr>
        <w:spacing w:after="100"/>
      </w:pPr>
      <w:r>
        <w:t xml:space="preserve">Tres tendencias. La primera, la conectividad y la IA en el mantenimiento: 1,1 millones de unidades de Otis conectadas, mantenimiento predictivo y precios por segmentos con IA [1, 6]; favorece a quien tiene escala y datos, y también a independientes digitales como WeMaintain, que Otis ha preferido comprar [6]. La segunda, la modernización de una base envejecida, que la dirección ve como una ola de varios años [6]. La tercera, la escasez de mecánicos y la presión salarial, que Otis está pagando en 2026 [6]. Otis gana con las dos primeras por su base de 2,5 millones de unidades; la tercera le resta margen a corto plazo.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ascensores y escaleras (≈ 13 % del mercado de 110.000 M USD) y la mayor cartera de mantenimiento (2,5 millones de unidades); en equipo nuevo en China compite con KONE, Schindler, Mitsubishi, Hitachi y fabricantes locales [1, 15, 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Finlandia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KNEBV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11.245 M EUR de ventas en 2025 (convertidas a 1,13 USD/EUR) y margen EBIT ajustado del 12,2 %; compra TK Elevator y pasaría a ser el número uno en unidades mantenidas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Schindler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10.947 M CHF en 2025 y margen ajustado del 13,3 %; caja neta; ha dicho que recurrirá KONE-TKE [18,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TK Elevator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Advent y Cinven; ≈ 9.200 M EUR en el ejercicio a sep-25 y margen EBIT ajustado del 14,8 %; más de 1,4 millones de unidades; en venta a KONE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Hitachi (Building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6501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de 850.000 M JPY (−9 %) por la caída del equipo nuevo en China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Mitsubishi Electric (Building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6503</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707.800 M JPY en el ejercicio a mar-26 (+6 %)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de red entre clientes; la densidad de unidades por ciudad abarata cada visita, que es escala, no red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mantenedor es posible al vencer el contrato (unos cuatro años) y las piezas propias lo encarecen; pero la retención de Otis bajó en 2025-2026 cuando falló la calidad, lo que demuestra que el coste de cambio no es alto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170 años, 4.600 patentes y 1.300 solicitudes; pesa en rascacielos y obra pública, menos en vivienda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servicio del 25 % frente a un margen EBIT total del 12-15 % en KONE, Schindler y TKE, por la mayor cartera y el peso de EE. UU. [1,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millones de unidades, 1.400 delegaciones y 37.000 mecánicos: en una ciudad, el que más unidades tiene hace la ruta más barata; los cuatro grandes tienen ≈ 45 % del mercado [1, 2].</w:t>
            </w:r>
          </w:p>
        </w:tc>
      </w:tr>
    </w:tbl>
    <w:p>
      <w:pPr>
        <w:spacing w:after="160" w:before="0"/>
      </w:pPr>
    </w:p>
    <w:p>
      <w:pPr>
        <w:pStyle w:val="Heading2"/>
      </w:pPr>
      <w:r>
        <w:t xml:space="preserve">Amenazas</w:t>
      </w:r>
    </w:p>
    <w:p>
      <w:pPr>
        <w:spacing w:after="100"/>
      </w:pPr>
      <w:r>
        <w:t xml:space="preserve">Tres amenazas. Primera, KONE-TKE: si se aprueba, KONE tendrá 3,2 millones de unidades y más escala que Otis en Europa y Asia, y podría competir en precio por carteras (probabilidad de cierre alta en 2027) [18, 20]. Segunda, la retención: los independientes locales y digitales ganan clientes cuando la calidad de servicio falla, como le ha pasado a Otis en América en 2025-2026 (probabilidad media) [6]. Tercera, los fabricantes chinos de bajo coste en equipo nuevo de vivienda en Asia y Oriente Medio, que presionan el precio en el segmento menos rentable (probabilidad alta, impacto bajo) [18].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2019-2025: ingresos </w:t>
      </w:r>
      <w:r>
        <w:rPr>
          <w:b/>
          <w:bCs/>
        </w:rPr>
        <w:t xml:space="preserve">1,6 %</w:t>
      </w:r>
      <w:r>
        <w:t xml:space="preserve">, EBITDA </w:t>
      </w:r>
      <w:r>
        <w:rPr>
          <w:b/>
          <w:bCs/>
        </w:rPr>
        <w:t xml:space="preserve">4,2 %</w:t>
      </w:r>
      <w:r>
        <w:t xml:space="preserve">, BPA </w:t>
      </w:r>
      <w:r>
        <w:rPr>
          <w:b/>
          <w:bCs/>
        </w:rPr>
        <w:t xml:space="preserve">5,4 %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crecieron poco: de 13.118 M USD en 2019 a 14.431 M en 2025 (+1,6 % anual), con un año 2021 inflado por la recuperación (+12 %) y 2022 golpeado por el dólar fuerte (−4,3 %) [1, 10]. Debajo hay dos negocios que van en sentidos opuestos. El servicio subió de 7.470 M en 2019 a 9.442 M en 2025 (+4,0 % anual) y es el 65 % de las ventas; el equipo nuevo cayó de 6.428 M en 2021 a 4.989 M en 2025 (−22 %), arrastrado por China, que pasó de 2.444 M de ventas en 2023 a 1.650 M en 2025 [1]. El margen operativo ajustado subió de 14,3 % en 2019 a 16,9 % en 2025 (+260 pb) por la mezcla: el servicio gana un 25,1 % de margen de segmento y el equipo nuevo un 4,8 % [1, 2, 11]. En 2026 la tendencia se ha roto: con las ventas del primer semestre un 7 % arriba, el margen ajustado cayó 160 pb (15,3 %) por inversiones en calidad de servicio, costes de mano de obra y precio en China [4].</w:t>
      </w:r>
    </w:p>
    <w:p>
      <w:pPr>
        <w:pStyle w:val="Heading2"/>
      </w:pPr>
      <w:r>
        <w:t xml:space="preserve">Ajustes y partidas no recurrentes</w:t>
      </w:r>
    </w:p>
    <w:p>
      <w:pPr>
        <w:spacing w:after="100"/>
      </w:pPr>
      <w:r>
        <w:t xml:space="preserve">Otis publica un beneficio operativo y un BPA «ajustados» que excluyen reestructuraciones, costes de la transformación UpLift, ajustes con RTX por el acuerdo fiscal de la separación, litigios no ordinarios, deterioros y partidas fiscales no recurrentes [2, 4]. Usamos las cifras publicadas y tratamos como no recurrente solo lo que no se repite: UpLift (2023-2025: 41, 145 y 145 M entre reestructuración y transformación), el ajuste con RTX por el litigio fiscal alemán (177 M en 2024 y 70 M en 2025), litigios (18 y 21 M) y deterioros de activos en venta (18 y 10 M), y en 2020 los costes de la separación de UTC [1, 8, 11]. Las «otras reestructuraciones» (40-77 M todos los años) se quedan dentro como coste recurrente. El BPA ajustado (4,05 USD en 2025 frente a 3,50 GAAP) también excluye intereses e impuestos no recurrentes del litigio alemán; es la base de la guía y del consenso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EBITDA de cada trimestre = beneficio operativo ajustado + amortizaciones del estado de flujos; BPA ajustado [2, 3, 4, 12]. En la conferencia del 1T26 (22-abr) la dirección anunció 50 M USD de inversión en «excelencia de servicio» y precios con IA, dijo que la retención de clientes (sin China) se había estabilizado y rebajó el BPA a 4,20-4,24 USD [7]. En la del 2T26 (22-jul) el tono cambió: la retención «tarda más de lo esperado», bajó en América, y Otis frena las subidas de precio por «micro-precios» con IA en mantenimiento para no perder clientes (−20 M USD de beneficio), con otros 50 M de costes de productividad (mecánicos nuevos que tardan en rendir, horas extra para ejecutar modernizaciones) [6]. Los analistas preguntaron una y otra vez por el margen de servicio y por cuánto de los 50 M es temporal: la directora financiera dijo que 30 M lo son y que el margen de servicio pasará del 23,1 % del semestre a «mediados de 24 %» en el 3T y a ≈ 25 % en el 4T [6]. Se negaron a dar cifras de retención («solo una vez al año») y a guiar 2027 [6, 7]. La consejera delegada negó haber perdido cuota en equipo nuevo y atribuyó la caída de pedidos (−5 %) a comparaciones difíciles en Asia [6].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(2020: Separación de United Technologies el 3-abr-2020: 2019 son cuentas combinadas de la división (sin la deuda de 6.300 M emitida en febrero de 2020 ni recompras); el patrimonio pasa de +1.700 M a −3.862 M [10].; 2022: Venta del negocio de Rusia (2022): sus 106 M de ventas de 2022 quedan fuera de los segmentos reexpresados [8].).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pasó de 39 M USD en 2019 a 8.436 M a 30-jun-2026: la separación de UTC en 2020 cargó a Otis con 6.300 M y desde entonces la empresa ha ido recomprando acciones (5.000 M desde 2020) con deuda y caja [1, 5]. Por eso el patrimonio es negativo (−5.748 M a 30-jun-2026): no es una señal de quiebra sino de un balance que reparte más de lo que gana, apoyado en un circulante negativo. Los anticipos de clientes (pasivos por contrato de 3.023 M) y los proveedores (2.099 M) financian los cobros (3.985 M) y la obra en curso (824 M) [4]. Deuda neta de 7.623 M frente a un EBITDA ajustado de unos 2.570 M: ≈ 3 veces, alta para el sector (KONE y Schindler tienen caja neta) [4].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10.030</w:t>
      </w:r>
      <w:r>
        <w:t xml:space="preserve">, conversión </w:t>
      </w:r>
      <w:r>
        <w:rPr>
          <w:b/>
          <w:bCs/>
        </w:rPr>
        <w:t xml:space="preserve">112 %</w:t>
      </w:r>
      <w:r>
        <w:t xml:space="preserve"> del beneficio neto; adquisiciones 458, dividendos 2.910, recompras 4.191.</w:t>
      </w:r>
    </w:p>
    <w:p>
      <w:pPr>
        <w:spacing w:after="100"/>
      </w:pPr>
      <w:r>
        <w:t xml:space="preserve">Otis convierte casi todo el beneficio en caja: flujo operativo de 1.469-1.750 M USD al año entre 2019 y 2025 con un capex de solo 115-183 M (≈ 1 % de las ventas), porque el servicio no necesita fábricas y el equipo nuevo cobra por adelantado [1]. El FCF publicado de 2025 fue de 1.444 M (1.596 − 152), un 104 % del beneficio neto [1, 2]. El de los últimos 12 meses (1.712 M) está inflado por 129 M de devoluciones del litigio fiscal alemán y por la entrada de anticipos del semestre; la guía de FCF ajustado de 2026 (1.500-1.550 M) es más baja que la de enero (1.600-1.700 M) [4]. Casi todo el capex es de mantenimiento; el crecimiento se compra con adquisiciones pequeñas de carteras de mantenimiento (36-109 M al año y WeMaintain, 170 M, en abril de 2026) [1, 5]. Desde 2021 la caja se va en dividendos (393-647 M) y recompras (725-1.007 M)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Auditor desde 2019 (PwC), opinión limpia y control interno eficaz [1]. Tres asuntos que mirar. Primero, el uso de cifras «ajustadas»: entre 2023 y 2025 Otis excluyó 593 M de costes de UpLift, del acuerdo con RTX, litigios y deterioros; son reales y en caja, aunque no se repitan, y 2026 ya trae otros 18 M de reestructuración [1, 4]. Segundo, el reconocimiento por grado de avance en el equipo nuevo y la modernización: los pasivos por contrato (anticipos) suben y bajan con los pedidos y mueven el flujo operativo de un trimestre a otro (+284 M en el 1S26) [4]. Tercero, la remuneración en acciones es baja (≈ 80 M al año, 0,5 % de las ventas) [4]. Los indicadores del motor deben leerse con cuidado: el Altman Z sale castigado por el patrimonio negativo y las reservas negativas, que vienen de recompras y de la separación, no de pérdidas; el Beneish y el Piotroski no muestran manipulación (véase el cálculo).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Patrimonio neto negativo (−5.748 M a 30-jun-2026)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Viene de la deuda de la separación y de 5.000 M de recompras; deja sin sentido el ROE y castiga el Altman Z. Deuda neta / EBITDA ≈ 3 veces.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recurrentes en el beneficio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UpLift ya está terminado; las «otras reestructuraciones» (40-77 M al año) las tratamos como recurrentes.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Disputa con RTX por la indemnización del litigio alemán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M pagaderos que RTX discute; importe pequeño.</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2.723,8 %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1.695 M en 2025 (el 118 % del capital invertido medio); ha subido más de un 5 % en 2 de 6 años: compras pequeñas.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100,0 % · </w:t>
      </w:r>
      <w:r>
        <w:rPr>
          <w:b/>
          <w:bCs/>
        </w:rPr>
        <w:t xml:space="preserve">WACC</w:t>
      </w:r>
      <w:r>
        <w:t xml:space="preserve">: 8,3 %.</w:t>
      </w:r>
    </w:p>
    <w:p>
      <w:pPr>
        <w:spacing w:after="100"/>
      </w:pPr>
      <w:r>
        <w:t xml:space="preserve">El ROIC del motor (130 % en 2025) y el ROE (negativo) no sirven: el patrimonio es de −5.392 M USD a cierre de 2025 por la deuda de la separación de UTC y las recompras [1]. Sobre el capital invertido operativo (inmovilizado + fondo de comercio + intangibles + circulante con contratos = 3.028 M en 2025) y con el resultado operativo ajustado menos la reestructuración recurrente después de impuestos (1.797 M), el ROIC es del 59 %, frente a un WACC del 8,25 %: ≈ +51 puntos. La medida es estable en el tiempo (53-63 % en 2022-2025, con un capital operativo de 2.770-3.030 M y un resultado antes de impuestos que pasó de 2.066 a 2.380 M) [1, 11]. Lo explica el modelo: el 65 % de las ventas y el 91 % del resultado de los segmentos es servicio (mantenimiento, reparación y modernización), que casi no necesita activos y cobra por adelantado (2.611 M de pasivos por contrato); el equipo nuevo vende con anticipos y gana poco (4,8 % de margen en 2025, frente al 25,1 % del servicio) pero alimenta la cartera de mantenimiento [1]. La tendencia es lo que preocupa: el margen operativo ajustado cayó del 16,9 % de 2025 a ≈ 15,8 % guiado para 2026 por China, los aranceles y el margen de servicio del 2T26 (23,2 %, −170 pb), y el ROIC operativo bajaría a ≈ 55 % en 2026e: sigue creando valor con un margen enorme sobre el WACC [4, 6].</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7.623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7.934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813 M USD y línea de crédito no dispuesta de 1.500 M hasta agosto de 2030; programas de papel comercial de 1.500 M sin saldo a 30-jun-2026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Grado de inversión de Moody's y S&amp;P (el 10-K no da la nota)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déficit neto de 284 M USD a finales de 2025 (312 M en 2024) [1]. Financiación de proveedores (confirming): 716 M a 30-jun-2026 dentro de proveedores, de ellos 98 M a 240 días, que tratamos como deuda en el puente [5]. Litigio fiscal alemán: Otis ganó en 2024 y espera cobrar unos 356 M USD netos; a 30-jun quedaban 55 M por cobrar y 55 M a pagar a RTX por el acuerdo fiscal de la separación, que RTX discute [5]. Amianto: pasivo estimado de 11-31 M hasta 2059 [5]. Riesgo fiscal de la separación: si Hacienda de EE. UU. considerase gravable la escisión de 2020, Otis podría deber importes relevantes (factor de riesgo, sin provisión) [1]. Sin covenants financieros apretados: cumple todos a 30-jun [5].</w:t>
      </w:r>
    </w:p>
    <w:p>
      <w:pPr>
        <w:pStyle w:val="Heading1"/>
      </w:pPr>
      <w:r>
        <w:t xml:space="preserve">12. Asignación de capital</w:t>
      </w:r>
    </w:p>
    <w:p>
      <w:pPr>
        <w:pStyle w:val="Confianza"/>
        <w:spacing w:after="100"/>
      </w:pPr>
      <w:r>
        <w:t xml:space="preserve">Confianza: Alta</w:t>
      </w:r>
    </w:p>
    <w:p>
      <w:pPr>
        <w:spacing w:after="100"/>
      </w:pPr>
      <w:r>
        <w:t xml:space="preserve">Prioridades declaradas: invertir en el servicio (contratación de unos 1.000 mecánicos al año, calidad, digital), compras de carteras de mantenimiento, dividendo creciente y recompras con el resto [1, 6]. Dividendo trimestral de 0,44 USD desde abril de 2026 (+4,8 %), un 120 % más que tras la separación [4, 7]. Programa de recompra de 2.000 M aprobado en enero de 2025, con 1.300 M por usar a finales de 2025; en 2026 la empresa recompró 800 M en el primer semestre, todo lo previsto para el año [1, 4, 7]. Deuda: grado de inversión y emisión de 700 M en mayo de 2026 para refinanciar el bono en euros de diciembre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WeMaintain (Francia; mantenimiento con tecnología digital e IA), participación mayoritaria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papel comercial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Recién cerrada (abril de 2026): 142 M de fondo de comercio y 64 M de intangibles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Minoritarios de Otis Electric (China)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M de caja y 135 M de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100 %; simplifica China y reduce los minoritarios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Minoritarios de la filial de Japón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 la recompra de minoritarios en España, Japón, China e India desde 2020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del negocio de Rusia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Cargos de 28 M en 2022; 106 M de ventas fuera [8].</w:t>
            </w:r>
          </w:p>
        </w:tc>
      </w:tr>
    </w:tbl>
    <w:p>
      <w:pPr>
        <w:spacing w:after="160" w:before="0"/>
      </w:pPr>
    </w:p>
    <w:p>
      <w:pPr>
        <w:spacing w:after="100"/>
      </w:pPr>
      <w:r>
        <w:t xml:space="preserve">Desde la separación Otis ha devuelto 8.400 M USD (3.400 M en dividendos y 5.000 M en recompras), más que todo su flujo de caja libre, y ha financiado la diferencia con deuda [1]. Las recompras se hicieron a precios de 80-95 USD; con la acción hoy en 72 USD, no han creado valor para quien vendió, aunque sí redujeron las acciones de 433 M a 383 M (−12 %) [1, 4]. Las compras son pequeñas y de cartera, con poco riesgo; la recompra de minoritarios (China, Japón, España, India) sube la parte del beneficio que es del accionista. El fallo está en no haber guardado margen para el ciclo: con 3 veces de deuda neta sobre EBITDA y el beneficio a la baja en 2026, el ritmo de recompras (800 M) se mantiene igual que el de 2025.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Judith F. Marks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consejo, consejera delegada y presidenta ejecutiva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consejera delegada de Siemens USA y de Dresser-Rand. Llevó la separación de UTC en 2020, el giro al servicio y UpLift; desde la separación, rentabilidad total del 77 % y 8.400 M devueltos [25]. Se retira en el 1S27 (como tarde el 31-jul-2027)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Cristina Méndez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en 2024; ha presentado las dos rebajas de guía de 2026 [4,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Enrique Miñarro Viseras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Otis EMEA desde octubre de 2023; antes, Ingersoll Rand. Nombrado director de operaciones en enero de 2026; candidato interno natural a la sucesión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Sally Loh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Otis China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directora financiera y de operaciones de Otis China; lleva la reorganización de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Christopher J. Kearney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coordinador independiente y presidente del comité de sucesión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presidente y consejero delegado de SPX; dirige la búsqueda del nuevo consejero delegado con Spencer Stuart [25].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2,67-2,77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3,01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3,20-3,30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3,17 USD (dólar fuerte)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3,35-3,50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3,54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3,80-3,90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3,83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4,00-4,10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4,05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con subida «mid to high single digits» (≈ 4,25-4,40 USD); rebajada a 4,20-4,24 en abril y a 4,01-4,05 en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(3T26 el 28-oct)</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Hasta 2025 la dirección cumplió casi siempre su guía de BPA (cuatro de cinco años) [2]. 2026 rompe esa racha: dos rebajas en tres meses, desde un crecimiento de «mid to high single digits» hasta un BPA plano, por costes de servicio que la dirección no anticipó en enero [4]. La sucesión llega en mal momento: Marks se va en el 1S27, con búsqueda interna y externa; Miñarro, director de operaciones desde enero, es el candidato interno visible [25, 26]. La directora financiera lleva dos años. El riesgo es de ejecución en la transición, no de continuidad: el consejo tiene plan y fecha.</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Judith F. Marks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J. Kearney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sucesión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A. Bartlett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H. Black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Jill C. Brannon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Nelda J. Connors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Kathy Hopinkah Hannan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Margaret M. V. Preston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Shelley Stewart,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 H. Walker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17,22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desde enero de 2026 algunas filiales declaran por separado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(20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en 2026; ninguna compra [22, 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Judith F. Marks (consejera delegada)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102.887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Stephane de Montlivault (presidente Asia-Pacífico)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47.944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Nora E. LaFreniere (directora jurídica)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27.418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Neil Green (director digital)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P. Ryan (controller)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Thibault Lefebure (presidente EMEA)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Variable anual: objetivos financieros de la empresa (incluidos pedidos de equipo nuevo y modernización y, desde 2025, el crecimiento neto de la cartera de unidades en vez de las ventas orgánicas) con un multiplicador ESG [22]. Variable a largo plazo: acciones por objetivos (60 % BPA ajustado acumulado de tres años, resto crecimiento orgánico medio) con un multiplicador de 0,8-1,2 por la rentabilidad total relativa; desde 2026, tope del 100 % si la rentabilidad absoluta de tres años es negativa [22]. En 2024 Marks recibió 42,1 M USD con concesiones extraordinarias, y la junta de 2025 rechazó el voto consultivo (39,3 % a favor, 60,4 % en contra); el consejo cambió de asesores y en 2026 el voto se aprobó con un 93,6 % a favor [22, 23, 24]. Ratio frente al empleado medio: 286 veces. Hay cláusulas de recuperación (clawback) [22].</w:t>
      </w:r>
    </w:p>
    <w:p>
      <w:pPr>
        <w:pStyle w:val="Heading2"/>
      </w:pPr>
      <w:r>
        <w:t xml:space="preserve">Operaciones vinculadas, estructura de control y defensas</w:t>
      </w:r>
    </w:p>
    <w:p>
      <w:pPr>
        <w:spacing w:after="100"/>
      </w:pPr>
      <w:r>
        <w:t xml:space="preserve">Sin accionista de control: el mayor es Vanguard (12,6 %) y el resto es capital disperso e institucional [22]. Una acción, un voto; consejo elegido cada año por mayoría [23]. La presidenta del consejo es también consejera delegada, compensado con un consejero coordinador independiente con poderes amplios (aprueba agendas y dirige la sucesión) [22, 25]. Nueve de diez consejeros son independientes; la comisión de auditoría la preside un independiente [22]. Sin operaciones vinculadas relevantes. Con la retirada de Marks el consejo podría separar los cargos; no lo ha decidido [25].</w:t>
      </w:r>
    </w:p>
    <w:p>
      <w:pPr>
        <w:pStyle w:val="Heading2"/>
      </w:pPr>
      <w:r>
        <w:t xml:space="preserve">Señales de alerta</w:t>
      </w:r>
    </w:p>
    <w:p>
      <w:pPr>
        <w:pStyle w:val="ListParagraph"/>
        <w:numPr>
          <w:ilvl w:val="0"/>
          <w:numId w:val="2"/>
        </w:numPr>
        <w:spacing w:after="60"/>
      </w:pPr>
      <w:r>
        <w:t xml:space="preserve">Voto consultivo de retribución rechazado en 2025 (60,4 % en contra) por las concesiones extraordinarias de 2024; corregido en 2026 (93,6 % a favor) [22, 23, 24].</w:t>
      </w:r>
    </w:p>
    <w:p>
      <w:pPr>
        <w:pStyle w:val="ListParagraph"/>
        <w:numPr>
          <w:ilvl w:val="0"/>
          <w:numId w:val="2"/>
        </w:numPr>
        <w:spacing w:after="60"/>
      </w:pPr>
      <w:r>
        <w:t xml:space="preserve">Retirada de la consejera delegada anunciada el 15-sep-2026 tras dos rebajas de guía; sucesor por nombrar (1S27) [4, 25].</w:t>
      </w:r>
    </w:p>
    <w:p>
      <w:pPr>
        <w:pStyle w:val="ListParagraph"/>
        <w:numPr>
          <w:ilvl w:val="0"/>
          <w:numId w:val="2"/>
        </w:numPr>
        <w:spacing w:after="60"/>
      </w:pPr>
      <w:r>
        <w:t xml:space="preserve">Ventas de directivos por 17,2 M USD en 12 meses (9,3 M de la consejera delegada con plan 10b5-1), casi todas en febrero de 2026 a 86-92 USD; ninguna compra [27].</w:t>
      </w:r>
    </w:p>
    <w:p>
      <w:pPr>
        <w:pStyle w:val="ListParagraph"/>
        <w:numPr>
          <w:ilvl w:val="0"/>
          <w:numId w:val="2"/>
        </w:numPr>
        <w:spacing w:after="60"/>
      </w:pPr>
      <w:r>
        <w:t xml:space="preserve">Un despacho de abogados anunció en octubre de 2026 una investigación por posibles incumplimientos de deberes fiduciarios; sin demanda presentada que conste [28].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(22-jul-2026): ventas de 15.100-15.300 M USD, crecimiento orgánico «low to mid single digits» (equipo nuevo de −bajo a plano, servicio «mid to high single digits»), beneficio operativo ajustado de unos 2.400 M (−30 M a plano a tipos reales), BPA ajustado de 4,01-4,05 USD y FCF ajustado de 1.500-1.550 M [4]. Es la segunda rebaja: en enero preveía un BPA con subida de «mid to high single digits» y un beneficio operativo de 2.500-2.600 M, y en abril 4,20-4,24 USD [4]. Para el 3T26 la empresa anticipó beneficio operativo plano y BPA a la baja; para el 4T, vuelta al crecimiento con margen de servicio ≈ 25 %. Sin guía de 2027 ni objetivos a medio plazo vigentes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14 analistas [30]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15 analistas [30]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2.523</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7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73,00 – 105,00</w:t>
            </w:r>
          </w:p>
        </w:tc>
      </w:tr>
    </w:tbl>
    <w:p>
      <w:pPr>
        <w:spacing w:after="160" w:before="0"/>
      </w:pPr>
    </w:p>
    <w:p>
      <w:pPr>
        <w:pStyle w:val="Heading2"/>
      </w:pPr>
      <w:r>
        <w:t xml:space="preserve">Revisiones de estimaciones</w:t>
      </w:r>
    </w:p>
    <w:p>
      <w:pPr>
        <w:spacing w:after="100"/>
      </w:pPr>
      <w:r>
        <w:t xml:space="preserve">Recortes: el BPA de 2026 del consenso bajó de 4.2 USD hace 90 días a 4.04 y el de 2027 de 4.7 a 4.53, por la rebaja de guía de julio [30]. Los objetivos también bajan: Bernstein de 97 a 90 USD y Evercore de 100 a 95 (23-jul), Wells Fargo inicia con «infraponderar» y 77 USD (25-sep) y Morgan Stanley con «mantener» y 75 USD (20-oct) [30, 35]. Stock Analysis da el mismo objetivo medio (86,54 USD, 15 analistas) [34]. Solo una fuente gratuita (Yahoo) con estimaciones; sin consenso gratuito de 2028.</w:t>
      </w:r>
    </w:p>
    <w:p>
      <w:pPr>
        <w:pStyle w:val="Heading1"/>
      </w:pPr>
      <w:r>
        <w:t xml:space="preserve">16. Comportamiento en bolsa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bl>
    <w:p>
      <w:pPr>
        <w:spacing w:after="160" w:before="0"/>
      </w:pPr>
    </w:p>
    <w:p>
      <w:pPr>
        <w:spacing w:after="100"/>
      </w:pPr>
      <w:r>
        <w:t xml:space="preserve">Otis lleva cinco años por detrás del mercado: −1,7 % anual en cinco años frente a +12,7 % del S&amp;P 500 (SPY) y +11,5 % de los industriales (XLI), con dividendos [29]. Tras la separación cotizó con prima por su servicio recurrente (PER de 27,5 veces el beneficio del año siguiente a finales de 2021); desde entonces la caída del equipo nuevo en China le ha quitado crecimiento y el mercado ha dejado de pagar la prima. En 2026 cae un 16,1 % en el año por las dos rebajas de guía (abril y julio), la retirada de la consejera delegada (septiembre) y la caída del margen de servicio; tocó un mínimo de 63,58 USD el 2-oct-2026, el más bajo desde 2020 [4, 29]. Caída máxima del 37,2 % desde octubre de 2024. Beta de 0,90 (mensual, 5 años) y volatilidad del 22 % [29].</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 / +1,6 % / -7,7 % / -21,4 %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-23,2 % / +12,3 %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un día (18-mar) dentro de la corrección de marzo; la prensa la relaciona con rebajas de analistas y la presión técnica tras los resultados de enero; causa concreta no confirmada en tres búsquedas (8-K, Seeking Alpha, prensa) [35,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1T26 (22-abr): BPA de 0,89 USD por debajo de lo esperado, margen de servicio −160 pb, guía rebajada a 4,20-4,24, conflicto de Oriente Medio; Wolfe rebaja a «neutral» (8-abr) y Barclays y Wells Fargo bajan objetivos [4, 30,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rebaja de guía (22-jul: BPA 4,01-4,05), retirada de la consejera delegada (15-sep) y nuevas coberturas negativas (Wells Fargo «infraponderar», 25-sep); mínimo de 63,58 USD el 2-oct [4, 30,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Rebote desde el mínimo del 2-oct hasta 72,07 USD el 20-oct sin noticia de la empresa; coincide con compras de fondos de dividendos (ClearBridge entra en el 3T) y con la cercanía de los resultados; causa concreta no encontrada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el 28-oct-2026 antes de la apertura; la empresa anticipó beneficio operativo plano y BPA a la baja en el trimestre [4,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Morgan Stanley inicia cobertura con «mantener» y objetivo de 75 USD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despacho de abogados anuncia una investigación por posibles incumplimientos de deberes fiduciarios (habitual tras caídas; sin demanda presentada)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Wells Fargo inicia con «infraponderar» y 77 USD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Judith Marks se retirará como consejera delegada y presidenta en el 1S27; búsqueda interna y externa con Spencer Stuart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rebaja de la guía de 2026 (BPA 4,01-4,05 USD; FCF 1.500-1.550 M) por costes de servicio y retención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2026-02-05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directivos en febrero a 86-92 USD: la consejera delegada 9,3 M (plan 10b5-1), el presidente de Asia-Pacífico 4,4 M y la directora jurídica 2,5 M; ninguna compra en 12 meses [6 de la nota C].</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cae un 21 % en 12 meses y está un 23 % bajo su máximo de 52 semanas, con tendencia bajista (bajo la media de 200 sesiones) y un rebote del 12 % desde el mínimo del 2-oct [29]. Las causas están en el informe: dos rebajas de guía por el margen de servicio, China y la sucesión. No hay ningún hecho pendiente ajeno al análisis que pueda mover el precio más de un 5 % en contra (sin colocaciones, ampliaciones ni ofertas); los resultados del 28-oct no aplazan una decisión (regla 11). Las ventas de directivos fueron en febrero, a precios de 86-92 USD, tras la entrega de acciones, y la de la consejera delegada con plan 10b5-1: no son una señal de que «vende quien mejor conoce» a precios de hoy. Veredicto global: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 de cierre de cada año de Yahoo (OTIS cotiza desde el 3-abr-2020; 2019 no tiene precio) [29]. Con el BPA ajustado del año siguiente, el PER adelantado fue de 22,4 veces a finales de 2020, 27,5 en 2021, 22,1 en 2022, 23,4 en 2023, 22,9 en 2024 y 21,6 en 2025; hoy, con nuestro BPA de los próximos 12 meses, ronda las 16 veces. El descuento frente a su historia es grande y tiene causas: el crecimiento del BPA se ha frenado (plano en 2026), el margen de servicio baja, el equipo nuevo en China sigue cayendo y la deuda neta es de unas 3 veces el EBITDA. El mercado ha pasado de pagar a Otis como «servicio puro» a pagarla como industrial cíclico; KONE y Schindler, con caja neta y más crecimiento esperado, cotizan a 22-23 veces [30].</w:t>
      </w:r>
    </w:p>
    <w:p>
      <w:pPr>
        <w:pStyle w:val="Heading1"/>
      </w:pPr>
      <w:r>
        <w:t xml:space="preserve">18. Comparables cotizados</w:t>
      </w:r>
    </w:p>
    <w:p>
      <w:pPr>
        <w:pStyle w:val="Confianza"/>
        <w:spacing w:after="100"/>
      </w:pPr>
      <w:r>
        <w:t xml:space="preserve">Confianza: Media</w:t>
      </w:r>
    </w:p>
    <w:p>
      <w:pPr>
        <w:spacing w:after="100"/>
      </w:pPr>
      <w:r>
        <w:t xml:space="preserve">Los dos grandes de ascensores cotizados (KONE y Schindler) y el coreano Hyundai Elevator, que son los comparables puros; ASSA ABLOY (puertas y accesos con mucho servicio), Legrand (equipamiento eléctrico de edificios), Atlas Copco y Konecranes (bienes de equipo con base instalada y servicio recurrente) y Mitsubishi Electric (número uno en Japón y fuerte en China, pero conglomerado). Fuera: TKE (no cotiza), Fujitec (excluida de bolsa por EQT), Hitachi (ascensores pequeños dentro del grupo). Datos de Yahoo del 21-oct-2026 a las 14:44 UTC [30], convertidos a USD con sus tipos del momento: valor empresa y EBITDA de los últimos 12 meses publicado (no ajustado); PER de los próximos 12 meses = precio ÷ (2,3/12 del BPA de 2026e + 9,7/12 del de 2027e; Mitsubishi, ejercicio a marzo: 5,3/12 y 6,7/12); crecimiento = ventas de los próximos 12 meses frente a las de los últimos 12, anualizado a 15,7 meses (incluye divisa). Sin EV/EBITDA adelantado: Yahoo no da EBITDA estimado. Hyundai Elevator tiene muy pocos analistas: frágil.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Schindler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Hyundai Elevator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ASSA ABLOY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Atlas Copco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Konecranes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Mitsubishi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Legrand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 / 15,9x / 17,8x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 / 19,6x / 22,8x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14.911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 / 2,3x / 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104,63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spacing w:after="100"/>
      </w:pPr>
      <w:r>
        <w:t xml:space="preserve">La mediana del PER de los próximos 12 meses de los comparables es de 19,6 veces; Otis cotiza a unas 16 veces su propio BPA (15,9 con el consenso de Yahoo) [30]. Frente a KONE (22,4x) y Schindler (23,8x), el descuento es de unas 6-7 veces. Se justifica en parte: Otis tiene deuda neta de unas 3 veces el EBITDA cuando KONE y Schindler tienen caja, y su BPA de 2026 no crece. No se justifica por la calidad: su margen EBITDA (17,7 %) es el más alto de los ascensores y su servicio pesa lo mismo (65 %). Usaríamos el PER, no el EV/EBITDA, porque el EBITDA de Yahoo mezcla bases; el de valor empresa sí recoge la deuda de Otis. El descuento frente a los suyos es, en buena parte, la tesis.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TK Elevator (TKE)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KONE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33.011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29.400 M EUR de valor empresa (convertidos a USD al tipo de hoy) sobre las ventas (9.230 M EUR) y el EBITDA ajustado (1.617 M EUR) del ejercicio a sep-25 de TKE; con el EBITDA publicado, 20,2 veces. Sin sinergias [18].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thyssenkrupp Elevator Technology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Advent, Cinven y fundación RAG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19.313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17.200 M EUR; ventas de 7.960 M EUR y EBIT ajustado de 907 M en 2018/19 (19,0 veces el EBIT ajustado); EBITDA no publicado [18].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Hardware and Home Improvement (Spectrum Brands)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ASSA ABLOY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4.300 M USD; 14 veces el EBITDA ajustado esperado. Accesos residenciales, no ascensores: referencia de lo que se paga por negocios de edificios con marca [18].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Minoritarios de Otis Electric (China)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215 M USD por la parte minoritaria; múltiplo no publicado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WeMaintain (participación mayoritaria)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Mantenimiento digital en Francia; 170 M USD con 142 M de fondo de comercio; múltiplo no publicado [1].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102,09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81,97 – 102,28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dos operaciones grandes del sector se han pagado caras: 18,2 veces el EBITDA ajustado (KONE por TKE, 2026) y unas 19 veces el EBIT ajustado (Advent por TKE, 2020) [18]. Otis cotiza a unas 13,5 veces su EBITDA de los últimos 12 meses [30], un 25 % por debajo del precio de control de TKE. Una oferta por Otis es improbable por tamaño (35.000 M USD de valor empresa) y competencia: KONE ya está comprando TKE y la unión de cualquiera de los grandes con Otis no pasaría los reguladores. Las transacciones son referencia de valor, no catalizador; por eso pesan poco.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(+5,3 %, fijo) es la guía de ventas (≈ 15.200 M, orgánico de un dígito bajo a medio y ≈ 2 puntos de divisas y de WeMaintain) y el consenso (+6,1 %, 15.306 M) [4, 30]. 2027e +4,5 % (consenso +4,5 %: 16.001 M [30]); después, 4,0 % en 2028e-2029e y descenso hasta el 3,0 % en 2033e. Por encima del 1,6 % anual de las ventas publicadas de 2019-2025, que restan la venta de Rusia (2022), ≈ 6 puntos de divisas en 2022 y la caída del equipo nuevo en China (ventas con origen en China de 2.444 M en 2023 a 1.650 M en 2025) [1, 11]; en orgánico, Otis creció un 3,3 % de media en 2021-2025 (8,9 %, 2,5 %, 5,6 %, 1,4 % y 0 %) y el servicio un 5-8 % al año [2, 11]. El mercado mundial crece un 3,9 % anual hasta 2030 según Roland Berger [15]: la proyección (3,6 % medio en 2027e-2033e) va algo por debajo.</w:t>
      </w:r>
    </w:p>
    <w:p>
      <w:pPr>
        <w:keepNext/>
        <w:spacing w:after="100"/>
      </w:pPr>
      <w:r>
        <w:rPr>
          <w:b/>
          <w:bCs/>
        </w:rPr>
        <w:t xml:space="preserve">Márgenes.</w:t>
      </w:r>
    </w:p>
    <w:p>
      <w:pPr>
        <w:spacing w:after="100"/>
      </w:pPr>
      <w:r>
        <w:t xml:space="preserve">Margen EBITDA = resultado operativo ajustado + amortizaciones − la reestructuración que se repite (40-77 M al año): 17,7 % en 2025, 16,6 % en 2026e (guía de ≈ 2.400 M de resultado operativo ajustado, con el margen de servicio del 2T26 en 23,2 % y la China en caída) [4, 6]. Sube al 17,3 % en 2027e y al 18,4 % en 2031e por la mezcla: el servicio (25 % de margen) pasa del 65 % al ≈ 70 % de las ventas y China pesa menos en el equipo nuevo; la dirección promete un margen de servicio de ≈ 24,5 % en el 3T26 y ≈ 25 % en el 4T26 [6]. Es solo 0,7 puntos por encima del margen de 2024-2025: no supone una mejora estructural nueva.</w:t>
      </w:r>
    </w:p>
    <w:p>
      <w:pPr>
        <w:keepNext/>
        <w:spacing w:after="100"/>
      </w:pPr>
      <w:r>
        <w:rPr>
          <w:b/>
          <w:bCs/>
        </w:rPr>
        <w:t xml:space="preserve">Inversión y circulante.</w:t>
      </w:r>
    </w:p>
    <w:p>
      <w:pPr>
        <w:spacing w:after="100"/>
      </w:pPr>
      <w:r>
        <w:t xml:space="preserve">Inversión del 1,2 % de las ventas (150-180 M al año en 2021-2025 [1]) y amortización del 1,15 % (175 M en 2025). Circulante operativo, con los activos y pasivos por contrato, del 1,7 % de las ventas, igual que en 2025 (1,2-2,7 % en 2019-2025) [1]: crecer apenas consume caja. Las compras pequeñas de carteras de mantenimiento (WeMaintain, 170 M en 2026) no se proyectan: su efecto ya está en 2026e.</w:t>
      </w:r>
    </w:p>
    <w:p>
      <w:pPr>
        <w:keepNext/>
        <w:spacing w:after="100"/>
      </w:pPr>
      <w:r>
        <w:rPr>
          <w:b/>
          <w:bCs/>
        </w:rPr>
        <w:t xml:space="preserve">Coste del capital.</w:t>
      </w:r>
    </w:p>
    <w:p>
      <w:pPr>
        <w:spacing w:after="100"/>
      </w:pPr>
      <w:r>
        <w:t xml:space="preserve">Tasa libre del 5,12 % (bono del Tesoro a 10 años, 20-oct-2026 [31]); beta de 0,90, la mensual a 5 años frente al S&amp;P 500 [29] (la semanal a 2 años es de 0,49; usamos la más alta); prima del 5,0 %; coste de la deuda del 5,0 % antes de impuestos (la última emisión, de mayo de 2026, pagó un 4,488 % a 2029 [14]); peso de la deuda del 23,5 % a valor de mercado (8.436 M de deuda frente a ≈ 27.500 M de capitalización). WACC del 8,25 %. Con la prima implícita del mercado (4,2 % [32]) el WACC baja al 7,7 % y el DCF sube a 86,19 USD.</w:t>
      </w:r>
    </w:p>
    <w:p>
      <w:pPr>
        <w:keepNext/>
        <w:spacing w:after="100"/>
      </w:pPr>
      <w:r>
        <w:rPr>
          <w:b/>
          <w:bCs/>
        </w:rPr>
        <w:t xml:space="preserve">Valor terminal.</w:t>
      </w:r>
    </w:p>
    <w:p>
      <w:pPr>
        <w:spacing w:after="100"/>
      </w:pPr>
      <w:r>
        <w:t xml:space="preserve">Crecimiento a perpetuidad del 2,5 %: el parque instalado crece con la urbanización y envejece, y el mantenimiento se indexa a salarios. El múltiplo de salida implícito queda en 12,5 veces el EBITDA, por debajo de los 14,3 a los que cotiza Otis hoy y de los 15,4 de Schindler y 18,0 de KONE [30]. El valor terminal pesa un 68 %.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100,31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 (reinvierte el 10 %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 (histórico: 100,0 %)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frente al 3,9 %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 (hoy: 13,1 %)</w:t>
            </w:r>
          </w:p>
        </w:tc>
      </w:tr>
    </w:tbl>
    <w:p>
      <w:pPr>
        <w:spacing w:after="160" w:before="0"/>
      </w:pPr>
    </w:p>
    <w:p>
      <w:pPr>
        <w:spacing w:after="100"/>
      </w:pPr>
      <w:r>
        <w:t xml:space="preserve">La proyección apenas necesita inversión neta de la amortización (reinversión acumulada de 153 M, el 1 % del NOPAT, con un capex bruto medio del 1,2 % de las ventas). En un negocio de activos ligeros, el crecimiento medio del 3,9 % tiene que salir de subir precios y de ganar volumen sin capital nuevo, y la prueba es el poder de precios y la cuota (13,4 % del mercado en 2030e, frente al 13,1 %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[4]: volumen casi plano (cartera de mantenimiento +3 %, reparación +12 % y modernización +24 % frente a equipo nuevo en China cayendo a ritmo de «high teens»), precio del 2,5 % (mantenimiento +3 %) y 2,3 puntos de divisas y de WeMaintain.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2 % (cartera de mantenimiento +3 %, modernización con cartera +26 % y equipo nuevo sin China creciendo; China ya estabilizada en un nivel bajo) y precio del 2,5 %; consenso +4,5 % [30].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1,5 % y precio del 2,5 %; China deja de restar.</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1,5 % y precio del 2,5 %: mantenimiento y modernización de un parque que envejece.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1 % y precio del 2,5 %: converge con el mercado (3,9 % anual según Roland Berger [15]).</w:t>
            </w:r>
          </w:p>
        </w:tc>
      </w:tr>
    </w:tbl>
    <w:p>
      <w:pPr>
        <w:spacing w:after="160" w:before="0"/>
      </w:pPr>
    </w:p>
    <w:p>
      <w:pPr>
        <w:spacing w:after="100"/>
      </w:pPr>
      <w:r>
        <w:t xml:space="preserve">El crecimiento proyectado (3,6 % medio en 2027e-2033e) queda por debajo del mercado (3,9 % anual hasta 2030 [15]) y del orgánico de Otis en 2021-2025 (3,3 %), y la cuota implícita en 2030e (13,4 %) apenas cambia frente al 13,1 % de hoy. Lo financia el negocio sin capital nuevo: la reinversión neta es casi nula y el ROIC operativo (59 %) es de los más altos de la industria. El foso es la cartera de 2,5 millones de unidades en mantenimiento, con densidad de rutas y contratos que se renuevan solos, y el poder de precios está demostrado (mantenimiento +3-4 % de precio al año). La retención bajó en América en 2026 y el equipo nuevo en China no ha tocado fondo: lo recoge el bajista. Las tres pruebas del motor pasan.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 (base: 3,6 %)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17,7 % (base: 18,4 %)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(WACC: 8,3 %)</w:t>
            </w:r>
          </w:p>
        </w:tc>
      </w:tr>
    </w:tbl>
    <w:p>
      <w:pPr>
        <w:spacing w:after="160" w:before="0"/>
      </w:pPr>
    </w:p>
    <w:p>
      <w:pPr>
        <w:spacing w:after="100"/>
      </w:pPr>
      <w:r>
        <w:t xml:space="preserve">El DCF da 75,80 USD por acción, un 5,2 % sobre el precio, con un WACC del 8,25 % y un valor terminal que pesa el 68 %. El DCF inverso dice que el precio descuenta un crecimiento del 3,0 % anual en 2027e-2033e con nuestro margen (o un margen final del 17,7 % con nuestro crecimiento), frente al 3,6 % de nuestro caso base y al 3,3 % orgánico de 2021-2025: el mercado descuenta casi exactamente el pasado reciente, sin pagar por la mejora del margen de servicio. Es una expectativa conservadora para una empresa con un 65 % de ingresos recurrentes, pero el margen de seguridad es pequeño. Con la prima de riesgo que hoy pide el mercado (4,2 %) vale 86,19 USD (+19,6 %). El bajista (crecimiento −1,5 puntos y margen −1,5 puntos: China sin fondo, retención a la baja y precios presionados por KONE-TKE e independientes) vale 49,61 USD (−31 %): la deuda (3 veces el EBITDA) amplifica la caída del valor del negocio.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equipo nuevo en China sigue cayendo dos años más, la retención de contratos de mantenimiento en América y Europa empeora frente a independientes y a una KONE-TKE más grande, y el margen de servicio no vuelve al 25 %: crecimiento 1,5 puntos menor y margen 1,5 puntos menor, como el margen operativo ajustado de 2020 (15,0 %) [11].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+5,3 % en 2026e y +3-4,5 % después, con el servicio creciendo al 5-6 % y el equipo nuevo plano; margen EBITDA del 16,6 % al 18,4 % por la mezcla y la recuperación del margen de servicio prometida para el 2S26.</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86,33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se estabiliza en 2027, la modernización (cartera +26 %) se convierte en ventas y la productividad del servicio con herramientas digitales sube el margen: un punto más de crecimiento y 0,8 puntos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72,0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71,89 USD (-0,2 %).</w:t>
      </w:r>
    </w:p>
    <w:p>
      <w:pPr>
        <w:spacing w:after="100"/>
      </w:pPr>
      <w:r>
        <w:t xml:space="preserve">La asimetría es desfavorable en el valor intrínseco: el alcista vale 86,33 USD (+19,8 %) y el bajista 49,61 (−31,2 %), 0,63 veces. La deuda neta (7.623 M, 3 veces el EBITDA) y un valor terminal del 68 % amplifican un margen 1,5 puntos menor. Con estos pesos el valor ponderado de los escenarios (71,89 USD) coincide con el precio: el valor intrínseco no da margen de seguridad y la rentabilidad a 12 meses viene del múltiplo, que hoy está muy por debajo de su historia.</w:t>
      </w:r>
    </w:p>
    <w:p>
      <w:pPr>
        <w:pStyle w:val="Heading1"/>
      </w:pPr>
      <w:r>
        <w:t xml:space="preserve">22. Suma de partes</w:t>
      </w:r>
    </w:p>
    <w:p>
      <w:pPr>
        <w:pStyle w:val="Confianza"/>
        <w:spacing w:after="100"/>
      </w:pPr>
      <w:r>
        <w:t xml:space="preserve">Confianza: Media</w:t>
      </w:r>
    </w:p>
    <w:p>
      <w:pPr>
        <w:spacing w:after="100"/>
      </w:pPr>
      <w:r>
        <w:t xml:space="preserve">No aplica como método de valoración: equipo nuevo y servicio son el mismo negocio (el equipo instalado alimenta la cartera de mantenimiento, con la misma red de delegaciones y mecánicos) y no se venderían por separado. Como referencia de dónde está el valor: el servicio da el 91 % del resultado de los segmentos (2.374 de 2.614 M en 2025) [1]; a 15 veces su resultado (un múltiplo prudente para un negocio recurrente) valdría ≈ 35.600 M, casi todo el valor de empresa de hoy (36.111 M). El mercado regala el equipo nuevo.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72,0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75,87 USD (+5,3 % sobre 72,07).</w:t>
      </w:r>
    </w:p>
    <w:p>
      <w:pPr>
        <w:spacing w:after="100"/>
      </w:pPr>
      <w:r>
        <w:t xml:space="preserve">Pesos: DCF 45 %, escenarios 40 % y comparables 15 %. El DCF es el método más fiable para un negocio de servicio recurrente, pero depende de la tasa: con la prima del mercado, +19,6 %. Los escenarios recogen la asimetría (bajista −31 %, alcista +20 %). Los comparables pesan poco: Schindler y KONE cotizan a 22-24 veces el BPA por su caja neta y su crecimiento en China histórico, y la mediana (19,6 veces) incluye fabricantes industriales [30]; frente a ellos Otis cotiza a 16,4 veces, el mayor descuento desde su salida a bolsa. Las transacciones (KONE-TKE a ≈ 3 veces las ventas; Advent-TKE en 2020) no pesan porque son compras de control con sinergias [18]. El valor objetivo de la síntesis es de 75,87 USD (+5,3 %), y el rango del DCF con ± 0,5 puntos (63,29-93,50) muestra que el precio está en la mitad baja. El puente resta 675 M de minoritarios a valor de mercado, 213 M de pensiones y 98 M de financiación de proveedores a 240 días.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(16.4x) × 1.1 (tope: la mediana de 5 años, 22.9x,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121,16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+70,5 %</w:t>
            </w:r>
          </w:p>
        </w:tc>
      </w:tr>
    </w:tbl>
    <w:p>
      <w:pPr>
        <w:spacing w:after="160" w:before="0"/>
      </w:pPr>
    </w:p>
    <w:p>
      <w:pPr>
        <w:spacing w:after="100"/>
      </w:pPr>
      <w:r>
        <w:rPr>
          <w:b/>
          <w:bCs/>
        </w:rPr>
        <w:t xml:space="preserve">Objetivo a 12 meses (ponderado):</w:t>
      </w:r>
      <w:r>
        <w:t xml:space="preserve"> 88,88 USD · rentabilidad +25,7 % (base +23,0 %) · señal Comprar.</w:t>
      </w:r>
    </w:p>
    <w:p>
      <w:pPr>
        <w:spacing w:after="100"/>
      </w:pPr>
      <w:r>
        <w:t xml:space="preserve">Para comparar, con la regla v2 (historia al cierre, mismo precio): 13,9x / 16,4x / 21,3x, 16,0 % Comprar; con el tope anterior del base (×1,3, 14-oct mediodía): 32,0 %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de 2026e (4,04 USD) coincide con el consenso (4,04) y con la parte alta de la guía (4,01-4,05) [4, 30]; el de 2027e (4,47) queda un 1,3 % por debajo (4,53) porque no incluye recompras nuevas (Otis recompra 800-1.000 M al año: ≈ 2,5 puntos de BPA anuales). No hay consenso publicado gratis para 2028e. El consenso viene bajando (4,20 hace 90 días para 2026 y 4,70 para 2027): las dos rebajas de guía de 2026 están dentro. Nuestro base (86,94 USD) coincide con el objetivo medio de los analistas (86,54, 15 analistas); la diferencia está en el PER: la regla común solo lo lleva de 16,4 a 18,0 veces por el tope de ×1,1, lejos de la mediana adelantada de cinco años (22,9).</w:t>
      </w:r>
    </w:p>
    <w:p>
      <w:pPr>
        <w:keepNext/>
        <w:spacing w:after="100"/>
      </w:pPr>
      <w:r>
        <w:rPr>
          <w:b/>
          <w:bCs/>
        </w:rPr>
        <w:t xml:space="preserve">Del valor intrínseco al objetivo a 12 meses.</w:t>
      </w:r>
    </w:p>
    <w:p>
      <w:pPr>
        <w:spacing w:after="100"/>
      </w:pPr>
      <w:r>
        <w:t xml:space="preserve">El objetivo a 12 meses (88,88 USD, ponderado) queda un 23,3 % sobre el precio (+25,7 % con dividendo) y el base (86,94 USD) un +23,0 % con dividendo; el valor intrínseco (75,87 USD) queda un 5,3 % por encima. El base supone que el BPA ajustado crece un 9,2 % anual hasta 2028e y que el PER sube de 16,4 a 18,0 veces, el tope de ×1,1 en el camino hacia la mediana de cinco años (22,9). El bajista (60,48) es un BPA un 13 % menor a 14,4 veces. La regla da Comprar, pero no es compra robusta: con el BPA un 10 % menor la ponderada baja al 13,4 % y el base al 11,0 % (piden 15 % y 12 %), y la regla v2 de control (historia al cierre) da 16,0 % y 12,3 %: nivel B1. El precio que hace la compra robusta (nivel A) es de 71,09 USD, un 1,4 % por debajo del cierre del 20-oct. Para vender (ponderada ≤ −10 %), un precio por encima de ≈ 100,6 USD.</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(8:30 ET)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recuperación del margen de servicio prometida (≈ 24,5 %) y de la guía de BPA de 4,01-4,05 USD; retención de la cartera de mantenimiento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2027 frente a los 4,53 USD del consenso; margen de servicio del 4T (≈ 25 % prometido)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del nuevo consejero delegado (Judith Marks se retira como tarde el 31-jul-2027)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Continuidad (Enrique Miñarro, director de operaciones desde enero) o cambio de estrategia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las autoridades de competencia sobre la compra de TK Elevator por KONE (investigación de la CMA británica y de la Comisión Europea)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rival más grande en mantenimiento; posibles desinversiones de carteras que Otis podría comprar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Estímulos a la vivienda en China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la caída del equipo nuevo en China (obra iniciada −23,4 % en el 1S26 [16])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 800 M USD en 2026) y dividendo trimestral de 0,44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+2-2,5 % de BPA al año y 2,4 % de rentabilidad por dividendo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Equipo nuevo en China: obra iniciada −23,4 % e inversión inmobiliaria −18 % en el 1S26; ventas de Otis en China de 2.444 M en 2023 a 1.650 M en 2025 y otra caída de «high teens» en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ya es solo el 11 % de las ventas y menos aún del resultado; la cartera instalada en China alimenta el servicio [1, 16]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equipo nuevo en China cayendo más de un 20 % en el 3T-4T26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 retención de la cartera de mantenimiento a la baja en América, margen del 2T26 en 23,2 % (−170 pb) y menos subidas de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millones de unidades, cartera +3 %; Otis renuncia a micro-subidas de precio para retener y dedica 50 M a calidad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servicio por debajo del 24 % en el 3T26 o cartera de unidades creciendo menos del 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KONE + TK Elevator (≈ 23.000 M USD de ventas) pasaría a ser el número uno en unidades mantenidas; Schindler con caja neta; independientes y plataformas digitales en mantenimiento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años de integración y posibles desinversiones; Otis compra plataformas (WeMaintain, 170 M) [5,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cuota en contratos grandes de mantenimiento en Europa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y patrimonio negativo: deuda neta de 7.623 M (3 veces el EBITDA) con tipos al 5 %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 escalonados (695 M en 2026, 1.499 M en 2027), coste medio del 3,1 %, grado de inversión y flujo libre de ≈ 1.500 M al año [1,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3,5 veces el EBITDA o rebaja de calificación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la consejera delegada y presidenta se retira en el 1S27 tras dos rebajas de guía en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sucesión anunciado y director de operaciones nombrado en enero (Enrique Miñarro) [25, 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Sucesor externo con cambio de estrategia o «año de limpieza» con cargos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Fiscal de la separación y litigios: la escisión de 2020 podría considerarse gravable; disputa con RTX por el litigio fiscal alemán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Litigios y 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fiscal con RTX y Carrier que reparte la responsabilidad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Requerimiento del IRS sobre la separación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directivos (17,2 M USD en 12 meses, ninguna compra), casi todas a 90-92 USD en febrero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Señal, no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parte con plan 10b5-1 y tras la entrega de acciones [27]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 los precios actuales (≈ 70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mantenimiento predictivo y plataformas digitales que abaratan el servicio independiente y quitan precio a los contratos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servicio es un mecánico certificado delante de una máquina; Otis tiene su propia plataforma de equipos conectados (Otis ONE) y usa la IA para productividad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Independientes con IA ganando contratos grandes con precios un 20-30 % menores</w:t>
            </w:r>
          </w:p>
        </w:tc>
      </w:tr>
    </w:tbl>
    <w:p>
      <w:pPr>
        <w:spacing w:after="160" w:before="0"/>
      </w:pPr>
    </w:p>
    <w:p>
      <w:pPr>
        <w:pStyle w:val="Heading2"/>
      </w:pPr>
      <w:r>
        <w:t xml:space="preserve">Pre-mortem</w:t>
      </w:r>
    </w:p>
    <w:p>
      <w:pPr>
        <w:spacing w:after="100"/>
      </w:pPr>
      <w:r>
        <w:t xml:space="preserve">Octubre de 2027: la acción ha perdido un 30 %. No fue China, que ya estaba en el precio, sino el servicio: el margen no volvió al 25 % en el 4T26 porque la retención siguió cayendo en América y Europa, y para frenarla Otis renunció a las subidas de precio que sostenían el beneficio. KONE, ya con TK Elevator, salió a por los contratos grandes de mantenimiento con precio, y los independientes con herramientas digitales se quedaron los pequeños. El nuevo consejero delegado, externo, hizo un año de limpieza con cargos y bajó la guía de 2027 por debajo de 4,30 USD; con 3 veces el EBITDA de deuda, el mercado dejó de ver a Otis como una renta segura y el PER se quedó en 14-15 veces.</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±3 % a 3-5 años</w:t>
      </w:r>
    </w:p>
    <w:p>
      <w:pPr>
        <w:spacing w:after="100"/>
      </w:pPr>
      <w:r>
        <w:t xml:space="preserve">La IA no sustituye lo que hace Otis: instalar y mantener máquinas reguladas que mueven personas, con mecánicos certificados, piezas propias y responsabilidad legal. Le ayuda: el mantenimiento predictivo con sensores (Otis ONE) reduce visitas y averías y sube la productividad de los 37.000 mecánicos, y la dirección ya la usa para fijar precios y rutas (en 2026 frenó las micro-subidas de precio que el sistema proponía porque dañaban la retención, ≈ 20 M menos de ventas [6]). El riesgo es que la misma tecnología abarate el servicio de los independientes y de plataformas como WeMaintain (que Otis compró por eso) y quite precio a los contratos: exposición baja y sentido mixto, ±3 % del valor en 3-5 años.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con cifras. Seguridad laboral: con 45.000 empleados de campo, los accidentes son el principal riesgo humano y reputacional; Otis la sitúa como primer «absoluto» y la cultura de servicio la mide por retención [6, 21]. Eficiencia energética: los ascensores con variador regenerativo y los equipos modernizados consumen menos, lo que convierte la descarbonización de edificios en un motor de la modernización [1]. Gobierno de la remuneración: el voto consultivo sobre retribución se rechazó en 2025 (39 % a favor) por las concesiones extraordinarias de 2024 [22].</w:t>
      </w:r>
    </w:p>
    <w:p>
      <w:pPr>
        <w:pStyle w:val="Heading2"/>
      </w:pPr>
      <w:r>
        <w:t xml:space="preserve">Controversias</w:t>
      </w:r>
    </w:p>
    <w:p>
      <w:pPr>
        <w:spacing w:after="100"/>
      </w:pPr>
      <w:r>
        <w:t xml:space="preserve">Sin sanciones relevantes encontradas en tres años en los documentos leídos. Pasivos menores por amianto (11-31 M USD hasta 2059) y litigios de 18-21 M en 2024-2025 fuera del curso ordinario [1]. En octubre de 2026 un despacho anunció una «investigación» por posibles incumplimientos de deberes fiduciarios, sin demanda conocida.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fue la tasa de retención de la cartera de mantenimiento en América y Europa en el 3T26 y cuántas unidades se perdieron frente a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escenario bajista (−31 %): el valor está en el servicio.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servicio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 170 pb del margen de servicio del 2T26 es temporal (30 M de costes de productividad) y qué parte es precio cedido para retener?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recuperación al 25 % prometida para el 4T sostiene el BPA de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unidades de equipo nuevo vende Otis en China hoy frente a 2021 y qué margen tiene ese negocio?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Saber si queda caída por delante o si el negocio ya pesa poco en el resultado.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Enrique Miñarro el sucesor elegido y mantendrá la estrategia de servicio y recompras?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sucesión coincide con la guía de 2027 y un año de limpieza bajaría el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KONE-TKE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carteras de mantenimiento tendría que vender la nueva KONE-TKE y piensa Otis pujar por ellas?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oportunidad de compra de cartera o una amenaza de precios.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nivel de deuda neta sobre EBITDA quiere la empresa con un BPA que ha dejado de crecer en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recompras financiadas con deuda sostienen el BPA, pero la deuda ya es de 3 veces el EBITDA.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($OTIS)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Diez mensajes marcados alcistas y uno bajista, pero muchos sin marcar hablan de «trampa de valor», «dinero muerto» y mínimos de cuatro años en septiembre; en octubre aparecen compras iniciales con la tesis de «franquicia de servicio a precio deprimido»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Artículos alcistas («dupliqué tras caer un 22 %», «potencial difícil de ignorar») frente a escépticos («el servicio es fuerte pero la deuda importa», «falta ver la expansión de margen», «¿se justifica la prima?»)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 (artículo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la segunda rebaja de guía, la lectura es que la historia de servicio sigue, pero el mercado no pagará hasta ver el margen [36].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Trampa de valor o franquicia barata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de ≈ 16 veces es el más bajo de su historia y de los grandes del sector; los datos apoyan que la franquicia sigue (servicio +9 % orgánico en el 2T26), pero el beneficio de 2026 no crece [38, 39].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servicio y retención de clientes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margen −170 pb en el 2T26 y retención a la baja en América; la dirección promete ≈ 25 % en el 4T, que es el dato a vigilar el 28-oct [36, 39].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 3 veces el EBITDA y patrimonio negativo por recompras; el riesgo es de flexibilidad, no de solvencia (grado de inversión) [39].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IA no sustituye a un ascensor»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Cierto para el producto; la IA toca el mantenimiento y los precios, donde Otis la usa y donde puede dar armas a independientes digitales [38].</w:t>
            </w:r>
          </w:p>
        </w:tc>
      </w:tr>
    </w:tbl>
    <w:p>
      <w:pPr>
        <w:spacing w:after="160" w:before="0"/>
      </w:pPr>
    </w:p>
    <w:p>
      <w:pPr>
        <w:spacing w:after="100"/>
      </w:pPr>
      <w:r>
        <w:t xml:space="preserve">El sentimiento de los particulares pasó de la capitulación de septiembre («dinero muerto», mínimos de cuatro años) a compras iniciales en octubre, y los autores de Seeking Alpha están divididos entre «franquicia barata» y «trampa de valor» [38, 39]. Los analistas también están partidos (7 comprar, 7 mantener, 1 vender) y con objetivos a la baja. No hay euforia que temer; la preocupación dominante, el margen de servicio, es la misma que la del informe. No aporta ningún riesgo nuevo. Opiniones, no datos: ninguna cifra sale de aquí.</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21 controles correctos. Fuentes: 40 (24 primarias); citas distintas en el texto: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13,4 % en 2030e frente al 13,1 %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1,7 % frente a 1,7 % real: genera una variación de circulante de 11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fuentes (24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9, 13.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y consenso de 3T24-2T25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3T25 y 4T25 (solo dan el trimestre comparable, sin crecimiento del año anterior); 2) titulares de Seeking Alpha (solo desde abr-26); 3) Yahoo (no guarda el consenso previo)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 segmento de 2021 en la segmentación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2024 (reexpresa solo 2022); 2) 10-K 2023 (2021 en la segmentación antigua, con Rusia y otro reparto de costes); 3) 10-K 2021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proxy 2026 (no dan calificaciones); 2) búsqueda de MSCI y Sustainalytics (de pago); 3) informe de sostenibilidad (no descargado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Roland Berger (solo 2025 y 2030); 2) ficha sectorial (mismo dato); 3) Credence Research (perímetro distinto)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(solo 2026 y 2027); 2) MarketScreener (WebFetch no abre la página de finanzas); 3) Stock Analysis (2027 y 2028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causa de la caída del 18-mar-2026 y del rebote de octubre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 marzo y octubre (no hay); 2) titulares de Seeking Alpha (nada ese día); 3) búsquedas de prensa (solo atribuciones genéricas)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2025: cuentas consolidadas, segmentos, ventas por tipo y país, deuda, pensiones, reestructuración (UpLift), contingencias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Otis Worldwide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https://www.sec.gov/Archives/edgar/data/1781335/000178133526000011/otis-20251231.htm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Otis Reports Fourth Quarter and Full Year 2025 Results (conciliación GAAP-ajustado, segmentos,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Otis Worldwide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https://www.sec.gov/Archives/edgar/data/1781335/000178133526000004/a2025-12x318xkerexhibit99.htm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Reports First Quarter 2026 Results (guía rebajada a 4,20-4,24 USD de BPA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Worldwide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https://www.sec.gov/Archives/edgar/data/1781335/000178133526000072/a2026-03x318xkerexhibit99.htm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Reports Second Quarter 2026 Results (cuenta, balance y flujos del semestre; guía rebajada a 4,01-4,05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Worldwide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https://www.sec.gov/Archives/edgar/data/1781335/000178133526000110/a2026-06x308xkerexhibit99.htm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2T26 (30-jun-2026): deuda, WeMaintain, litigio fiscal alemán, financiación de proveedores, acciones en circulación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Worldwide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https://www.sec.gov/Archives/edgar/data/1781335/000178133526000113/otis-20260630.htm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Earnings Call, transcripción corregida (FactSet CallStreet)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Worldwide Corporation (relación con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https://s203.q4cdn.com/227649559/files/doc_financials/2026/q2/2Q26-Otis-Earnings-Transcript.pdf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Earnings Call, transcripción corregida (FactSet CallStreet)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Worldwide Corporation (relación con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https://s203.q4cdn.com/227649559/files/doc_financials/2026/q1/1Q26-Otis-Earnings-Transcript.pdf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del ejercicio 2024 (segmentos de 2022 reexpresados sin Rusia)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Worldwide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https://www.sec.gov/Archives/edgar/data/1781335/000178133525000010/otis-20241231.htm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del ejercicio 2023 (coste de productos y servicios 2021-2023)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Worldwide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https://www.sec.gov/Archives/edgar/data/1781335/000178133524000013/otis-20231231.htm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del ejercicio 2021 (segmentos y coste de 2019-2021, separación de UTC)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Worldwide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https://www.sec.gov/Archives/edgar/data/1781335/000178133522000007/otis-20211231.htm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del 4T y del ejercicio 2020 a 2024 (beneficio operativo y BPA ajustados, guías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Worldwide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https://www.sec.gov/Archives/edgar/data/1781335/000178133525000004/a2024-12x318xkerexhibit99.htm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Reports Third Quarter 2025 Results (cartera de mantenimiento +4 %)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Worldwide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https://www.sec.gov/Archives/edgar/data/1781335/000178133525000046/a2025-09x308xkerexhibit99.htm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Otis Worldwide (series anuales de cuenta, balance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https://data.sec.gov/api/xbrl/companyfacts/CIK0001781335.json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emisión de 700 M USD al 4,488 % con vencimiento en 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Worldwide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https://www.sec.gov/Archives/edgar/data/1781335/000114036126019547/ef20072421_8k.htm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Elevator Market Outlook 2030 – Spring 2026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Roland Berger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https://www.rolandberger.com/en/Insights/Publications/Elevator-Market-Outlook-2030-Spring-2026-update.html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Investment in Real Estate Development from January to 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Bureau of Statistics of China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https://www.stats.gov.cn/english/PressRelease/202607/t20260717_1964157.html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Ascensores y escaleras mecánicas: ficha sectorial corta (perímetro, tamaño, cuotas,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(sectores/ascensores-2026-10-14.md)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sectores/ascensores-2026-10-14.md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análisis value del 18-oct-2026 (cuentas de KONE, Schindler, TKE, Hitachi y Mitsubishi Electric de sus informes oficiales; operación KONE-TKE)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(informes/kone-2026-10-18)</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informes/kone-2026-10-18/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análisis value del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(informes/schindler-2026-10-14)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informes/schindler-2026-10-14/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 TK Elevator merger inquiry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Competition and Markets Authority (GOV.UK)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https://www.gov.uk/cma-cases/kone-slash-tk-elevator-merger-inquiry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Implements Long-Standing CEO Succession Plan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Worldwide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https://www.sec.gov/Archives/edgar/data/1781335/000114036126036566/ef20081992_ex99-1.htm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sostenibilidad y métricas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Worldwide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https://www.sec.gov/Archives/edgar/data/1781335/000114036126015389/ny20061782x1_def14a.htm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2026 (27-may-2026)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Worldwide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https://www.sec.gov/Archives/edgar/data/1781335/000178133526000102/otis-20260527.htm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2025 (15-may-2025; voto consultivo de retribución rechazado)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Worldwide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https://www.sec.gov/Archives/edgar/data/1781335/000178133525000024/otis-20250515.htm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retirada de Judith Marks (consejera delegada y presidenta) en 2027 y acuerdo de transición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Worldwide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https://www.sec.gov/Archives/edgar/data/1781335/000114036126036566/ef20081992_8k.htm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Enrique Miñarro Viseras como director de operaciones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Worldwide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https://www.sec.gov/Archives/edgar/data/1781335/000114036126001569/ef20063351_8k.htm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Formularios 4 de directivos y consejeros (21-oct-2025 a 21-oct-2026),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https://www.sec.gov/cgi-bin/browse-edgar?action=getcompany&amp;CIK=0001781335&amp;type=4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Noticias de 12 meses de Otis clasificadas (herramientas/noticias.mjs: Reuters, CNBC, Pluang, Simply Wall 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Varios (agregado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https://www.reuters.com/business/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OTIS, SPY y XLI hasta el 20-oct-2026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https://finance.yahoo.com/quote/OTIS/history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y comparables: consenso de BPA y ventas, objetivos, recomendaciones, valor empresa, EBITDA (quoteSummary, 21-oct-2026 14:44 UTC)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https://finance.yahoo.com/quote/OTIS/analysis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5,12 %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Third Quarter 2026 Earnings Advisory (resultados el 28-oct-2026)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Worldwide Corporation (PR Newswire, copia en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https://finviz.com/news/399693/otis-third-quarter-2026-earnings-advisory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Worldwide stock forecast (objetivo medio de 86,54 USD, 15 analistas,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https://stockanalysis.com/stocks/otis/forecast/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Noticias de 12 meses de Otis clasificadas (herramientas/noticias.mjs): Morgan Stanley inicia con «mantener» y 75 USD (20-oct), Wells Fargo «infraponderar» 77 USD (25-sep), investigación de un despacho (8-oct)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Varios (Moomoo, Pluang, Reuters, 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https://www.moomoo.com/news/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Took Another Guidance Cut—But the Story Isn't Over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https://www.marketbeat.com/articles/otis-took-another-guidance-cutbut-the-story-isnt-over/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Seeking Alpha sobre OTIS (RSS): resultados, guía y retirada de la consejera delegada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https://seekingalpha.com/api/sa/combined/OTIS.xml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$OTIS (30 mensajes, 15-ago a 18-oct-2026)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https://api.stocktwits.com/api/2/streams/symbol/OTIS.json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y artículos de opinión sobre OTIS (abril-octubre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https://seekingalpha.com/symbol/OTIS/analysis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EUR/USD (1,1228 el 21-oct-2026) para el precio en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https://finance.yahoo.com/quote/EURUSD=X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90,3 %</w:t>
      </w:r>
      <w:r>
        <w:t xml:space="preserve"> · Secciones con menos del 60 % de campos cubiertos: </w:t>
      </w:r>
      <w:r>
        <w:rPr>
          <w:b/>
          <w:bCs/>
        </w:rPr>
        <w:t xml:space="preserve">ninguna</w:t>
      </w:r>
      <w:r>
        <w:t xml:space="preserve"> · Generado el 21 oct 2026.</w:t>
      </w:r>
    </w:p>
    <w:p>
      <w:pPr>
        <w:pStyle w:val="Nota"/>
        <w:spacing w:after="100"/>
      </w:pPr>
      <w:r>
        <w:t xml:space="preserve">Cifras en millones de USD, ejercicio natural. El último ejercicio cerrado es 2025 y el último trimestre publicado el 2T26 (30-jun-2026): los resultados del 3T26 salen el 28-oct-2026, una semana después del corte, y no están en el informe [33]. Precio: cierre del 20-oct-2026 (72,07 USD); la sesión del 21-oct estaba abierta al hacer el análisis (71,92-72,01 USD hacia las 14:45 UTC [29, 30]) y la decisión se comprueba con ese precio en las pruebas de robustez. El BPA de la regla a 12 meses y su historia están en la base AJUSTADA de la empresa (sin reestructuración, costes de la separación, litigio fiscal alemán ni partidas fiscales no recurrentes), la misma que la guía y el consenso; el DCF resta la reestructuración que se repite cada año (40-77 M). El PER actual de la regla usa el BPA de los próximos 12 meses (2,3 meses de 2026e y 9,7 de 2027e). El patrimonio neto es negativo (−5.748 M a 30-jun-2026) desde la separación de UTC en 2020, que cargó a Otis con ≈ 6.300 M de deuda para pagar un dividendo a su antigua matriz: el ROE no tiene sentido y el ROIC del motor (capital = patrimonio + deuda − caja) tampoco; la calidad se mide con el ROIC sobre el capital invertido operativo (sección 11). Calificación crediticia: grado de inversión de Moody's y S&amp;P, sin comprobar la nota exacta. Precio de una acción en EUR: ≈ 64,2 EUR (1,1228 USD por EUR, 21-oct [40]).</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Otis Worldwide Corporation (OTIS)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72,07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(63,58 – 94,57)</c:v>
                </c:pt>
                <c:pt idx="1">
                  <c:v>Precio objetivo de los analistas (73,00 – 105,00)</c:v>
                </c:pt>
                <c:pt idx="2">
                  <c:v>Comparables: PER NTM (74,61 – 100,89)</c:v>
                </c:pt>
                <c:pt idx="3">
                  <c:v>Transacciones precedentes (EV/ventas) (81,97 – 102,28)</c:v>
                </c:pt>
                <c:pt idx="4">
                  <c:v>DCF (WACC y g ± 0,5) (63,29 – 93,50)</c:v>
                </c:pt>
                <c:pt idx="5">
                  <c:v>Escenarios (bajista – alcista) (49,61 – 86,33)</c:v>
                </c:pt>
                <c:pt idx="6">
                  <c:v>DCF con la prima implícita del mercado (4,2 %)</c:v>
                </c:pt>
                <c:pt idx="7">
                  <c:v>Precio actual (72,07)</c:v>
                </c:pt>
              </c:strCache>
            </c:strRef>
          </c:cat>
          <c:val>
            <c:numRef>
              <c:f>Hoja1!$B$2:$B$9</c:f>
              <c:numCache>
                <c:formatCode>#,##0</c:formatCode>
                <c:ptCount val="8"/>
                <c:pt idx="0">
                  <c:v>63.58</c:v>
                </c:pt>
                <c:pt idx="1">
                  <c:v>73</c:v>
                </c:pt>
                <c:pt idx="2">
                  <c:v>74.61</c:v>
                </c:pt>
                <c:pt idx="3">
                  <c:v>81.97</c:v>
                </c:pt>
                <c:pt idx="4">
                  <c:v>63.29</c:v>
                </c:pt>
                <c:pt idx="5">
                  <c:v>49.61</c:v>
                </c:pt>
                <c:pt idx="6">
                  <c:v>76.67</c:v>
                </c:pt>
                <c:pt idx="7">
                  <c:v>71.71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(63,58 – 94,57)</c:v>
                </c:pt>
                <c:pt idx="1">
                  <c:v>Precio objetivo de los analistas (73,00 – 105,00)</c:v>
                </c:pt>
                <c:pt idx="2">
                  <c:v>Comparables: PER NTM (74,61 – 100,89)</c:v>
                </c:pt>
                <c:pt idx="3">
                  <c:v>Transacciones precedentes (EV/ventas) (81,97 – 102,28)</c:v>
                </c:pt>
                <c:pt idx="4">
                  <c:v>DCF (WACC y g ± 0,5) (63,29 – 93,50)</c:v>
                </c:pt>
                <c:pt idx="5">
                  <c:v>Escenarios (bajista – alcista) (49,61 – 86,33)</c:v>
                </c:pt>
                <c:pt idx="6">
                  <c:v>DCF con la prima implícita del mercado (4,2 %)</c:v>
                </c:pt>
                <c:pt idx="7">
                  <c:v>Precio actual (72,07)</c:v>
                </c:pt>
              </c:strCache>
            </c:strRef>
          </c:cat>
          <c:val>
            <c:numRef>
              <c:f>Hoja1!$C$2:$C$9</c:f>
              <c:numCache>
                <c:formatCode>#,##0</c:formatCode>
                <c:ptCount val="8"/>
                <c:pt idx="0">
                  <c:v>30.989999999999995</c:v>
                </c:pt>
                <c:pt idx="1">
                  <c:v>32</c:v>
                </c:pt>
                <c:pt idx="2">
                  <c:v>26.28</c:v>
                </c:pt>
                <c:pt idx="3">
                  <c:v>20.310000000000002</c:v>
                </c:pt>
                <c:pt idx="4">
                  <c:v>30.21</c:v>
                </c:pt>
                <c:pt idx="5">
                  <c:v>36.72</c:v>
                </c:pt>
                <c:pt idx="6">
                  <c:v>21.08</c:v>
                </c:pt>
                <c:pt idx="7">
                  <c:v>0.7200000000000131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Equipo nuevo</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6428</c:v>
                </c:pt>
                <c:pt idx="1">
                  <c:v>5778</c:v>
                </c:pt>
                <c:pt idx="2">
                  <c:v>5812</c:v>
                </c:pt>
                <c:pt idx="3">
                  <c:v>5367</c:v>
                </c:pt>
                <c:pt idx="4">
                  <c:v>4989</c:v>
                </c:pt>
              </c:numCache>
            </c:numRef>
          </c:val>
        </c:ser>
        <c:ser>
          <c:idx val="1"/>
          <c:order val="1"/>
          <c:tx>
            <c:strRef>
              <c:f>Hoja1!$C$1</c:f>
              <c:strCache>
                <c:ptCount val="1"/>
                <c:pt idx="0">
                  <c:v>Servicio</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7870</c:v>
                </c:pt>
                <c:pt idx="1">
                  <c:v>7801</c:v>
                </c:pt>
                <c:pt idx="2">
                  <c:v>8397</c:v>
                </c:pt>
                <c:pt idx="3">
                  <c:v>8894</c:v>
                </c:pt>
                <c:pt idx="4">
                  <c:v>9442</c:v>
                </c:pt>
              </c:numCache>
            </c:numRef>
          </c:val>
        </c:ser>
        <c:ser>
          <c:idx val="2"/>
          <c:order val="2"/>
          <c:tx>
            <c:strRef>
              <c:f>Hoja1!$D$1</c:f>
              <c:strCache>
                <c:ptCount val="1"/>
                <c:pt idx="0">
                  <c:v>Otros (Rusia)</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1">
                  <c:v>106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Equipo nuevo</c:v>
                </c:pt>
                <c:pt idx="1">
                  <c:v>Servicio</c:v>
                </c:pt>
                <c:pt idx="2">
                  <c:v>Otros (Rusia)</c:v>
                </c:pt>
              </c:strCache>
            </c:strRef>
          </c:cat>
          <c:val>
            <c:numRef>
              <c:f>Hoja1!$B$2:$B$4</c:f>
              <c:numCache>
                <c:formatCode>General</c:formatCode>
                <c:ptCount val="3"/>
                <c:pt idx="0">
                  <c:v>34.6</c:v>
                </c:pt>
                <c:pt idx="1">
                  <c:v>65.4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Estados Unidos</c:v>
                </c:pt>
                <c:pt idx="1">
                  <c:v>China</c:v>
                </c:pt>
                <c:pt idx="2">
                  <c:v>Resto del mundo</c:v>
                </c:pt>
              </c:strCache>
            </c:strRef>
          </c:cat>
          <c:val>
            <c:numRef>
              <c:f>Hoja1!$B$2:$B$4</c:f>
              <c:numCache>
                <c:formatCode>0"%"</c:formatCode>
                <c:ptCount val="3"/>
                <c:pt idx="0">
                  <c:v>29</c:v>
                </c:pt>
                <c:pt idx="1">
                  <c:v>11.4</c:v>
                </c:pt>
                <c:pt idx="2">
                  <c:v>59.6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2030e</c:v>
                </c:pt>
              </c:strCache>
            </c:strRef>
          </c:cat>
          <c:val>
            <c:numRef>
              <c:f>Hoja1!$B$2:$B$3</c:f>
              <c:numCache>
                <c:formatCode>#,##0</c:formatCode>
                <c:ptCount val="2"/>
                <c:pt idx="0">
                  <c:v>110</c:v>
                </c:pt>
                <c:pt idx="1">
                  <c:v>133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Otis</c:v>
                </c:pt>
                <c:pt idx="1">
                  <c:v>KONE</c:v>
                </c:pt>
                <c:pt idx="2">
                  <c:v>Schindler</c:v>
                </c:pt>
                <c:pt idx="3">
                  <c:v>TK Elevator</c:v>
                </c:pt>
                <c:pt idx="4">
                  <c:v>Hitachi (Building Systems)</c:v>
                </c:pt>
                <c:pt idx="5">
                  <c:v>Mitsubishi Electric (Building Systems)</c:v>
                </c:pt>
              </c:strCache>
            </c:strRef>
          </c:cat>
          <c:val>
            <c:numRef>
              <c:f>Hoja1!$B$2:$B$7</c:f>
              <c:numCache>
                <c:formatCode>0.0"%"</c:formatCode>
                <c:ptCount val="6"/>
                <c:pt idx="0">
                  <c:v>16.5</c:v>
                </c:pt>
                <c:pt idx="1">
                  <c:v>12.2</c:v>
                </c:pt>
                <c:pt idx="2">
                  <c:v>13.3</c:v>
                </c:pt>
                <c:pt idx="3">
                  <c:v>14.8</c:v>
                </c:pt>
                <c:pt idx="4">
                  <c:v>12</c:v>
                </c:pt>
                <c:pt idx="5">
                  <c:v>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Hoja1!$B$2:$B$16</c:f>
              <c:numCache>
                <c:formatCode>#,##0</c:formatCode>
                <c:ptCount val="15"/>
                <c:pt idx="0">
                  <c:v>13118</c:v>
                </c:pt>
                <c:pt idx="1">
                  <c:v>12756</c:v>
                </c:pt>
                <c:pt idx="2">
                  <c:v>14298</c:v>
                </c:pt>
                <c:pt idx="3">
                  <c:v>13685</c:v>
                </c:pt>
                <c:pt idx="4">
                  <c:v>14209</c:v>
                </c:pt>
                <c:pt idx="5">
                  <c:v>14261</c:v>
                </c:pt>
                <c:pt idx="6">
                  <c:v>14431</c:v>
                </c:pt>
                <c:pt idx="7">
                  <c:v>15196</c:v>
                </c:pt>
                <c:pt idx="8">
                  <c:v>15880</c:v>
                </c:pt>
                <c:pt idx="9">
                  <c:v>16515</c:v>
                </c:pt>
                <c:pt idx="10">
                  <c:v>17175</c:v>
                </c:pt>
                <c:pt idx="11">
                  <c:v>17777</c:v>
                </c:pt>
                <c:pt idx="12">
                  <c:v>18399</c:v>
                </c:pt>
                <c:pt idx="13">
                  <c:v>18951</c:v>
                </c:pt>
                <c:pt idx="14">
                  <c:v>19519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Hoja1!$C$2:$C$16</c:f>
              <c:numCache>
                <c:formatCode>#,##0</c:formatCode>
                <c:ptCount val="15"/>
                <c:pt idx="0">
                  <c:v>1998</c:v>
                </c:pt>
                <c:pt idx="1">
                  <c:v>2033</c:v>
                </c:pt>
                <c:pt idx="2">
                  <c:v>2338</c:v>
                </c:pt>
                <c:pt idx="3">
                  <c:v>2257</c:v>
                </c:pt>
                <c:pt idx="4">
                  <c:v>2420</c:v>
                </c:pt>
                <c:pt idx="5">
                  <c:v>2497</c:v>
                </c:pt>
                <c:pt idx="6">
                  <c:v>2555</c:v>
                </c:pt>
                <c:pt idx="7">
                  <c:v>2523</c:v>
                </c:pt>
                <c:pt idx="8">
                  <c:v>2747</c:v>
                </c:pt>
                <c:pt idx="9">
                  <c:v>2940</c:v>
                </c:pt>
                <c:pt idx="10">
                  <c:v>3109</c:v>
                </c:pt>
                <c:pt idx="11">
                  <c:v>3253</c:v>
                </c:pt>
                <c:pt idx="12">
                  <c:v>3385</c:v>
                </c:pt>
                <c:pt idx="13">
                  <c:v>3487</c:v>
                </c:pt>
                <c:pt idx="14">
                  <c:v>3592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29.2</c:v>
                </c:pt>
                <c:pt idx="1">
                  <c:v>29.6</c:v>
                </c:pt>
                <c:pt idx="2">
                  <c:v>29.3</c:v>
                </c:pt>
                <c:pt idx="3">
                  <c:v>28.6</c:v>
                </c:pt>
                <c:pt idx="4">
                  <c:v>29.5</c:v>
                </c:pt>
                <c:pt idx="5">
                  <c:v>29.9</c:v>
                </c:pt>
                <c:pt idx="6">
                  <c:v>30.3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15.2</c:v>
                </c:pt>
                <c:pt idx="1">
                  <c:v>15.9</c:v>
                </c:pt>
                <c:pt idx="2">
                  <c:v>16.4</c:v>
                </c:pt>
                <c:pt idx="3">
                  <c:v>16.5</c:v>
                </c:pt>
                <c:pt idx="4">
                  <c:v>17</c:v>
                </c:pt>
                <c:pt idx="5">
                  <c:v>17.5</c:v>
                </c:pt>
                <c:pt idx="6">
                  <c:v>17.7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13.9</c:v>
                </c:pt>
                <c:pt idx="1">
                  <c:v>14.4</c:v>
                </c:pt>
                <c:pt idx="2">
                  <c:v>14.9</c:v>
                </c:pt>
                <c:pt idx="3">
                  <c:v>15.1</c:v>
                </c:pt>
                <c:pt idx="4">
                  <c:v>15.7</c:v>
                </c:pt>
                <c:pt idx="5">
                  <c:v>16.2</c:v>
                </c:pt>
                <c:pt idx="6">
                  <c:v>16.5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8.5</c:v>
                </c:pt>
                <c:pt idx="1">
                  <c:v>7.1</c:v>
                </c:pt>
                <c:pt idx="2">
                  <c:v>8.7</c:v>
                </c:pt>
                <c:pt idx="3">
                  <c:v>9.2</c:v>
                </c:pt>
                <c:pt idx="4">
                  <c:v>9.9</c:v>
                </c:pt>
                <c:pt idx="5">
                  <c:v>11.5</c:v>
                </c:pt>
                <c:pt idx="6">
                  <c:v>9.6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1">
                  <c:v>1.5</c:v>
                </c:pt>
                <c:pt idx="4">
                  <c:v>4</c:v>
                </c:pt>
                <c:pt idx="5">
                  <c:v>3</c:v>
                </c:pt>
                <c:pt idx="6">
                  <c:v>6</c:v>
                </c:pt>
                <c:pt idx="7">
                  <c:v>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4">
                  <c:v>2</c:v>
                </c:pt>
                <c:pt idx="5">
                  <c:v>1</c:v>
                </c:pt>
                <c:pt idx="6">
                  <c:v>1</c:v>
                </c:pt>
                <c:pt idx="7">
                  <c:v>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80</c:v>
                </c:pt>
                <c:pt idx="1">
                  <c:v>90</c:v>
                </c:pt>
                <c:pt idx="2">
                  <c:v>83</c:v>
                </c:pt>
                <c:pt idx="3">
                  <c:v>90</c:v>
                </c:pt>
                <c:pt idx="4">
                  <c:v>91</c:v>
                </c:pt>
                <c:pt idx="5">
                  <c:v>88</c:v>
                </c:pt>
                <c:pt idx="6">
                  <c:v>93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22</c:v>
                </c:pt>
                <c:pt idx="1">
                  <c:v>27</c:v>
                </c:pt>
                <c:pt idx="2">
                  <c:v>22</c:v>
                </c:pt>
                <c:pt idx="3">
                  <c:v>23</c:v>
                </c:pt>
                <c:pt idx="4">
                  <c:v>22</c:v>
                </c:pt>
                <c:pt idx="5">
                  <c:v>20</c:v>
                </c:pt>
                <c:pt idx="6">
                  <c:v>22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52</c:v>
                </c:pt>
                <c:pt idx="1">
                  <c:v>59</c:v>
                </c:pt>
                <c:pt idx="2">
                  <c:v>56</c:v>
                </c:pt>
                <c:pt idx="3">
                  <c:v>64</c:v>
                </c:pt>
                <c:pt idx="4">
                  <c:v>68</c:v>
                </c:pt>
                <c:pt idx="5">
                  <c:v>69</c:v>
                </c:pt>
                <c:pt idx="6">
                  <c:v>78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1324</c:v>
                </c:pt>
                <c:pt idx="1">
                  <c:v>1297</c:v>
                </c:pt>
                <c:pt idx="2">
                  <c:v>1594</c:v>
                </c:pt>
                <c:pt idx="3">
                  <c:v>1445</c:v>
                </c:pt>
                <c:pt idx="4">
                  <c:v>1489</c:v>
                </c:pt>
                <c:pt idx="5">
                  <c:v>1437</c:v>
                </c:pt>
                <c:pt idx="6">
                  <c:v>1444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1116</c:v>
                </c:pt>
                <c:pt idx="1">
                  <c:v>906</c:v>
                </c:pt>
                <c:pt idx="2">
                  <c:v>1246</c:v>
                </c:pt>
                <c:pt idx="3">
                  <c:v>1253</c:v>
                </c:pt>
                <c:pt idx="4">
                  <c:v>1406</c:v>
                </c:pt>
                <c:pt idx="5">
                  <c:v>1645</c:v>
                </c:pt>
                <c:pt idx="6">
                  <c:v>1384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150.2</c:v>
                </c:pt>
                <c:pt idx="1">
                  <c:v>113.2</c:v>
                </c:pt>
                <c:pt idx="2">
                  <c:v>77</c:v>
                </c:pt>
                <c:pt idx="3">
                  <c:v>89.6</c:v>
                </c:pt>
                <c:pt idx="4">
                  <c:v>212.1</c:v>
                </c:pt>
                <c:pt idx="5">
                  <c:v>196.2</c:v>
                </c:pt>
                <c:pt idx="6">
                  <c:v>130.1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8.2</c:v>
                </c:pt>
                <c:pt idx="1">
                  <c:v>8.2</c:v>
                </c:pt>
                <c:pt idx="2">
                  <c:v>8.2</c:v>
                </c:pt>
                <c:pt idx="3">
                  <c:v>8.2</c:v>
                </c:pt>
                <c:pt idx="4">
                  <c:v>8.2</c:v>
                </c:pt>
                <c:pt idx="5">
                  <c:v>8.2</c:v>
                </c:pt>
                <c:pt idx="6">
                  <c:v>8.2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65.6</c:v>
                </c:pt>
                <c:pt idx="1">
                  <c:v>-83.8</c:v>
                </c:pt>
                <c:pt idx="2">
                  <c:v>-33.3</c:v>
                </c:pt>
                <c:pt idx="3">
                  <c:v>-29.5</c:v>
                </c:pt>
                <c:pt idx="4">
                  <c:v>-28.7</c:v>
                </c:pt>
                <c:pt idx="5">
                  <c:v>-33.7</c:v>
                </c:pt>
                <c:pt idx="6">
                  <c:v>-27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-0.7</c:v>
                </c:pt>
                <c:pt idx="1">
                  <c:v>2.38</c:v>
                </c:pt>
                <c:pt idx="2">
                  <c:v>2.44</c:v>
                </c:pt>
                <c:pt idx="3">
                  <c:v>2.47</c:v>
                </c:pt>
                <c:pt idx="4">
                  <c:v>2.32</c:v>
                </c:pt>
                <c:pt idx="5">
                  <c:v>2.41</c:v>
                </c:pt>
                <c:pt idx="6">
                  <c:v>2.68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695</c:v>
                </c:pt>
                <c:pt idx="1">
                  <c:v>1499</c:v>
                </c:pt>
                <c:pt idx="2">
                  <c:v>750</c:v>
                </c:pt>
                <c:pt idx="3">
                  <c:v>700</c:v>
                </c:pt>
                <c:pt idx="4">
                  <c:v>1500</c:v>
                </c:pt>
                <c:pt idx="5">
                  <c:v>3188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47</c:v>
                </c:pt>
                <c:pt idx="1">
                  <c:v>53</c:v>
                </c:pt>
                <c:pt idx="2">
                  <c:v>80</c:v>
                </c:pt>
                <c:pt idx="3">
                  <c:v>46</c:v>
                </c:pt>
                <c:pt idx="4">
                  <c:v>36</c:v>
                </c:pt>
                <c:pt idx="5">
                  <c:v>87</c:v>
                </c:pt>
                <c:pt idx="6">
                  <c:v>109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0</c:v>
                </c:pt>
                <c:pt idx="1">
                  <c:v>260</c:v>
                </c:pt>
                <c:pt idx="2">
                  <c:v>393</c:v>
                </c:pt>
                <c:pt idx="3">
                  <c:v>465</c:v>
                </c:pt>
                <c:pt idx="4">
                  <c:v>539</c:v>
                </c:pt>
                <c:pt idx="5">
                  <c:v>606</c:v>
                </c:pt>
                <c:pt idx="6">
                  <c:v>647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0</c:v>
                </c:pt>
                <c:pt idx="1">
                  <c:v>0</c:v>
                </c:pt>
                <c:pt idx="2">
                  <c:v>725</c:v>
                </c:pt>
                <c:pt idx="3">
                  <c:v>850</c:v>
                </c:pt>
                <c:pt idx="4">
                  <c:v>800</c:v>
                </c:pt>
                <c:pt idx="5">
                  <c:v>1007</c:v>
                </c:pt>
                <c:pt idx="6">
                  <c:v>809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The Vanguard Group</c:v>
                </c:pt>
                <c:pt idx="1">
                  <c:v>BlackRock</c:v>
                </c:pt>
                <c:pt idx="2">
                  <c:v>Consejeros y directivos (20 personas)</c:v>
                </c:pt>
              </c:strCache>
            </c:strRef>
          </c:cat>
          <c:val>
            <c:numRef>
              <c:f>Hoja1!$B$2:$B$4</c:f>
              <c:numCache>
                <c:formatCode>0.0"%"</c:formatCode>
                <c:ptCount val="3"/>
                <c:pt idx="0">
                  <c:v>12.6</c:v>
                </c:pt>
                <c:pt idx="1">
                  <c:v>7</c:v>
                </c:pt>
                <c:pt idx="2">
                  <c:v>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30.4</c:v>
                </c:pt>
                <c:pt idx="1">
                  <c:v>-8.8</c:v>
                </c:pt>
                <c:pt idx="2">
                  <c:v>16</c:v>
                </c:pt>
                <c:pt idx="3">
                  <c:v>5.2</c:v>
                </c:pt>
                <c:pt idx="4">
                  <c:v>-4</c:v>
                </c:pt>
              </c:numCache>
            </c:numRef>
          </c:val>
        </c:ser>
        <c:ser>
          <c:idx val="1"/>
          <c:order val="1"/>
          <c:tx>
            <c:strRef>
              <c:f>Hoja1!$C$1</c:f>
              <c:strCache>
                <c:ptCount val="1"/>
                <c:pt idx="0">
                  <c:v>Índice</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28.7</c:v>
                </c:pt>
                <c:pt idx="1">
                  <c:v>-18.2</c:v>
                </c:pt>
                <c:pt idx="2">
                  <c:v>26.2</c:v>
                </c:pt>
                <c:pt idx="3">
                  <c:v>24.9</c:v>
                </c:pt>
                <c:pt idx="4">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17.1</c:v>
                </c:pt>
                <c:pt idx="1">
                  <c:v>18.7</c:v>
                </c:pt>
                <c:pt idx="2">
                  <c:v>17.2</c:v>
                </c:pt>
                <c:pt idx="3">
                  <c:v>17.7</c:v>
                </c:pt>
                <c:pt idx="4">
                  <c:v>17.4</c:v>
                </c:pt>
                <c:pt idx="5">
                  <c:v>16.2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17.3</c:v>
                </c:pt>
                <c:pt idx="1">
                  <c:v>17.3</c:v>
                </c:pt>
                <c:pt idx="2">
                  <c:v>17.3</c:v>
                </c:pt>
                <c:pt idx="3">
                  <c:v>17.3</c:v>
                </c:pt>
                <c:pt idx="4">
                  <c:v>17.3</c:v>
                </c:pt>
                <c:pt idx="5">
                  <c:v>17.3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TK Elevator (TKE)</c:v>
                </c:pt>
                <c:pt idx="1">
                  <c:v>thyssenkrupp Elevator Technology</c:v>
                </c:pt>
                <c:pt idx="2">
                  <c:v>Hardware and Home Improvement (Spectrum Brands)</c:v>
                </c:pt>
                <c:pt idx="3">
                  <c:v>Minoritarios de Otis Electric (China)</c:v>
                </c:pt>
                <c:pt idx="4">
                  <c:v>WeMaintain (participación mayoritaria)</c:v>
                </c:pt>
              </c:strCache>
            </c:strRef>
          </c:cat>
          <c:val>
            <c:numRef>
              <c:f>Hoja1!$B$2:$B$6</c:f>
              <c:numCache>
                <c:formatCode>0.0"x"</c:formatCode>
                <c:ptCount val="5"/>
                <c:pt idx="0">
                  <c:v>18.2</c:v>
                </c:pt>
                <c:pt idx="2">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1754</c:v>
                </c:pt>
                <c:pt idx="1">
                  <c:v>1917</c:v>
                </c:pt>
                <c:pt idx="2">
                  <c:v>2057</c:v>
                </c:pt>
                <c:pt idx="3">
                  <c:v>2178</c:v>
                </c:pt>
                <c:pt idx="4">
                  <c:v>2283</c:v>
                </c:pt>
                <c:pt idx="5">
                  <c:v>2376</c:v>
                </c:pt>
                <c:pt idx="6">
                  <c:v>2449</c:v>
                </c:pt>
                <c:pt idx="7">
                  <c:v>2523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12090</c:v>
                </c:pt>
                <c:pt idx="1">
                  <c:v>25444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72,07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49.61</c:v>
                </c:pt>
                <c:pt idx="1">
                  <c:v>75.8</c:v>
                </c:pt>
                <c:pt idx="2">
                  <c:v>86.33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72,07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(63,58 – 94,57)</c:v>
                </c:pt>
                <c:pt idx="1">
                  <c:v>Precio objetivo de los analistas (73,00 – 105,00)</c:v>
                </c:pt>
                <c:pt idx="2">
                  <c:v>Comparables: PER NTM (74,61 – 100,89)</c:v>
                </c:pt>
                <c:pt idx="3">
                  <c:v>Transacciones precedentes (EV/ventas) (81,97 – 102,28)</c:v>
                </c:pt>
                <c:pt idx="4">
                  <c:v>DCF (WACC y g ± 0,5) (63,29 – 93,50)</c:v>
                </c:pt>
                <c:pt idx="5">
                  <c:v>Escenarios (bajista – alcista) (49,61 – 86,33)</c:v>
                </c:pt>
                <c:pt idx="6">
                  <c:v>DCF con la prima implícita del mercado (4,2 %)</c:v>
                </c:pt>
                <c:pt idx="7">
                  <c:v>Precio actual (72,07)</c:v>
                </c:pt>
              </c:strCache>
            </c:strRef>
          </c:cat>
          <c:val>
            <c:numRef>
              <c:f>Hoja1!$B$2:$B$9</c:f>
              <c:numCache>
                <c:formatCode>#,##0</c:formatCode>
                <c:ptCount val="8"/>
                <c:pt idx="0">
                  <c:v>63.58</c:v>
                </c:pt>
                <c:pt idx="1">
                  <c:v>73</c:v>
                </c:pt>
                <c:pt idx="2">
                  <c:v>74.61</c:v>
                </c:pt>
                <c:pt idx="3">
                  <c:v>81.97</c:v>
                </c:pt>
                <c:pt idx="4">
                  <c:v>63.29</c:v>
                </c:pt>
                <c:pt idx="5">
                  <c:v>49.61</c:v>
                </c:pt>
                <c:pt idx="6">
                  <c:v>76.67</c:v>
                </c:pt>
                <c:pt idx="7">
                  <c:v>71.71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(63,58 – 94,57)</c:v>
                </c:pt>
                <c:pt idx="1">
                  <c:v>Precio objetivo de los analistas (73,00 – 105,00)</c:v>
                </c:pt>
                <c:pt idx="2">
                  <c:v>Comparables: PER NTM (74,61 – 100,89)</c:v>
                </c:pt>
                <c:pt idx="3">
                  <c:v>Transacciones precedentes (EV/ventas) (81,97 – 102,28)</c:v>
                </c:pt>
                <c:pt idx="4">
                  <c:v>DCF (WACC y g ± 0,5) (63,29 – 93,50)</c:v>
                </c:pt>
                <c:pt idx="5">
                  <c:v>Escenarios (bajista – alcista) (49,61 – 86,33)</c:v>
                </c:pt>
                <c:pt idx="6">
                  <c:v>DCF con la prima implícita del mercado (4,2 %)</c:v>
                </c:pt>
                <c:pt idx="7">
                  <c:v>Precio actual (72,07)</c:v>
                </c:pt>
              </c:strCache>
            </c:strRef>
          </c:cat>
          <c:val>
            <c:numRef>
              <c:f>Hoja1!$C$2:$C$9</c:f>
              <c:numCache>
                <c:formatCode>#,##0</c:formatCode>
                <c:ptCount val="8"/>
                <c:pt idx="0">
                  <c:v>30.989999999999995</c:v>
                </c:pt>
                <c:pt idx="1">
                  <c:v>32</c:v>
                </c:pt>
                <c:pt idx="2">
                  <c:v>26.28</c:v>
                </c:pt>
                <c:pt idx="3">
                  <c:v>20.310000000000002</c:v>
                </c:pt>
                <c:pt idx="4">
                  <c:v>30.21</c:v>
                </c:pt>
                <c:pt idx="5">
                  <c:v>36.72</c:v>
                </c:pt>
                <c:pt idx="6">
                  <c:v>21.08</c:v>
                </c:pt>
                <c:pt idx="7">
                  <c:v>0.7200000000000131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