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Roper Technologies, Inc.</w:t>
      </w:r>
    </w:p>
    <w:p>
      <w:pPr>
        <w:spacing w:after="60"/>
        <w:rPr>
          <w:color w:val="52514E"/>
          <w:sz w:val="22"/>
          <w:szCs w:val="22"/>
        </w:rPr>
      </w:pPr>
      <w:r>
        <w:rPr>
          <w:color w:val="52514E"/>
          <w:sz w:val="22"/>
          <w:szCs w:val="22"/>
        </w:rPr>
        <w:t xml:space="preserve">ROP · Nasdaq Global Select Market · ISIN US7766961061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368,41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447,02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+22,3 % (base +22,6 %)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475,57 USD · mercado 553,37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36.730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 US7766961061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Sarasota (Florida) · 1981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www.ropertech.com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368,41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305,96 – 519,10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36.730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46.093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447,02 USD</w:t>
      </w:r>
      <w:r>
        <w:t xml:space="preserve"> frente a 368,41 · Rentabilidad a 12 meses </w:t>
      </w:r>
      <w:r>
        <w:rPr>
          <w:b/>
          <w:bCs/>
        </w:rPr>
        <w:t xml:space="preserve">+22,3 % (base +22,6 %)</w:t>
      </w:r>
      <w:r>
        <w:t xml:space="preserve"> · Valor intrínseco 475,57 USD · con la prima implícita del mercado: 553,37 (+50,2 %) · Alcista / bajista +52,8 % / -25,5 %</w:t>
      </w:r>
    </w:p>
    <w:p>
      <w:pPr>
        <w:spacing w:after="100"/>
      </w:pPr>
      <w:r>
        <w:rPr>
          <w:b/>
        </w:rPr>
        <w:t xml:space="preserve">La recomendación y por qué.</w:t>
      </w:r>
      <w:r>
        <w:t xml:space="preserve"> Mantener, con convicción media. La regla a 12 meses da Comprar: objetivo de 447,02 USD (nuestro BPA 2028e por la regla común de múltiplos), con una rentabilidad ponderada del 22,3 % y del 22,6 % en el base, y un valor intrínseco de 475,57 USD, un 29,1 % sobre el precio de 368,41. El objetivo medio de los analistas (439,43) queda dentro de nuestro rango [24]. Nos apartamos de la regla porque la prueba de robustez sale frágil (la v2 de control da un 11,5 %), porque el ROIC publicado no cubre el WACC y porque hay resultados el 22-oct. La convicción subiría a Comprar con un orgánico del 3T26 de al menos el 5 % y una guía de 2027 que no baje de ahí; bajaría si el orgánico de Application Software cae del 3 %.</w:t>
      </w:r>
    </w:p>
    <w:p>
      <w:pPr>
        <w:spacing w:after="100"/>
      </w:pPr>
      <w:r>
        <w:rPr>
          <w:b/>
        </w:rPr>
        <w:t xml:space="preserve">El negocio.</w:t>
      </w:r>
      <w:r>
        <w:t xml:space="preserve"> Unas 30 empresas de software vertical y productos de nicho con un margen EBITDA del 39,7 %, un 67 % de ingresos recurrentes o repetitivos y una caja libre del 31 % de las ventas [1, 2]. Su debilidad es el capital: el ROIC publicado es del 6,4 % frente a un WACC del 8,38 % (−2,0 puntos) porque 21.341 M del capital son fondo de comercio de compras; sin él, el ROIC es del 28,4 %. El veredicto de sostenibilidad es «en parte»: el orgánico del 5-6 % no necesita capital y tiene respaldo en el poder de precios (margen bruto estable del 69 %), pero la IA amenaza los negocios documentales.</w:t>
      </w:r>
    </w:p>
    <w:p>
      <w:pPr>
        <w:spacing w:after="100"/>
      </w:pPr>
      <w:r>
        <w:rPr>
          <w:b/>
        </w:rPr>
        <w:t xml:space="preserve">El riesgo de la IA.</w:t>
      </w:r>
      <w:r>
        <w:t xml:space="preserve"> Es el que decide. El 3-feb-2026 los complementos de Claude Cowork hundieron el software y Roper cayó un 6,4 % [12]. Estimamos que un 20 % de las ventas (Aderant, parte de Deltek, Procare) está expuesto a que los agentes de IA sustituyan tareas y puestos; las redes (DAT), los datos regulados de sanidad y seguros y los productos (22 %) lo están menos. Las cifras aún no lo muestran: orgánico del 4,9 % en el 2T26, cartera +11 % y guía elevada [3, 4].</w:t>
      </w:r>
    </w:p>
    <w:p>
      <w:pPr>
        <w:spacing w:after="100"/>
      </w:pPr>
      <w:r>
        <w:rPr>
          <w:b/>
        </w:rPr>
        <w:t xml:space="preserve">Finanzas.</w:t>
      </w:r>
      <w:r>
        <w:t xml:space="preserve"> Ventas de 7.903 M en 2025 (+12 %, 5,4 % orgánico) y caja libre ajustada de 2.466 M [2]. La recompra de 2.724 M en el 1S26 se pagó con la línea de crédito: la deuda neta sube a ~3,4 veces el EBITDA, con el cobro de ~1.300 M de Indicor pendiente [4]. El BPA GAAP de 2026 incluye 9,16 USD de revalorización de Indicor que excluimos.</w:t>
      </w:r>
    </w:p>
    <w:p>
      <w:pPr>
        <w:spacing w:after="100"/>
      </w:pPr>
      <w:r>
        <w:rPr>
          <w:b/>
        </w:rPr>
        <w:t xml:space="preserve">Equipo y gobierno.</w:t>
      </w:r>
      <w:r>
        <w:t xml:space="preserve"> Consejo con presidenta independiente y nueve independientes de diez; la dirección cumple la guía de BPA, aunque falló en el orgánico de 2025 [8, 19]. El incentivo a largo plazo usa el beneficio ajustado sin la amortización de lo comprado, lo que premia comprar. El consejero delegado compró 4,5 M USD en noviembre de 2025 [21].</w:t>
      </w:r>
    </w:p>
    <w:p>
      <w:pPr>
        <w:spacing w:after="100"/>
      </w:pPr>
      <w:r>
        <w:rPr>
          <w:b/>
        </w:rPr>
        <w:t xml:space="preserve">Valoración.</w:t>
      </w:r>
      <w:r>
        <w:t xml:space="preserve"> El DCF da 480,27 USD con un WACC del 8,38 % y 584,16 con la prima del mercado. El DCF inverso descuenta un crecimiento del 1,6 % anual en 2027-2035, frente a nuestro 4,5 %: el precio supone que Roper deja de crecer en términos reales. Cotiza a 14,2 veces el EBITDA, un 39 % por debajo de su media de 2022-2025.</w:t>
      </w:r>
    </w:p>
    <w:p>
      <w:pPr>
        <w:spacing w:after="100"/>
      </w:pPr>
      <w:r>
        <w:rPr>
          <w:b/>
        </w:rPr>
        <w:t xml:space="preserve">Riesgos y catalizadores.</w:t>
      </w:r>
      <w:r>
        <w:t xml:space="preserve"> El bajista (274,59 USD, −25,5 %) es la erosión por IA; le damos un 30 % de probabilidad. Los catalizadores son el 3T26 (22-oct), el cobro de Indicor y la guía de 2027 en enero. Los foros están divididos y sin extremos: no cambian la lectura.</w:t>
      </w:r>
    </w:p>
    <w:p>
      <w:pPr>
        <w:spacing w:after="100"/>
      </w:pPr>
      <w:r>
        <w:rPr>
          <w:b/>
        </w:rPr>
        <w:t xml:space="preserve">Qué cambiaría la decisión.</w:t>
      </w:r>
      <w:r>
        <w:t xml:space="preserve"> La regla da Comprar por debajo de 391,73 USD (ya estamos) y la v2 de control, por debajo de 357,34 USD: ahí compraríamos sin esperar al 3T26; por encima de 500,54 USD, venderíamos. Un orgánico de Application Software por debajo del 3 % o una deuda neta por encima de 4 veces el EBITDA nos llevarían a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447,02 USD</w:t>
      </w:r>
      <w:r>
        <w:t xml:space="preserve"> (rentabilidad +22,3 % (base +22,6 %)) · Valor intrínseco: 475,57 USD (+29,1 % sobre 368,41) · con la prima implícita del mercado: 553,37 (+50,2 %)</w:t>
      </w:r>
    </w:p>
    <w:p>
      <w:pPr>
        <w:spacing w:after="100"/>
      </w:pPr>
      <w:r>
        <w:t xml:space="preserve">Roper es un conglomerado de unas 30 empresas de software vertical (78 % de las ventas) y productos de nicho, con un 67 % de ingresos recurrentes o repetitivos, margen EBITDA del 39,7 % y una caja libre del 31 % de las ventas (2.466 M en 2025) [1, 2]. Ha crecido un 13 % anual desde 2021, mitad orgánico y mitad comprado, y en 2026 dedica la caja a recomprar acciones (8 % del capital en tres trimestres) [3].</w:t>
      </w:r>
    </w:p>
    <w:p>
      <w:pPr>
        <w:spacing w:after="100"/>
      </w:pPr>
      <w:r>
        <w:t xml:space="preserve">El precio (368,41 USD) descuenta que Roper deja de crecer en términos reales: el DCF inverso pide solo un 1,6 % anual en 2027-2035, frente al 4,5 % de nuestro base y al 5-8 % orgánico de su historia. Cotiza a 21,4 veces nuestro BPA de 2027, frente a una mediana adelantada de 37,2 veces, y a 14,2 veces el EBITDA, el mínimo de la serie.</w:t>
      </w:r>
    </w:p>
    <w:p>
      <w:pPr>
        <w:spacing w:after="100"/>
      </w:pPr>
      <w:r>
        <w:t xml:space="preserve">Para invertir hay que creer que la IA será más un módulo que Roper vende que un sustituto de sus programas: que sus datos propios, la integración en el flujo de trabajo y los efectos de red (DAT) aguantan. Las cifras de 2026 lo apoyan (orgánico del 4,9 % en el 2T26 y guía elevada), pero el mercado decide a cinco años y la amenaza es real en los negocios documentales.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 × 16,38 = 307,94 · 23,5x × 19,08 = 448,38 · 31,8x × 20,51 = 652,22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439,43 (nuestro base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475,57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 / -25,5 %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8,4 %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frente a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391,73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391,73 y 500,54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500,54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22,3 %, base del 22,6 % y valor intrínseco por encima del precio), pero nos quedamos en Mantener por tres motivos que la regla no recoge. Primero, la prueba de robustez sale frágil: con la regla v2 de control la ponderada es del 11,5 %, por debajo del 15 %, y el 22 % de la v3 sale de recuperar parte de un múltiplo perdido por un cambio de régimen (la IA), no de las cifras. Segundo, la calidad con el capital publicado no pasa: ROIC del 6,4 % frente a un WACC del 8,38 %. Tercero, hay resultados el 22-oct, en ocho días, con la primera lectura de la recompra y de 2027. Si el 3T26 confirma un orgánico de al menos el 5 % y la guía de 2027 no baja de ahí, el Comprar de la regla ganaría peso.</w:t>
      </w:r>
    </w:p>
    <w:p>
      <w:pPr>
        <w:pStyle w:val="Heading2"/>
      </w:pPr>
      <w:r>
        <w:t xml:space="preserve">Qué cambiaría la recomendación</w:t>
      </w:r>
    </w:p>
    <w:p>
      <w:pPr>
        <w:pStyle w:val="ListParagraph"/>
        <w:numPr>
          <w:ilvl w:val="0"/>
          <w:numId w:val="2"/>
        </w:numPr>
        <w:spacing w:after="60"/>
      </w:pPr>
      <w:r>
        <w:t xml:space="preserve">La regla vigente da Comprar por debajo de 391,73 USD (el precio ya lo está); por debajo de 357,34 USD también la v2 de control daría Comprar y compraríamos sin esperar.</w:t>
      </w:r>
    </w:p>
    <w:p>
      <w:pPr>
        <w:pStyle w:val="ListParagraph"/>
        <w:numPr>
          <w:ilvl w:val="0"/>
          <w:numId w:val="2"/>
        </w:numPr>
        <w:spacing w:after="60"/>
      </w:pPr>
      <w:r>
        <w:t xml:space="preserve">Si el 22-oct el orgánico del 3T26 es ≥ 5 % y la guía 2026 sube, pasaríamos a Comprar en dos tramos.</w:t>
      </w:r>
    </w:p>
    <w:p>
      <w:pPr>
        <w:pStyle w:val="ListParagraph"/>
        <w:numPr>
          <w:ilvl w:val="0"/>
          <w:numId w:val="2"/>
        </w:numPr>
        <w:spacing w:after="60"/>
      </w:pPr>
      <w:r>
        <w:t xml:space="preserve">Si el orgánico de Application Software baja del 3 % o la guía de 2027 (enero) queda por debajo del 4 %, pasaríamos a Vender.</w:t>
      </w:r>
    </w:p>
    <w:p>
      <w:pPr>
        <w:pStyle w:val="ListParagraph"/>
        <w:numPr>
          <w:ilvl w:val="0"/>
          <w:numId w:val="2"/>
        </w:numPr>
        <w:spacing w:after="60"/>
      </w:pPr>
      <w:r>
        <w:t xml:space="preserve">Por encima de 500,54 USD la rentabilidad a 12 meses caería por debajo del umbral de venta.</w:t>
      </w:r>
    </w:p>
    <w:p>
      <w:pPr>
        <w:pStyle w:val="ListParagraph"/>
        <w:numPr>
          <w:ilvl w:val="0"/>
          <w:numId w:val="2"/>
        </w:numPr>
        <w:spacing w:after="60"/>
      </w:pPr>
      <w:r>
        <w:t xml:space="preserve">Una compra de más de 3.000 M a más de 25 veces el EBITDA, con la deuda neta por encima de 4 veces, bajaría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convertirá parte del software vertical de Roper en una mercancía, con menos puestos y precios más bajos, y que el crecimiento orgánico caerá hacia el 1-2 % real. Por eso le aplica el múltiplo más bajo de su historia reciente (14,2x EBITDA) pese a que las cifras siguen al alza.</w:t>
      </w:r>
    </w:p>
    <w:p>
      <w:pPr>
        <w:keepNext/>
        <w:spacing w:after="100"/>
      </w:pPr>
      <w:r>
        <w:rPr>
          <w:b/>
          <w:bCs/>
        </w:rPr>
        <w:t xml:space="preserve">Lo que creemos nosotros.</w:t>
      </w:r>
    </w:p>
    <w:p>
      <w:pPr>
        <w:spacing w:after="100"/>
      </w:pPr>
      <w:r>
        <w:t xml:space="preserve">La erosión será parcial y lenta: afecta sobre todo a los negocios documentales (Aderant, parte de Deltek, ~20 % de las ventas), mientras que las redes (DAT), los datos regulados (sanidad, seguros) y los productos (22 %) están más protegidos. Un orgánico del 4-6 % es lo más probable en tres años.</w:t>
      </w:r>
    </w:p>
    <w:p>
      <w:pPr>
        <w:keepNext/>
        <w:spacing w:after="100"/>
      </w:pPr>
      <w:r>
        <w:rPr>
          <w:b/>
          <w:bCs/>
        </w:rPr>
        <w:t xml:space="preserve">Por qué podemos tener razón.</w:t>
      </w:r>
    </w:p>
    <w:p>
      <w:pPr>
        <w:spacing w:after="100"/>
      </w:pPr>
      <w:r>
        <w:t xml:space="preserve">Los indicadores que adelantarían la erosión (ingresos recurrentes, cartera, margen bruto) todavía mejoran: recurrentes +12,7 % en 2025, cartera +11 % a junio de 2026, margen bruto del 69,7 % en el 2T26 [1, 4]. Pero no tenemos datos de puestos por cliente: por eso no compramos todavía.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68,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estancamiento</w:t>
      </w:r>
      <w:r>
        <w:t xml:space="preserve">: el DCF inverso pide un 1,6 % de crecimiento anual frente a un orgánico histórico del 5-8 %.</w:t>
      </w:r>
    </w:p>
    <w:p>
      <w:pPr>
        <w:pStyle w:val="ListParagraph"/>
        <w:numPr>
          <w:ilvl w:val="0"/>
          <w:numId w:val="2"/>
        </w:numPr>
        <w:spacing w:after="60"/>
      </w:pPr>
      <w:r>
        <w:rPr>
          <w:b/>
        </w:rPr>
        <w:t xml:space="preserve">Caja libre alta y estable</w:t>
      </w:r>
      <w:r>
        <w:t xml:space="preserve">: 2.466 M en 2025 (31 % de las ventas), un 6,7 % de la capitalización.</w:t>
      </w:r>
    </w:p>
    <w:p>
      <w:pPr>
        <w:pStyle w:val="ListParagraph"/>
        <w:numPr>
          <w:ilvl w:val="0"/>
          <w:numId w:val="2"/>
        </w:numPr>
        <w:spacing w:after="60"/>
      </w:pPr>
      <w:r>
        <w:rPr>
          <w:b/>
        </w:rPr>
        <w:t xml:space="preserve">Recompra a precios bajos</w:t>
      </w:r>
      <w:r>
        <w:t xml:space="preserve">: 9,0 M de acciones (8 % del capital) a ~350 USD de media, y quedan 2.776 M autorizados [4].</w:t>
      </w:r>
    </w:p>
    <w:p>
      <w:pPr>
        <w:pStyle w:val="ListParagraph"/>
        <w:numPr>
          <w:ilvl w:val="0"/>
          <w:numId w:val="2"/>
        </w:numPr>
        <w:spacing w:after="60"/>
      </w:pPr>
      <w:r>
        <w:rPr>
          <w:b/>
        </w:rPr>
        <w:t xml:space="preserve">Cifras que aún no muestran la IA</w:t>
      </w:r>
      <w:r>
        <w:t xml:space="preserve">: orgánico del 4,9 % en el 2T26, cartera +11 % y guía de 2026 elevada dos veces [3, 4].</w:t>
      </w:r>
    </w:p>
    <w:p>
      <w:pPr>
        <w:pStyle w:val="ListParagraph"/>
        <w:numPr>
          <w:ilvl w:val="0"/>
          <w:numId w:val="2"/>
        </w:numPr>
        <w:spacing w:after="60"/>
      </w:pPr>
      <w:r>
        <w:rPr>
          <w:b/>
        </w:rPr>
        <w:t xml:space="preserve">Valor intrínseco por encima del precio</w:t>
      </w:r>
      <w:r>
        <w:t xml:space="preserve">: 475,57 USD (+29,1 %) y asimetría de 2,07 veces.</w:t>
      </w:r>
    </w:p>
    <w:p>
      <w:pPr>
        <w:pStyle w:val="Heading2"/>
      </w:pPr>
      <w:r>
        <w:t xml:space="preserve">En contra</w:t>
      </w:r>
    </w:p>
    <w:p>
      <w:pPr>
        <w:pStyle w:val="ListParagraph"/>
        <w:numPr>
          <w:ilvl w:val="0"/>
          <w:numId w:val="2"/>
        </w:numPr>
        <w:spacing w:after="60"/>
      </w:pPr>
      <w:r>
        <w:rPr>
          <w:b/>
        </w:rPr>
        <w:t xml:space="preserve">ROIC publicado por debajo del WACC</w:t>
      </w:r>
      <w:r>
        <w:t xml:space="preserve">: 6,4 % frente a 8,38 %, por 21.341 M de fondo de comercio de compras.</w:t>
      </w:r>
    </w:p>
    <w:p>
      <w:pPr>
        <w:pStyle w:val="ListParagraph"/>
        <w:numPr>
          <w:ilvl w:val="0"/>
          <w:numId w:val="2"/>
        </w:numPr>
        <w:spacing w:after="60"/>
      </w:pPr>
      <w:r>
        <w:rPr>
          <w:b/>
        </w:rPr>
        <w:t xml:space="preserve">Riesgo de IA en un 20 % de las ventas</w:t>
      </w:r>
      <w:r>
        <w:t xml:space="preserve">: despachos (Aderant) y propuestas (Deltek) son las tareas que los agentes de IA ya automatizan.</w:t>
      </w:r>
    </w:p>
    <w:p>
      <w:pPr>
        <w:pStyle w:val="ListParagraph"/>
        <w:numPr>
          <w:ilvl w:val="0"/>
          <w:numId w:val="2"/>
        </w:numPr>
        <w:spacing w:after="60"/>
      </w:pPr>
      <w:r>
        <w:rPr>
          <w:b/>
        </w:rPr>
        <w:t xml:space="preserve">Deuda neta en ~3,4 veces el EBITDA</w:t>
      </w:r>
      <w:r>
        <w:t xml:space="preserve">: la recompra se financió con la línea de crédito (2.000 M en el 1S26) [4].</w:t>
      </w:r>
    </w:p>
    <w:p>
      <w:pPr>
        <w:pStyle w:val="ListParagraph"/>
        <w:numPr>
          <w:ilvl w:val="0"/>
          <w:numId w:val="2"/>
        </w:numPr>
        <w:spacing w:after="60"/>
      </w:pPr>
      <w:r>
        <w:rPr>
          <w:b/>
        </w:rPr>
        <w:t xml:space="preserve">Prueba de robustez frágil</w:t>
      </w:r>
      <w:r>
        <w:t xml:space="preserve">: con la regla v2 de control la ponderada a 12 meses es del 11,5 %.</w:t>
      </w:r>
    </w:p>
    <w:p>
      <w:pPr>
        <w:pStyle w:val="ListParagraph"/>
        <w:numPr>
          <w:ilvl w:val="0"/>
          <w:numId w:val="2"/>
        </w:numPr>
        <w:spacing w:after="60"/>
      </w:pPr>
      <w:r>
        <w:rPr>
          <w:b/>
        </w:rPr>
        <w:t xml:space="preserve">Incentivos que premian comprar</w:t>
      </w:r>
      <w:r>
        <w:t xml:space="preserve">: el variable usa beneficio ajustado sin la amortización de lo comprado, no el ROIC [19].</w:t>
      </w:r>
    </w:p>
    <w:p>
      <w:pPr>
        <w:pStyle w:val="Heading2"/>
      </w:pPr>
      <w:r>
        <w:t xml:space="preserve">Qué tiene que pasar para que la tesis funcione</w:t>
      </w:r>
    </w:p>
    <w:p>
      <w:pPr>
        <w:spacing w:after="100"/>
      </w:pPr>
      <w:r>
        <w:t xml:space="preserve">La tesis depende de que la IA no erosione el núcleo de ingresos recurrentes. La señal que diría que sí lo hace: crecimiento orgánico de Application Software por debajo del 3 % durante dos trimestres o ingresos recurrentes creciendo menos del 6 % sin compras. Lo segundo es la disciplina: una compra grande a más de 25 veces el EBITDA con más deuda en vez de seguir recomprando.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ya resta.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software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capital.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 M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es la palanca del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 · 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Roper nació en 1981 como fabricante de bombas industriales en Georgia y salió a bolsa en 1992. Con Brian Jellison (2001-2018) se convirtió en un comprador en serie que reinvertía la caja de negocios de nicho en compras cada vez más de software. Neil Hunn, consejero delegado desde 2018, completó el giro: en 2022 vendió TransCore, Zetec, CIVCO y la mayoría del negocio industrial (Indicor, a CD&amp;R) por más de 5.500 M y hoy el 78 % de las ventas es software vertical [1, 4]. En 2023 pasó a cotizar en el Nasdaq. Desde finales de 2025 combina compras con recompras, tras la caída de la acción por el miedo a la IA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Roper Industries (bombas industriales).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Jellison, consejero delegado: empieza la estrategia de compras de nichos con caja libre.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Deltek (2.800 M), su mayor compra de software hasta entonces.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Hunn sucede a Jellison.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TransCore e industrial (5.562 M de cobros); compra de Frontline Education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CentralReach (1.850 M) y Subsplash (800 M); primer programa de recompra (3.000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9,0 M de acciones en tres trimestres; Indicor vende su instrumentación a AMETEK (5.000 M de valor empresa) [3, 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Roper es un conglomerado de unas 30 empresas de nicho que gestiona de forma descentralizada. Application Software (57 % de las ventas de 2025) vende programas de gestión a sectores concretos: ingeniería y contratistas públicos (Deltek), despachos de abogados (Aderant), corredores de seguros (Vertafore), hospitales (Strata, Clinisys), guarderías (Procare), universidades (CBORD/Transact) y terapia del autismo (CentralReach). Network Software (20 %) son redes con efectos de red: la bolsa de cargas de camiones DAT, ConstructConnect en construcción, compras agrupadas para residencias y Subsplash para iglesias. Technology Enabled Products (23 %) fabrica productos de medición médica (Northern Digital, Verathon), contadores de agua (Neptune) y control de accesos [1].</w:t>
      </w:r>
    </w:p>
    <w:p>
      <w:pPr>
        <w:pStyle w:val="Heading2"/>
      </w:pPr>
      <w:r>
        <w:t xml:space="preserve">Cómo gana dinero</w:t>
      </w:r>
    </w:p>
    <w:p>
      <w:pPr>
        <w:spacing w:after="100"/>
      </w:pPr>
      <w:r>
        <w:t xml:space="preserve">El 57 % de las ventas son ingresos recurrentes de software (suscripciones, licencias anuales y mantenimiento) y otro 11 % son comisiones por transacción que se repiten; solo el 10 % es software no recurrente y el 22 % producto [1]. El margen bruto es del 69 % y el margen de los segmentos, del 32 %: Network Software llega al 43,5 % y Application Software al 26,8 % [1]. El crecimiento orgánico (5-6 %) sale de subidas de precio, venta de módulos y paso a la nube; el resto lo aportan las compras, pagadas con la caja libre (31 % de las ventas). Hay poca estacionalidad; los cobros anticipados de enero hacen negativo el circulante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Network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Enabled Products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Network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Enabled Products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Heading2"/>
      </w:pPr>
      <w:r>
        <w:t xml:space="preserve">Clientes, recurrencia y poder de precios</w:t>
      </w:r>
    </w:p>
    <w:p>
      <w:pPr>
        <w:spacing w:after="100"/>
      </w:pPr>
      <w:r>
        <w:t xml:space="preserve">Ningún cliente pesa de forma relevante: son decenas de miles de empresas medianas, despachos, hospitales y administraciones en nichos donde el producto de Roper suele ser el líder [1]. Los contratos son mayoritariamente anuales con renovación; la cartera a 12 meses (3.425 M a cierre de 2025) cubre el 43 % de las ventas del año siguiente [1]. El poder de precios se ve en la estabilidad del margen bruto (69 % en 2023-2025) pese a la inflación salarial, y en el crecimiento de los ingresos recurrentes del 12,7 % en 2025. La debilidad está en los negocios ligados al gasto público (Deltek, tras los recortes de contratos federales) y en Neptune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 ~6 % [1,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57 % de las ventas; con los «reoccurring» (transacciones) llega al 67 %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a 12 meses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3.286 M a junio de 2026, +11 % interanual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 de las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 M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vertical: aplicaciones específicas de un sector (sanidad, administración y contratistas públicos, despachos, seguros, educación, construcción, transporte) vendidas a organizaciones en todo el mundo, con peso de Norteamérica [9]. No hay estadística oficial. Usamos Mordor Intelligence (147.110 M USD en 2025) [9] y lo contrastamos con Grand View Research (150.250 M USD en 2024) [10]; ambos dan crecimientos del 11,5-12,5 % anual. Son estimaciones privadas que sirven como orden de magnitud. El segmento de productos de Roper (23 % de las ventas) queda fuera de este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147.110 M USD en 2025 según Mordor Intelligence [9]; ≈ 150.250 M USD en 2024 según Grand View Research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procesos en nichos (sanidad, sector público,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del 11,5 % anual en 2026-2031 [9] y del 12,5 % en 2025-2033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SaaS y venta de módulos (incluidos los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recurrentes de software de Roper crecieron un 12,7 %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menor barrera de entrada y menos usuarios por cliente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3-feb-2026 los complementos de Claude Cowork hundieron el software (−16 % Thomson Reuters) [12]; el ETF IGV llegó a caer un 18 % en el año en marzo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y de contratistas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atribuye la caída del ingreso no recurrente de Deltek al mercado de contratación federal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empresas en venta del capital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valoraciones privadas del software han bajado tras la caída de las cotizadas en 2026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con uno o dos líderes; los márgenes de segmento de Roper (32 %) se mantienen desde 2023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pequeños y muy numerosos, con costes de cambio altos (datos, flujos de trabajo,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principal es el personal; la nube (AWS, Azure) es una mercancía, aunque los modelos de IA añaden un proveedor nuevo con poder.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escribir software: un competidor nativo en IA puede replicar funciones en meses; la barrera que queda son los datos, la integración y la confianza del regulador [11,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generalistas pueden hacer parte del trabajo (revisión de documentos jurídicos, propuestas) sin el programa vertical [12].</w:t>
            </w:r>
          </w:p>
        </w:tc>
      </w:tr>
    </w:tbl>
    <w:p>
      <w:pPr>
        <w:spacing w:after="160" w:before="0"/>
      </w:pPr>
    </w:p>
    <w:p>
      <w:pPr>
        <w:pStyle w:val="Heading2"/>
      </w:pPr>
      <w:r>
        <w:t xml:space="preserve">Ciclo</w:t>
      </w:r>
    </w:p>
    <w:p>
      <w:pPr>
        <w:spacing w:after="100"/>
      </w:pPr>
      <w:r>
        <w:t xml:space="preserve">El software vertical crece poco con el ciclo: Roper mantuvo crecimiento orgánico en software en 2020 y en 2022 subió el 6-8 % [1]. Lo cíclico es el producto (Neptune, medición) y el gasto público. Hoy el indicador que manda no es el ciclo económico sino la percepción de la IA: el IGV cayó con fuerza en el 1T26 y el múltiplo de Roper se ha desplomado sin que lo hagan sus resultados [11].</w:t>
      </w:r>
    </w:p>
    <w:p>
      <w:pPr>
        <w:pStyle w:val="Heading2"/>
      </w:pPr>
      <w:r>
        <w:t xml:space="preserve">Regulación</w:t>
      </w:r>
    </w:p>
    <w:p>
      <w:pPr>
        <w:spacing w:after="100"/>
      </w:pPr>
      <w:r>
        <w:t xml:space="preserve">Los negocios de salud (Clinisys, CentralReach, Strata) dependen de la regulación de datos sanitarios de EE. UU. (HIPAA) y de los reembolsos de Medicaid en terapia del autismo; Deltek depende de las reglas de contratación federal (FAR), que la administración actual revisa y recorta [1]. No hay regulación específica de la IA en EE. UU. que afecte a sus cifras.</w:t>
      </w:r>
    </w:p>
    <w:p>
      <w:pPr>
        <w:pStyle w:val="Heading2"/>
      </w:pPr>
      <w:r>
        <w:t xml:space="preserve">Tendencias y disrupción</w:t>
      </w:r>
    </w:p>
    <w:p>
      <w:pPr>
        <w:spacing w:after="100"/>
      </w:pPr>
      <w:r>
        <w:t xml:space="preserve">La tendencia que decide es la IA generativa. Juega en dos sentidos: Roper puede vender módulos de IA sobre sus datos propios (la dirección dice que los primeros clientes ya los adoptan) [3], pero la IA reduce la barrera de entrada y puede reducir el número de puestos que pagan licencia. Los negocios con efectos de red (DAT) o con datos regulados (sanidad, seguros) parecen más protegidos que los de productividad documental (Aderant en despachos, Deltek en propuestas).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la mayoría de sus nichos (Deltek en contratistas públicos, Aderant en grandes despachos, DAT en fletes, Vertafore en corredores de seguros); en el conjunto del software vertical su cuota es ~4 % (6.130 M de software sobre ~147.000 M) [1,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software vertical (cientos de compras pequeñas); compite por los mismos activos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administraciones locales; rival en tribunales y servicios públicos (Neptune/Muni-Link)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vertical de ciencias de la vida; referencia de margen y de crecimiento orgánico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pymes y contribuyentes; misma exposición al riesgo de IA en tareas administrativas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de instrumentos de nicho; compite con Technology Enabled Products y compra Indicor Instrumentation [4,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Conglomerado de instrumentación y software (tras escindir Ralliant); modelo de gestión parecido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Network Software (20 % de las ventas, margen 43,5 %): DAT y ConstructConnect valen más cuanto más cargadores y contratistas tienen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gestión con datos históricos y flujos de trabajo del cliente; ingresos recurrentes +12,7 % en 2025 y margen bruto estable del 69 %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nicho y datos propios; pocas patentes relevantes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de capital: coste de la deuda del 3,8 % y capacidad de compra; no de coste operativo.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uno o dos proveedores rentables [1].</w:t>
            </w:r>
          </w:p>
        </w:tc>
      </w:tr>
    </w:tbl>
    <w:p>
      <w:pPr>
        <w:spacing w:after="160" w:before="0"/>
      </w:pPr>
    </w:p>
    <w:p>
      <w:pPr>
        <w:pStyle w:val="Heading2"/>
      </w:pPr>
      <w:r>
        <w:t xml:space="preserve">Amenazas</w:t>
      </w:r>
    </w:p>
    <w:p>
      <w:pPr>
        <w:spacing w:after="100"/>
      </w:pPr>
      <w:r>
        <w:t xml:space="preserve">La amenaza principal es la IA: abarata replicar funciones y puede sustituir parte del trabajo que hoy se hace con el programa (revisión de contratos en despachos, propuestas en contratistas). La caída del 3-feb-2026 (−6,4 % Roper, −16 % Thomson Reuters) muestra que el mercado ve probable ese escenario [12]. Le damos una probabilidad media de erosión parcial en cinco años en los negocios documentales (Aderant, parte de Deltek, ~20 % de las ventas) y baja en los de red, datos regulados o productos físicos. Segunda amenaza: la competencia por compras con el capital riesgo, que encarece los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13,1 %</w:t>
      </w:r>
      <w:r>
        <w:t xml:space="preserve">, EBITDA </w:t>
      </w:r>
      <w:r>
        <w:rPr>
          <w:b/>
          <w:bCs/>
        </w:rPr>
        <w:t xml:space="preserve">14,0 %</w:t>
      </w:r>
      <w:r>
        <w:t xml:space="preserve">, BPA </w:t>
      </w:r>
      <w:r>
        <w:rPr>
          <w:b/>
          <w:bCs/>
        </w:rPr>
        <w:t xml:space="preserve">17,1 %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de operaciones continuadas pasan de 4.834 M USD en 2021 a 7.903 M en 2025 (TCAC del 13,1 %): unos 5-6 puntos anuales son orgánicos (5,4 % en 2025, 8 % en 2023) y el resto, compras (6,7 puntos en 2025: CentralReach, Subsplash, Transact, Procare) [1, 5]. El margen EBITDA contable sube de 38,4 % a 39,7 % y el EBIT ronda el 28 %, lastrado por la amortización de intangibles comprados (858 M en 2025, 10,9 % de las ventas) [1]. El beneficio de operaciones continuadas incluye revalorizaciones de las participaciones en Indicor y Certinia (1,25 USD por acción en 2023, 1,68 en 2024 y 0,22 en 2025) que no son operativas [2, 5]. En el 1S26 la cuenta lleva una ganancia de 1.002 M por la revalorización de Indicor (9,16 USD por acción) y un tipo impositivo del 13,7 %, por lo que el LTM se da sin ella [3, 4].</w:t>
      </w:r>
    </w:p>
    <w:p>
      <w:pPr>
        <w:pStyle w:val="Heading2"/>
      </w:pPr>
      <w:r>
        <w:t xml:space="preserve">Ajustes y partidas no recurrentes</w:t>
      </w:r>
    </w:p>
    <w:p>
      <w:pPr>
        <w:spacing w:after="100"/>
      </w:pPr>
      <w:r>
        <w:t xml:space="preserve">Usamos el BPA GAAP de operaciones continuadas. La empresa publica además un BPA ajustado que suma la amortización de intangibles de compras (5,95 USD en 2025) y quita los efectos de las participaciones minoritarias: 20,00 USD en 2025 frente a 14,20 GAAP [2]. Para la historia del PER usamos un BPA GAAP «limpio» (sin participaciones ni partidas puntuales, con la amortización): 9,83 USD en 2022, 11,59 en 2023, 12,88 en 2024 y 14,04 en 2025 [2, 5, 6]. El LTM a junio de 2026 excluye la ganancia de 1.002 M antes de impuestos de Indicor (925 M después de impuestos) [3,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enero de 2026 la dirección guio un crecimiento orgánico del 5-6 % y un BPA ajustado de 21,30-21,55 USD, por debajo de lo esperado, y anunció el foco en «capturar la oportunidad de la IA» en cada negocio [2]; la acción cayó un 9,6 % ese día. En julio subió la guía a un orgánico de ~6 % y a 21,80-22,05 primero (abril) y 22,15-22,30 USD después, con un 2T26 de +9 % en ingresos (+4,9 % orgánico) y +11 % de caja libre ajustada [3, 4]. El discurso cambió de las compras a la recompra: 9,0 M de acciones (3.200 M USD) en tres trimestres, más del 8 % del capital [3]. La dirección afirma que sus negocios verticales, con datos propios y conocimiento del dominio, lanzan productos de IA que amplían su mercado; no da cifras de ingresos de IA ni de cancelaciones [3]. Lo que más preguntaron los analistas, según los títulos de las transcripciones y las notas de prensa, fue la amenaza de la IA, la debilidad de Deltek (contratación pública), Neptune (contadores de agua) y Procare, y el uso de la caja [3,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TransCore, Zetec, CIVCO Radiotherapy y de la mayoría del negocio industrial (Indicor) a CD&amp;R: 5.562 M de cobros; la cuenta 2021-2022 es la de operaciones continuadas reexpresada y el balance de 2021 aún incluye esos negocios.).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es negativo de forma estructural: los ingresos diferidos (1.907 M a cierre de 2025) superan a clientes más existencias (1.143 M), y el circulante neto sin caja ni deuda fue de −1.390 M [1]. La deuda neta subió de 6.116 M en 2023 a 9.004 M en 2025 por las compras (CentralReach 1.850 M, Subsplash 800 M) y a ~10.950 M en junio de 2026 por las recompras [1, 4]. Con un EBITDA LTM de unos 3.240 M, la deuda neta queda en ~3,4 veces, alta para su historia reciente; el cobro de Indicor la reduciría en ~0,35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9.733</w:t>
      </w:r>
      <w:r>
        <w:t xml:space="preserve">, conversión </w:t>
      </w:r>
      <w:r>
        <w:rPr>
          <w:b/>
          <w:bCs/>
        </w:rPr>
        <w:t xml:space="preserve">156 %</w:t>
      </w:r>
      <w:r>
        <w:t xml:space="preserve"> del beneficio neto; adquisiciones 13.453, dividendos 1.466, recompras 500.</w:t>
      </w:r>
    </w:p>
    <w:p>
      <w:pPr>
        <w:spacing w:after="100"/>
      </w:pPr>
      <w:r>
        <w:t xml:space="preserve">La conversión es alta: el flujo operativo de 2025 (2.540 M) equivale al 165 % del beneficio, porque la amortización de intangibles (858 M) no es salida de caja y el negocio cobra por adelantado [1]. El capex más el software activado es solo 1,0-1,6 % de las ventas y la empresa espera 1,0-1,5 % [1]. La caja libre ajustada fue 2.466 M en 2025 (+8 %) [2]. El flujo de 2022 se da sin los 954 M de impuestos pagados por las plusvalías de las ventas de TransCore e industrial (el publicado de operaciones continuadas fue 607 M) [6]. El dinero se ha ido a compras (13.454 M en 2021-2025) más que a dividendos (1.466 M); en 2026 el destino principal pasó a ser la recompra (2.727 M en el 1S26)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Roper desde 2002 [1]. No hay cambios de criterio relevantes. La remuneración en acciones fue de 166 M en 2025 (2,1 % de las ventas) y se trata como gasto en el EBITDA [7]. La cuenta tiene dos fuentes de ruido: la revalorización a valor razonable de la participación en Indicor (nivel 3, con supuestos de la dirección; +996 M en el 1S26) y los intangibles de compras, que suman 31.105 M (fondo de comercio 21.341 M e intangibles 9.764 M), el 90 % del activo [1, 4]. No ha habido deterioros relevantes del fondo de comercio en cinco años (solo 94 M de intangibles en 2021) [6]. El software activado es pequeño (57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valor razonable de Indicor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1.002 M antes de impuestos en el 1S26 (9,16 USD por acción), estimados con múltiplos de comparables (nivel 3); se excluyen del BPA que usamos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90 %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la IA que reduzca el valor de los negocios comprados obligaría a deterioros; no ha pasado todavía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bajo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13,7 % en el 1S26 por beneficios fiscales ligados a Indicor y a una reestructuración societaria; no recurrente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9,5 % · </w:t>
      </w:r>
      <w:r>
        <w:rPr>
          <w:b/>
          <w:bCs/>
        </w:rPr>
        <w:t xml:space="preserve">WACC</w:t>
      </w:r>
      <w:r>
        <w:t xml:space="preserve">: 8,4 %.</w:t>
      </w:r>
    </w:p>
    <w:p>
      <w:pPr>
        <w:spacing w:after="100"/>
      </w:pPr>
      <w:r>
        <w:t xml:space="preserve">Con el capital invertido publicado, Roper no crea valor contable: ROIC del 6,4 % en 2025 frente a un WACC del 8,38 % (−2,0 puntos), y así desde 2021 (5,1 %) [1]. La razón es el fondo de comercio: de 27.594 M de capital invertido, 21.341 M son fondo de comercio de compras [1]. Sin él, el ROIC sería del 28,4 % (1.774 M de NOPAT sobre ~6.250 M), que es la rentabilidad del negocio que ya tiene; la del capital que paga por comprar empresas es la publicada. El ROIC incremental de 2021-2025 es del 9,5 %, algo por encima del WACC: las compras recientes rinden apenas su coste. La rotación del capital (0,24 veces) es la que hunde el ROIC, no el margen (EBIT del 28,3 %). Constellation, con compras pequeñas y baratas, tiene un ROIC del 21,7 % [31]. Para el requisito de calidad decide el publicado: no lo cumple.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364,9 M USD a 30-jun-2026 y línea de crédito revolvente de 3.500 M (dispuestos 2.850 M tras 2.000 M netos en el 1S26) [1, 4]; cobro pendiente de ~1.300 M antes de impuestos (≈1.100 M netos) por la venta de Indicor Instrumentation a AMETEK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bruta de 11.319 M USD a 30-jun-2026 (718 M a corto) tras financiar 2.727 M de recompras con la línea de crédito [4]; a 31-dic-2025 eran 8.500 M de bonos y 850 M de línea [1]. El único covenant es deuda total/capital total ≤ 0,65 (32 % a cierre de 2025) [1]. Arrendamientos operativos de 267 M de pagos futuros, que en US GAAP no sumamos a la deuda [1]. Obligaciones de compra de 1.391 M [1]. Impuestos diferidos pasivos de 1.897 M, ligados a los intangibles comprados [4]. La participación del 43,4 % en Indicor está a valor razonable (1.792 M) y no consolida [4].</w:t>
      </w:r>
    </w:p>
    <w:p>
      <w:pPr>
        <w:pStyle w:val="Heading1"/>
      </w:pPr>
      <w:r>
        <w:t xml:space="preserve">12. Asignación de capital</w:t>
      </w:r>
    </w:p>
    <w:p>
      <w:pPr>
        <w:pStyle w:val="Confianza"/>
        <w:spacing w:after="100"/>
      </w:pPr>
      <w:r>
        <w:t xml:space="preserve">Confianza: Media</w:t>
      </w:r>
    </w:p>
    <w:p>
      <w:pPr>
        <w:spacing w:after="100"/>
      </w:pPr>
      <w:r>
        <w:t xml:space="preserve">Roper reparte un dividendo creciente (3,39 USD en 2025; 0,91 USD trimestrales en 2026, payout de ~16 % del BPA ajustado) y dedica el resto de la caja a compras de software vertical [1, 3]. En octubre de 2025 aprobó por primera vez un programa de recompra de 3.000 M y en abril de 2026 lo amplió en otros 3.000 M; a 30-jun-2026 quedaban 2.776 M [4]. La dirección dice tener capacidad para compras significativas y prioriza las que «componen» la caja libre por acción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Frontline Education (software para centros escolares)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las ventas de 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Application Software;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Syntellis Performance Solutions (software de planificación para hospitales)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Combinada con Strata; sin deterioros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Procare Solutions (software para guarderías)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Citada entre los negocios más flojos en 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Transact Campus (pagos y credenciales universitarios)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CBORD; aporta pagos con menor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CentralReach (software para terapia del autismo y discapacidad)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1.049 M e intangibles 890 M; motor del crecimiento por compras de 2025-2026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Subsplash (software y pagos para iglesias)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el margen bruto de Network Software por la mezcla de pagos [1].</w:t>
            </w:r>
          </w:p>
        </w:tc>
      </w:tr>
    </w:tbl>
    <w:p>
      <w:pPr>
        <w:spacing w:after="160" w:before="0"/>
      </w:pPr>
    </w:p>
    <w:p>
      <w:pPr>
        <w:spacing w:after="100"/>
      </w:pPr>
      <w:r>
        <w:t xml:space="preserve">Roper ha sido un buen operador y un comprador caro. En 2021-2025 dedicó 13.453 M a compras, 1.466 M a dividendos y solo 500 M a recompras, con una caja libre acumulada de 9.733 M y una conversión del 156 % del beneficio. El ROIC incremental (9,5 %) apenas supera el WACC. El giro de 2026 a la recompra (2.724 M a 346 USD de media en el 1S26 [4]) es la mejor decisión de capital reciente: compra su propio negocio a ~7 % de caja libre en lugar de pagar 20-25 veces el EBITDA por otros. La dilución por pagos en acciones es moderada (166 M, 2,1 % de las ventas), pero el plan de incentivos se amplió en 14,15 M de acciones [20].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Neil Hunn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y consejero delegado (President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Roper en 2011 como vicepresidente de grupo tras dirigir MedAssets; consejero delegado desde agosto de 2018. Ha llevado el giro a software (78 % de las ventas) con ventas por 5.562 M en 2022 y compras por más de 13.000 M; el BPA ajustado pasó de 14,28 USD en 2022 a 20,00 en 2025 [2, 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P. Conley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controller y director de contabilidad de Roper; financió las compras de 2023-2025 con bonos a coste medio del 3,8 % y dirige ahora la recompra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Woods Brinkley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directora de riesgos de Bank of America; preside el consejo desde junio de 2021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K. Stipancich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Secretario general y director jurídico (EVP, General Counsel)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 jurídico de Newell Brands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15,90-16,20 USD; orgánico +5-6 %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16,71 USD; orgánico +8 %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17,85-18,15 USD; orgánico +5-6 %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18,31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19,75-20,00 USD; ventas +10 %; orgánico +6-7 %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20,00 USD; ventas +12 %; orgánico +5 %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21,30-21,55 USD; orgánico +5-6 %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guía elevada a 22,15-22,30 USD y orgánico ~6 % en julio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casi siempre la guía de BPA ajustado y la eleva durante el año (2023, 2024, 2026); falló en el crecimiento orgánico de 2025 (5 % frente a 6-7 %), con dos trimestres por debajo de lo esperado en ventas [2, 8]. El equipo es estable: Hunn y Conley llevan desde 2018. Hunn compró 4,5 M USD de acciones en noviembre de 2025 a ~452 USD, aunque vendió 13,3 M con un plan 10b5-1 un día antes [21]. No hay plan de sucesión público; el consejo incorporó en octubre de 2026 a Abhijit Dubey (consejero delegado y responsable de IA de NTT DATA) para reforzar la estrategia de IA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Woods Brinkley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Neil Hunn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Shellye L. Archambeau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Irene M. Esteves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 Joyce,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 Thatcher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F. Wallman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Abhijit Dubey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asignar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5,56 / ventas 19,06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Desagregó su declaración en marzo de 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 de 2024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Windacre Partnership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concentrado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accionista significativo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M de acciones a 30-jun-2026, desde 2,7 M en diciembre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 Neil Hunn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 Neil Hunn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Woods Brinkley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Jason Conley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P. Joyce,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F. Wallman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K. Stipancich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26,2 M USD en 2025: 1,0 M fijo, 2,1 M de bonus anual y 22,6 M en acciones con objetivos (17,5 M) y opciones (5,1 M) [19]. El bonus depende del crecimiento del EBITDA ajustado (+11 % en 2025, pago del 104,8 %); las acciones con objetivos, de la TCAC a tres años del beneficio neto ajustado y del rendimiento total relativo (percentiles 30-80) [19]. El problema: el beneficio ajustado excluye la amortización de lo comprado, así que premia comprar aunque sea caro; no hay métrica de ROIC. Hay recuperación (clawback) reforzada [19]. El voto consultivo sobre la remuneración obtuvo un 93,6 % a favor y un 5,9 % en contra en 2026 [20].</w:t>
      </w:r>
    </w:p>
    <w:p>
      <w:pPr>
        <w:pStyle w:val="Heading2"/>
      </w:pPr>
      <w:r>
        <w:t xml:space="preserve">Operaciones vinculadas, estructura de control y defensas</w:t>
      </w:r>
    </w:p>
    <w:p>
      <w:pPr>
        <w:spacing w:after="100"/>
      </w:pPr>
      <w:r>
        <w:t xml:space="preserve">No hay accionista de control: los mayores son gestoras (Vanguard 11,6 %, BlackRock 9,0 %) y Windacre (6,9 %) [19]. Una acción, un voto; consejeros elegidos cada año por mayoría; presidenta independiente separada del consejero delegado [19]. En la junta de 2026 los accionistas rechazaron (0,6 % a favor) una propuesta para estudiar escindir los segmentos de software, y aprobaron 14,15 M de acciones nuevas para el plan de incentivos (un 14 % del capital en circulación, aunque se emiten a lo largo de años) y un plan de compra para empleados con descuento del 15 % [20].</w:t>
      </w:r>
    </w:p>
    <w:p>
      <w:pPr>
        <w:pStyle w:val="Heading2"/>
      </w:pPr>
      <w:r>
        <w:t xml:space="preserve">Señales de alerta</w:t>
      </w:r>
    </w:p>
    <w:p>
      <w:pPr>
        <w:pStyle w:val="ListParagraph"/>
        <w:numPr>
          <w:ilvl w:val="0"/>
          <w:numId w:val="2"/>
        </w:numPr>
        <w:spacing w:after="60"/>
      </w:pPr>
      <w:r>
        <w:t xml:space="preserve">Plan de incentivos ampliado en 14,15 M de acciones (≈14 % del capital en circulación) en mayo de 2026: dilución potencial si no se compensa con recompras [20].</w:t>
      </w:r>
    </w:p>
    <w:p>
      <w:pPr>
        <w:pStyle w:val="ListParagraph"/>
        <w:numPr>
          <w:ilvl w:val="0"/>
          <w:numId w:val="2"/>
        </w:numPr>
        <w:spacing w:after="60"/>
      </w:pPr>
      <w:r>
        <w:t xml:space="preserve">Variable a largo plazo ligado al beneficio neto ajustado, que excluye la amortización de lo comprado: incentivo a crecer comprando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(23-jul-2026): BPA ajustado de 22,15-22,30 USD (desde 21,30-21,55 en enero y 21,80-22,05 en abril), crecimiento de ventas del 8 % o más y orgánico de ~6 %; 3T26 de 5,75-5,80 USD [3]. En BPA GAAP la guía es 24,78-24,93 USD, con 9,16 USD de la revalorización de Indicor y 6,53 USD de amortización de intangibles comprados. No incluye compras futuras, recompras posteriores ni el cobro de Indicor (~1.300 M antes de impuestos). No hay plan a medio plazo con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con la ganancia de Indicor)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9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355,00 – 625,00</w:t>
            </w:r>
          </w:p>
        </w:tc>
      </w:tr>
    </w:tbl>
    <w:p>
      <w:pPr>
        <w:spacing w:after="160" w:before="0"/>
      </w:pPr>
    </w:p>
    <w:p>
      <w:pPr>
        <w:pStyle w:val="Heading2"/>
      </w:pPr>
      <w:r>
        <w:t xml:space="preserve">Revisiones de estimaciones</w:t>
      </w:r>
    </w:p>
    <w:p>
      <w:pPr>
        <w:spacing w:after="100"/>
      </w:pPr>
      <w:r>
        <w:t xml:space="preserve">Las estimaciones solo están en MarketScreener; MarketBeat da el reparto de recomendaciones (7 comprar, 9 mantener, 3 vender) y un objetivo medio de 466,94 USD, con mínimo de 355 y máximo de 625 [24, 25]. En los últimos tres meses los objetivos se movieron en las dos direcciones: Piper Sandler bajó de 540 a 526 USD, JPMorgan subió de 397 a 415 (infraponderar), RBC mantuvo 417, Mizuho fijó 355 y Raymond James rebajó a «market perform» [25]. Tras el 2T26 el BPA ajustado de 2026 subió con la guía (de 21,80-22,05 a 22,15-22,30). El BPA GAAP de 2026 del consenso (25,18) incluye la ganancia de Indicor.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Roper ha perdido un 28,3 % en un año frente al +17,5 % del S&amp;P 500 y el −2,3 % del ETF de software IGV [23]. La caída tiene dos fases: el 27-ene-2026 (−9,6 %) por una guía 2026 por debajo de lo esperado y el segundo fallo seguido en ventas, y el 3-feb-2026 (−6,4 %) en la venta masiva del software por los complementos de IA de Anthropic. El mínimo fue de 305,96 USD el 13-may-2026; los resultados del 2T26 y la recompra la llevaron a ~413 USD en agosto, pero ha vuelto a 368 USD. La beta mensual de cinco años es 0,73 (ajustada 0,82; semanal de dos años 0,50) y la volatilidad, del 29,9 %, alta para su historia [23].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Roper cotiza a 14,2 veces el EBITDA de los últimos 12 meses y 24,1 veces el beneficio, frente a una media de 23,3x y 39,5x en sus cierres de 2022-2025: un descuento del 39 % y el mínimo de la serie. El cambio es de régimen, no de cifras: el beneficio sigue creciendo, pero desde enero de 2026 el mercado le aplica el descuento del software amenazado por la IA y la tasa libre está en el 5,2 %. Excluimos 2021 porque el precio incluía TransCore y el negocio industrial vendidos en 2022.</w:t>
      </w:r>
    </w:p>
    <w:p>
      <w:pPr>
        <w:pStyle w:val="Heading1"/>
      </w:pPr>
      <w:r>
        <w:t xml:space="preserve">18. Comparables cotizados</w:t>
      </w:r>
    </w:p>
    <w:p>
      <w:pPr>
        <w:pStyle w:val="Confianza"/>
        <w:spacing w:after="100"/>
      </w:pPr>
      <w:r>
        <w:t xml:space="preserve">Confianza: Media</w:t>
      </w:r>
    </w:p>
    <w:p>
      <w:pPr>
        <w:spacing w:after="100"/>
      </w:pPr>
      <w:r>
        <w:t xml:space="preserve">Seis compañías en dos grupos: software vertical cotizado en Norteamérica (Constellation Software, Tyler, Veeva e Intuit) y conglomerados de nicho con gestión descentralizada y compras (AMETEK y Fortive) [17, 18, 24, 31]. Roper está entre los dos: 78 % software, 22 % productos. Añadimos Descartes (software logístico, comparable de DAT). Excluimos Danaher (salud) y Topicus/Lumine (filiales de Constellation). Las cifras de Tyler, Descartes, Constellation, Veeva e Intuit vienen de los informes del repo del 10 y 14-oct con MarketScreener (los precios se han movido poco desde entonces); las de AMETEK y Fortive, de MarketScreener a 14-oct, con el EBITDA y el BPA del mismo proveedor. El PER de los comparables mezcla bases (GAAP y ajustado): solo entra en el alcista de la regla.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16,1x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20,1x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 / 30,7x / 32,8x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 / 5,7x / 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17,6 + -0,09 × crecimiento; R² = 0,01. El crecimiento explica poco los múltiplos de estos comparables (R² &lt; 0,3): la regresión no se usa en la valoración.</w:t>
      </w:r>
    </w:p>
    <w:p>
      <w:pPr>
        <w:spacing w:after="100"/>
      </w:pPr>
      <w:r>
        <w:t xml:space="preserve">Roper es el más barato del grupo por EV/EBITDA (14,2x frente a 15,3-38,8x de los demás, salvo Intuit con 12,8x) con el margen EBITDA más alto (39,1 %), pero también el de menor crecimiento esperado (6,5 %) y ROIC publicado (6,4 %), y el más endeudado (3,4 veces). El descuento frente a Tyler y AMETEK (22x de EV/EBITDA a 12 meses) se explica por la deuda y por la exposición de parte de su software a la IA; frente a Intuit, que ya cotiza con el mismo miedo, no hay descuento. El PER de los comparables mezcla bases de BPA (GAAP y ajustado) y no lo usamos como ancla; damos un 20 % del peso a este método.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Weave Communications (software vertical para clínicas)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34 %; EV/ventas de 12 meses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MeridianLink (software vertical de préstamos)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NCR Digital Banking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 Services, Inc. (software para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Centerview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Bottomline Technologies (software de pagos)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CoreLogic (datos y software inmobiliario)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Point e Insight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Centerview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Indicor Instrumentation (participada de Roper)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Instrumentación industrial, no software; sin múltiplo publicado. Roper cobrará ~1.300 M antes de impuestos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(14,3x – 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369,71 – 555,64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vertical por capital riesgo se han pagado a 13-27 veces el EBITDA ajustado (mediana de 15,5x) [29]; Roper vale hoy 14,2 veces el EBITDA publicado, dentro de ese rango y sin prima de control. Con 36.730 M de capitalización y sin accionista de control, una opa es improbable, pero el precio actual es el de una operación privada. La venta de Indicor Instrumentation a AMETEK por 5.000 M (no publica múltiplo) da a Roper ~1.300 M antes de impuestos [4].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solo crecimiento orgánico, sin compras (ni su coste): 8,2 % en 2026 (guía de ventas del 8 % o más, con el efecto de las compras de 2025 [3]), 6 % en 2027-2028 (la guía orgánica de 2026 [3]), y bajada gradual hasta el 3 % en 2035. Es menos que el 11,5 % que prevé Mordor para el software vertical [9] y que el TCAC de ventas de 2021-2025 (13,1 %), que llevaba compras. El riesgo de la IA va en los escenarios.</w:t>
      </w:r>
    </w:p>
    <w:p>
      <w:pPr>
        <w:keepNext/>
        <w:spacing w:after="100"/>
      </w:pPr>
      <w:r>
        <w:rPr>
          <w:b/>
          <w:bCs/>
        </w:rPr>
        <w:t xml:space="preserve">Márgenes.</w:t>
      </w:r>
    </w:p>
    <w:p>
      <w:pPr>
        <w:spacing w:after="100"/>
      </w:pPr>
      <w:r>
        <w:t xml:space="preserve">Margen EBITDA del 38,9 % en 2026 (38,4 % en el 1S26, con el 2S más fuerte por estacionalidad [4]) y subida lenta al 39,5 %, por debajo del 39,7 % de 2025. Los nuevos productos de IA y la mezcla de pagos (Transact, Subsplash) presionan el margen bruto [1]; no damos expansión.</w:t>
      </w:r>
    </w:p>
    <w:p>
      <w:pPr>
        <w:keepNext/>
        <w:spacing w:after="100"/>
      </w:pPr>
      <w:r>
        <w:rPr>
          <w:b/>
          <w:bCs/>
        </w:rPr>
        <w:t xml:space="preserve">Inversión y circulante.</w:t>
      </w:r>
    </w:p>
    <w:p>
      <w:pPr>
        <w:spacing w:after="100"/>
      </w:pPr>
      <w:r>
        <w:t xml:space="preserve">Capex más software activado del 1,3-1,5 % de las ventas (guía de la empresa: 1,0-1,5 % [1]). La amortización (10,8 % de las ventas en 2026) es sobre todo de intangibles comprados; sin compras nuevas se va agotando y la llevamos al 1,5 % en 2035, igual que el capex. El circulante es negativo (−11,5 % de las ventas, por los cobros anticipados) y libera caja al crecer [1].</w:t>
      </w:r>
    </w:p>
    <w:p>
      <w:pPr>
        <w:keepNext/>
        <w:spacing w:after="100"/>
      </w:pPr>
      <w:r>
        <w:rPr>
          <w:b/>
          <w:bCs/>
        </w:rPr>
        <w:t xml:space="preserve">Coste del capital.</w:t>
      </w:r>
    </w:p>
    <w:p>
      <w:pPr>
        <w:spacing w:after="100"/>
      </w:pPr>
      <w:r>
        <w:t xml:space="preserve">Tasa libre del 5,21 % (bono del Tesoro a 10 años, 13-oct-2026 [26]), beta de 0,85 (la ajustada semanal de cinco años es 0,84 y la mensual 0,73 [23]; subimos algo por el riesgo de la IA), prima de mercado del 5,5 %. Coste de la deuda del 4,6 % antes de impuestos (los últimos bonos y la línea de crédito, frente al 3,8 % medio histórico) y peso de la deuda del 24 % a valor de mercado. WACC del 8,38 %.</w:t>
      </w:r>
    </w:p>
    <w:p>
      <w:pPr>
        <w:keepNext/>
        <w:spacing w:after="100"/>
      </w:pPr>
      <w:r>
        <w:rPr>
          <w:b/>
          <w:bCs/>
        </w:rPr>
        <w:t xml:space="preserve">Valor terminal.</w:t>
      </w:r>
    </w:p>
    <w:p>
      <w:pPr>
        <w:spacing w:after="100"/>
      </w:pPr>
      <w:r>
        <w:t xml:space="preserve">Crecimiento a perpetuidad del 3,0 %: inflación de ~2,5 % y algo de crecimiento real, por debajo de la tasa libre menos medio punto (4,7 %). El valor terminal pesa un 61 % del valor, normal para un negocio de este perfil.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604,17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-6.102 M (-22 % del NOPAT)</w:t>
            </w:r>
          </w:p>
        </w:tc>
      </w:tr>
    </w:tbl>
    <w:p>
      <w:pPr>
        <w:spacing w:after="160" w:before="0"/>
      </w:pPr>
    </w:p>
    <w:p>
      <w:pPr>
        <w:spacing w:after="100"/>
      </w:pPr>
      <w:r>
        <w:t xml:space="preserve">La proyección apenas necesita inversión neta de la amortización (reinversión acumulada de -6.102 M, con un capex bruto medio del 1,4 % de las ventas). En un negocio de activos ligeros, el crecimiento medio del 4,9 %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a partes iguales en el orgánico de ~6 % de la guía; 2,2 puntos por las compras de 2025 (CentralReach, Subsplash, Orchard)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subidas de precio del 3 % (en línea con la inflación salarial que repercute) y 3 % de módulos nuevos, clientes y transacciones.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la cartera a 12 meses crece un 11 %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gradual por madurez de los nichos y por la IA en los negocios documentales.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5 %, por debajo del promedio de 2023-2025.</w:t>
            </w:r>
          </w:p>
        </w:tc>
      </w:tr>
    </w:tbl>
    <w:p>
      <w:pPr>
        <w:spacing w:after="160" w:before="0"/>
      </w:pPr>
    </w:p>
    <w:p>
      <w:pPr>
        <w:spacing w:after="100"/>
      </w:pPr>
      <w:r>
        <w:t xml:space="preserve">Roper no necesita capital para crecer orgánicamente: capex del 1,3 % y circulante negativo, por lo que la reinversión es negativa y la prueba del motor no se puede hacer. La prueba es el poder de precios: el margen bruto se ha mantenido en el 69 % y los ingresos recurrentes crecieron un 12,7 % en 2025 [1], así que un orgánico del 5-6 % es coherente con su historia (5,4 % en 2025, 8 % en 2023). El «en parte» viene de la IA: puede reducir puestos de usuario y precios en los negocios documentales, y el ROIC publicado (6,4 %) no cubre el WACC por el fondo de comercio de las compras, de modo que el crecimiento comprado no ha creado valor contable. No rebajamos el base porque ninguna prueba falla (no hay reinversión que contrastar ni cuota que exceder).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8,4 %)</w:t>
            </w:r>
          </w:p>
        </w:tc>
      </w:tr>
    </w:tbl>
    <w:p>
      <w:pPr>
        <w:spacing w:after="160" w:before="0"/>
      </w:pPr>
    </w:p>
    <w:p>
      <w:pPr>
        <w:spacing w:after="100"/>
      </w:pPr>
      <w:r>
        <w:t xml:space="preserve">El DCF da 480,27 USD por acción (+30,4 % sobre 368,41), con un 61 % del valor en el terminal. El DCF inverso dice que el precio descuenta un crecimiento de solo el 1,6 % anual en 2027-2035 (nuestro base: 4,5 %) o, con nuestro crecimiento, un margen EBITDA del 31,8 % en vez del 39,5 %; la rentabilidad implícita es del 9,7 % frente a un WACC del 8,38 %. Es una expectativa conservadora frente a una historia de orgánico del 5-8 %: el mercado no descuenta el hundimiento, pero sí que Roper deje de crecer en términos reales, lo que equivale a suponer que la IA anula su poder de precios. Con la prima implícita del mercado (4,2 %) el DCF sube a 584,16. La conclusión depende de la IA: si el orgánico se mantiene por encima del 4 % dos o tres años, el precio es bajo.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erosiona los negocios documentales (despachos, propuestas de contratistas, guarderías): bajas de puestos y descuentos llevan el orgánico al 2-3 % y el margen cae dos puntos. Es lo que el mercado ya teme desde febrero y lo que le ha pasado a las editoriales de información jurídica.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en 2027-2028 y bajada gradual, margen estable cerca del 39 %, sin compras nuevas. La IA se vende como módulos y compensa la presión en precios.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módulos de IA sobre datos propios elevan el precio por cliente: orgánico del 7-7,5 %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68,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435,11 USD (+18,1 %).</w:t>
      </w:r>
    </w:p>
    <w:p>
      <w:pPr>
        <w:spacing w:after="100"/>
      </w:pPr>
      <w:r>
        <w:t xml:space="preserve">La asimetría es favorable: el alcista gana un 52,8 % y el bajista pierde un 25,5 % (2,07 veces), con un 30 % de probabilidad para el bajista por el riesgo de la IA, más que el 25 % habitual. El bajista es verosímil y ya ha pasado en el sector (Thomson Reuters −16 % el 3-feb-2026 [12]), pero el precio actual queda más cerca del bajista que del base.</w:t>
      </w:r>
    </w:p>
    <w:p>
      <w:pPr>
        <w:pStyle w:val="Heading1"/>
      </w:pPr>
      <w:r>
        <w:t xml:space="preserve">22. Suma de partes</w:t>
      </w:r>
    </w:p>
    <w:p>
      <w:pPr>
        <w:pStyle w:val="Confianza"/>
        <w:spacing w:after="100"/>
      </w:pPr>
      <w:r>
        <w:t xml:space="preserve">Confianza: Media</w:t>
      </w:r>
    </w:p>
    <w:p>
      <w:pPr>
        <w:spacing w:after="100"/>
      </w:pPr>
      <w:r>
        <w:t xml:space="preserve">No la usamos: los tres segmentos comparten la misma lógica de caja (márgenes altos, poca inversión) y solo publican el resultado antes de costes centrales; una suma de partes con múltiplos de software para el 78 % y de instrumentos para el 22 % daría un valor parecido al de los comparables, que ya mezclan los dos grupos.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68,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475,57 USD (+29,1 % sobre 368,41).</w:t>
      </w:r>
    </w:p>
    <w:p>
      <w:pPr>
        <w:spacing w:after="100"/>
      </w:pPr>
      <w:r>
        <w:t xml:space="preserve">Pesamos el DCF y los escenarios (40 % cada uno) porque Roper es un negocio estable de caja libre alta y la pregunta es cuánto dura su crecimiento; los comparables (20 %) mezclan software y conglomerados con bases de BPA distintas y los usamos como control. No usamos transacciones: son de capital riesgo con prima de control y EBITDA ajustado. La dispersión es amplia: el bajista vale 274,59 USD y el PER de los comparables da más de 560, porque el mercado ya paga a Roper un múltiplo de software «amenazado» (EV/EBITDA de 14,2x frente a 22-26x de Tyler y AMETEK). El DCF da 480,27 USD con un WACC del 8,38 %; con la prima del mercado, 553,37.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(21.4x) × 1.1 (tope: la mediana de 5 años, 37.2x,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r>
    </w:tbl>
    <w:p>
      <w:pPr>
        <w:spacing w:after="160" w:before="0"/>
      </w:pPr>
    </w:p>
    <w:p>
      <w:pPr>
        <w:spacing w:after="100"/>
      </w:pPr>
      <w:r>
        <w:rPr>
          <w:b/>
          <w:bCs/>
        </w:rPr>
        <w:t xml:space="preserve">Objetivo a 12 meses (ponderado):</w:t>
      </w:r>
      <w:r>
        <w:t xml:space="preserve"> 447,02 USD · rentabilidad +22,3 % (base +22,6 %) · señal Comprar.</w:t>
      </w:r>
    </w:p>
    <w:p>
      <w:pPr>
        <w:spacing w:after="100"/>
      </w:pPr>
      <w:r>
        <w:t xml:space="preserve">Para comparar, con la regla v2 (historia al cierre, mismo precio): 18,2x / 21,4x / 27,8x, 11,6 % Mantener; con el tope anterior del base (×1,3, 14-oct mediodía): 44,1 % Comprar. Decide la regla vigente (v3 con tope ×1,1; METODO-VIGENTE.md).</w:t>
      </w:r>
    </w:p>
    <w:p>
      <w:pPr>
        <w:keepNext/>
        <w:spacing w:after="100"/>
      </w:pPr>
      <w:r>
        <w:rPr>
          <w:b/>
          <w:bCs/>
        </w:rPr>
        <w:t xml:space="preserve">Frente al consenso (solo contraste).</w:t>
      </w:r>
    </w:p>
    <w:p>
      <w:pPr>
        <w:spacing w:after="100"/>
      </w:pPr>
      <w:r>
        <w:t xml:space="preserve">Nuestro BPA 2027e (17,18 USD) queda un 8 % por debajo del consenso GAAP (18,72) y el de 2028e (19,08) un 5 % por debajo (20,16) [24]. La diferencia es de perímetro y de acciones: no proyectamos compras ni recompras no anunciadas, y mantenemos la amortización de lo comprado cerca de 900 M al año. Nuestro precio base (448,38) queda un 2,0 % por encima del objetivo medio de los analistas (439,43), dentro de su rango (355-625) [24, 25]. Las tres cifras de 2026 no son comparables: el consenso (25,18) incluye la revalorización de Indicor.</w:t>
      </w:r>
    </w:p>
    <w:p>
      <w:pPr>
        <w:keepNext/>
        <w:spacing w:after="100"/>
      </w:pPr>
      <w:r>
        <w:rPr>
          <w:b/>
          <w:bCs/>
        </w:rPr>
        <w:t xml:space="preserve">Del valor intrínseco al objetivo a 12 meses.</w:t>
      </w:r>
    </w:p>
    <w:p>
      <w:pPr>
        <w:spacing w:after="100"/>
      </w:pPr>
      <w:r>
        <w:t xml:space="preserve">El objetivo a 12 meses (447,02 USD) y el valor intrínseco (475,57) están cerca: un 6 % de distancia. Para cerrarla basta con que el BPA crezca según la guía y el múltiplo recupere parte de lo perdido desde enero (de 21,4x a 23,5x adelantado, muy por debajo de su mediana de 37,2x). El catalizador con fecha son los resultados del 3T26 el 22-oct, con la primera lectura del efecto de la recompra y del cobro de Indicor. Lo que haría falta para que el PER no se recupere es que la IA empiece a notarse en las cifras (orgánico por debajo del 4 %).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actualizada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margen, recompras del trimestre y primera cifra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~1.300 M por la venta de Indicor Instrumentation a AMETEK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neta en ~0,35 veces el EBITDA o financia más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efecto completo de la IA; un orgánico guiado ≥ 6 % reactivaría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 los 2.776 M de recompra restantes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un 7-8 % más de BPA por acción a estos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Lanzamientos de agentes de IA de los grandes modelos en nichos de Roper (jurídico, contratación)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caída de múltiplo como la de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sustituye funciones del software vertical (Aderant, Deltek, Procare) y reduce puestos y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y regulados, integración en el flujo del cliente, efectos de red en DAT; venta de módulos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Application Software &lt; 3 % o caída de la tasa de renovación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no se recupera aunque las cifras aguanten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(base al PER de hoy, 21,4x)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al 7 % de caja libre sobre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20x tras unos buenos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con deuda: ROIC publicado (6,4 %) por debajo del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a recompras; ROIC incremental del 9,5 %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&gt; 3.000 M a más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de ~3,4 veces el EBITDA y refinanciación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coste de la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Covenant holgado (32 % frente a 65 %), cobro de Indicor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&gt; 4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y contratación federal (Deltek), y contadores de agua (Neptune)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unos 30 negocios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no recurrente de Application Software en caída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(21.341 M) si la IA rebaja el valor de lo comprado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 golpe de confianza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Márgenes de segmento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Pruebas de deterioro con holgura menor en el 10-K</w:t>
            </w:r>
          </w:p>
        </w:tc>
      </w:tr>
    </w:tbl>
    <w:p>
      <w:pPr>
        <w:spacing w:after="160" w:before="0"/>
      </w:pPr>
    </w:p>
    <w:p>
      <w:pPr>
        <w:pStyle w:val="Heading2"/>
      </w:pPr>
      <w:r>
        <w:t xml:space="preserve">Pre-mortem</w:t>
      </w:r>
    </w:p>
    <w:p>
      <w:pPr>
        <w:spacing w:after="100"/>
      </w:pPr>
      <w:r>
        <w:t xml:space="preserve">Octubre de 2029: Roper vale un 40 % menos. Durante 2027 los grandes modelos de IA lanzaron agentes específicos para despachos de abogados y para propuestas de contratistas públicos que hacían en minutos lo que el software de Aderant y Deltek organizaba en semanas. Los clientes no cancelaron de golpe, pero renegociaron a la baja los puestos al renovar, y el orgánico de Application Software cayó del 5 % al 1 %. La dirección respondió comprando empresas «nativas en IA» a múltiplos altos con deuda, la deuda neta pasó de 4 veces el EBITDA y la agencia rebajó la nota. El mercado dejó de ver a Roper como compounder y lo valoró a 15 veces beneficios. La señal temprana habría sido el crecimiento de los ingresos recurrentes por debajo del 8 % (12,7 % en 2025) y una guía orgánica de 2027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Roper no es el carbono (negocio de software y productos ligeros) sino la ciberseguridad y la privacidad de los datos de clientes sanitarios, educativos y jurídicos, y el capital humano (más de la mitad de los costes son personal) [1]. Un incidente de ciberseguridad en un negocio de datos regulados (Clinisys, CentralReach) tendría coste legal y de reputación. Roper mantiene un plan centralizado de respuesta a incidentes y seguros cibernéticos [1].</w:t>
      </w:r>
    </w:p>
    <w:p>
      <w:pPr>
        <w:pStyle w:val="Heading2"/>
      </w:pPr>
      <w:r>
        <w:t xml:space="preserve">Controversias</w:t>
      </w:r>
    </w:p>
    <w:p>
      <w:pPr>
        <w:spacing w:after="100"/>
      </w:pPr>
      <w:r>
        <w:t xml:space="preserve">No hemos encontrado sanciones ni litigios materiales en tres años; en 2022 registró un cargo por un acuerdo legal (0,33 USD por acción) y en 2024 otro menor (0,08 USD)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Application Software se cobra por puesto de usuario y cómo ha evolucionado el número de puestos en Aderant y Deltek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por el que la IA destruiría ingresos; decide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ya los módulos de IA y con qué precio sobre el producto base?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cifras, la tesis de que la IA amplía el mercado es una afirmación.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las compras frente a la recompra a estos precios, y cuál es el tope de deuda neta/EBITDA?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publicado no cubre el WACC; la recompra rinde ~7 % de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harán con los ~1.100 M netos de Indicor y qué valor tiene la parte restante (Flow Controls)?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~11 USD por acción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Deltek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caído el ingreso no recurrente de Deltek por los recortes de contratación federal y cuándo se estabiliza?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causa de los fallos de ventas de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incentivo a largo plazo usa el beneficio ajustado sin la amortización de lo comprado y no el ROIC?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 crecer comprando aunque no cree valor.</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($ROP)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mayoritariamente técnicos: tendencia bajista con la media de 200 sesiones a la baja y el hueco de enero cerrado en octubre; algunos la llaman «infravalorada» y destacan la recompra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agosto ven la recompra de 3.200 M como una buena apuesta y la acción como «compra prudente» pese a los riesgos [34,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bajista: deuda en aumento, competencia por las compras y la IA como amenaza al software vertical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pregunta si la caída del 38 % es oportunidad; destaca la capacidad de 6.000 M para compras o recompras frente al miedo a la IA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el software vertical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aún no lo muestran: orgánico del 4,9 % en el 2T26, recurrentes +12,7 % en 2025 y margen bruto al alza; el riesgo es de múltiplo y a 3-5 años, no de resultados hoy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masiva a precios bajos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9,0 M de acciones (8 % del capital) a ~350 USD de media; pero se ha hecho con deuda (la deuda neta sube a ~3,4 veces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bajista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entra en la valoración; señala que el mercado no ha cambiado de opinión desde enero.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disciplina en las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neta pasó de 6.116 M (2023) a ~10.950 M (jun-26); el covenant tiene holgura (32 % frente a 65 %).</w:t>
            </w:r>
          </w:p>
        </w:tc>
      </w:tr>
    </w:tbl>
    <w:p>
      <w:pPr>
        <w:spacing w:after="160" w:before="0"/>
      </w:pPr>
    </w:p>
    <w:p>
      <w:pPr>
        <w:spacing w:after="100"/>
      </w:pPr>
      <w:r>
        <w:t xml:space="preserve">El sentimiento de los particulares está dividido y algo mejor que en primavera: los artículos de agosto aplauden la recompra y los mensajes de octubre son sobre todo técnicos y bajistas. Nadie aporta un dato nuevo sobre la erosión por la IA; el debate es de percepción. No hay euforia ni capitulación: la acción está un 29 % por debajo de hace un año sin que el sentimiento sea extremo. Coincide con los analistas, que están repartidos (7 comprar, 9 mantener, 3 vender).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37 (18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-11,5 % frente a -11,6 % real: genera una variación de circulante de -69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siete comparables de dos negocios distintos (software y conglomerados de instrumentos) el crecimiento no explica el múltiplo;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11,6 %: para comprar o ampliar hace falta motivo de negocio propio; para mantener basta la vigente. Explicación: La v2 de control da 11,6 %: por eso el informe recomienda Mantener y no Comprar (justificación de la recomendación).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segmentos (solo por segmento y tipo de ingreso); 2) 10-Q 2T26; 3) XBRL (sin desglose geográfico de ingresos útil)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lo cita); 2) 10-Q 2T26; 3) 8-K de financiación de abril de 2026 (línea de crédito,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las cita); 2) proxy 2026 (sin calificaciones); 3) no se buscó en las agencias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Form 10-K 2025 (cuentas, segmentos, deuda, ingresos por tipo)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https://www.sec.gov/Archives/edgar/data/882835/000088283526000009/rop-20251231.htm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announces 2025 financial results (nota de resultados del 4T25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https://www.sec.gov/Archives/edgar/data/882835/000088283526000003/a2025q4earningsrelease.htm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second quarter financial results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https://www.sec.gov/Archives/edgar/data/882835/000088283526000031/a2026q2earningsrelease.htm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https://www.sec.gov/Archives/edgar/data/882835/000088283526000036/rop-20260630.htm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2023 financial results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https://www.sec.gov/Archives/edgar/data/882835/000088283524000002/a2023q4earningsrelease.htm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2022 financial results (4T22; flujos de operaciones continuadas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https://www.sec.gov/Archives/edgar/data/882835/000088283523000010/a2022q4earningsrelease.htm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hechos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https://data.sec.gov/api/xbrl/companyfacts/CIK0000882835.json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announces 2024 financial results (4T24 y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https://www.sec.gov/Archives/edgar/data/882835/000088283525000003/a2024q4earningsrelease.htm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and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https://www.mordorintelligence.com/industry-reports/vertical-software-market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Share &amp; Trends (Grand View Research, vía GII)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https://www.gii.tw/report/grvi1814014-vertical-software-market-size-share-trends.html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IGV Bounces 5% But the SaaS Selloff May Not Be Over Yet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https://finance.yahoo.com/news/igv-bounces-5-saas-selloff-184237901.html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stocks: Anthropic AI tool sparks software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https://edition.cnn.com/2026/02/04/investing/us-stocks-anthropic-software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https://data.sec.gov/api/xbrl/companyfacts/CIK0000860731.json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resultados del 4T del ejercicio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https://www.sec.gov/Archives/edgar/data/1393052/000139305226000007/veev-20260131q426xex991.htm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Form 10-K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Inc.: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https://www.marketscreener.com/quote/stock/AMETEK-INC-11635/finances/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Fortive Corporation: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https://www.marketscreener.com/quote/stock/FORTIVE-CORPORATION-28859043/finances/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https://www.sec.gov/Archives/edgar/data/882835/000119312526145481/d204543ddef14a.htm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19-may-2026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https://www.sec.gov/Archives/edgar/data/882835/000119312526230480/d156759d8k.htm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Roper Technologies (CIK 882835),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https://www.sec.gov/cgi-bin/browse-edgar?action=getcompany&amp;CIK=0000882835&amp;type=4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Abhijit Dubey joins Roper Technologies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https://www.sec.gov/Archives/edgar/data/882835/000088283526000039/exhibit991pressreleaseoct1.htm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ROP, ^GSPC e IGV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estimaciones anuales y consenso (19 analistas, objetivo medio 439,43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https://www.marketscreener.com/quote/stock/ROPER-TECHNOLOGIES-INC-14279/finances/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(ROP)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https://www.marketbeat.com/stocks/NASDAQ/ROP/forecast/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schedules third quarter 2026 financial results conference call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https://finviz.com/news/397733/roper-technologies-schedules-third-quarter-2026-financial-results-conference-call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DEFM14A: Selected Precedent Transactions Analysis (Centerview)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https://www.sec.gov/Archives/edgar/data/1834494/000114036125035721/ny20054829x2_defm14a.htm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DEFM14A, fusión con Francisco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https://www.sec.gov/Archives/edgar/data/1609151/000114036126037628/ny20081403x2_defm14a.htm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Constellation Software, Veeva e Intuit (informes del repo del 10 y 14-oct-2026, con MarketScreener y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cuentas de las empresas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https://www.marketscreener.com/quote/stock/CONSTELLATION-SOFTWARE-IN-1409607/finances/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artículos y noticias de ROP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https://seekingalpha.com/api/sa/combined/ROP.xml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$ROP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https://api.stocktwits.com/api/2/streams/symbol/ROP.json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A Cautious Buy Despite The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https://seekingalpha.com/article/4939467-roper-technologies-cautious-buy-despite-the-risks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$3.2 Billion Bet On Itself Looks Smart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https://seekingalpha.com/article/4938770-roper-technologies-3-2-billion-bet-on-itself-look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Growth Strategy Faces Headwinds From Debt, Competition, And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https://seekingalpha.com/article/4914828-roper-technologies-growth-strategy-faces-headwind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Stock Has Lost 38% From Its Highs: Is the Selloff a Buying Opportunity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https://www.tikr.com/blog/roper-stock-has-lost-38-from-its-highs-is-the-selloff-a-buying-opportunity-in-2026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14 oct 2026.</w:t>
      </w:r>
    </w:p>
    <w:p>
      <w:pPr>
        <w:pStyle w:val="Nota"/>
        <w:spacing w:after="100"/>
      </w:pPr>
      <w:r>
        <w:t xml:space="preserve">Cuenta de 2021-2025 de operaciones continuadas, reexpresada tras las ventas de 2022 (TransCore, industrial); el balance de 2021 aún incluye los negocios vendidos. Los segmentos solo están con la segmentación vigente en 2023-2025. El BPA de la historia del PER y del objetivo a 12 meses es GAAP «limpio»: con la amortización de intangibles comprados y sin las revalorizaciones de Indicor y Certinia ni partidas puntuales (conciliaciones de la empresa). El precio es el cierre del 13-oct-2026 (la sesión del 14-oct no había cerrado). Acciones: 98,9 M a 28-jul-2026 más 0,8 M de dilución por opciones; no sabemos cuántas recompró en el 3T26 (se sabrá el 22-oct). Comparables de Tyler, Descartes, Constellation, Veeva e Intuit tomados de los informes del repo del 10 y 14-oct (MarketScreener); los de AMETEK y Fortive, de MarketScreener a 14-oct. Arrendamientos operativos (US GAAP) fuera de la deuda.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Roper Technologies, Inc. (ROP)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368,41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(305,96 – 519,10)</c:v>
                </c:pt>
                <c:pt idx="1">
                  <c:v>Precio objetivo de los analistas (355,00 – 625,00)</c:v>
                </c:pt>
                <c:pt idx="2">
                  <c:v>Comparables: EV/EBITDA NTM (372,48 – 648,24)</c:v>
                </c:pt>
                <c:pt idx="3">
                  <c:v>Comparables: PER NTM (566,81 – 658,26)</c:v>
                </c:pt>
                <c:pt idx="4">
                  <c:v>Transacciones precedentes (EV/EBITDA) (369,71 – 555,64)</c:v>
                </c:pt>
                <c:pt idx="5">
                  <c:v>DCF (WACC y g ± 0,5) (406,91 – 586,32)</c:v>
                </c:pt>
                <c:pt idx="6">
                  <c:v>Escenarios (bajista – alcista) (274,59 – 562,99)</c:v>
                </c:pt>
                <c:pt idx="7">
                  <c:v>DCF con la prima implícita del mercado (4,2 %)</c:v>
                </c:pt>
                <c:pt idx="8">
                  <c:v>Precio actual (368,41)</c:v>
                </c:pt>
              </c:strCache>
            </c:strRef>
          </c:cat>
          <c:val>
            <c:numRef>
              <c:f>Hoja1!$B$2:$B$10</c:f>
              <c:numCache>
                <c:formatCode>#,##0</c:formatCode>
                <c:ptCount val="9"/>
                <c:pt idx="0">
                  <c:v>305.96</c:v>
                </c:pt>
                <c:pt idx="1">
                  <c:v>355</c:v>
                </c:pt>
                <c:pt idx="2">
                  <c:v>372.48</c:v>
                </c:pt>
                <c:pt idx="3">
                  <c:v>566.81</c:v>
                </c:pt>
                <c:pt idx="4">
                  <c:v>369.71</c:v>
                </c:pt>
                <c:pt idx="5">
                  <c:v>406.91</c:v>
                </c:pt>
                <c:pt idx="6">
                  <c:v>274.59</c:v>
                </c:pt>
                <c:pt idx="7">
                  <c:v>518.13</c:v>
                </c:pt>
                <c:pt idx="8">
                  <c:v>366.57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(305,96 – 519,10)</c:v>
                </c:pt>
                <c:pt idx="1">
                  <c:v>Precio objetivo de los analistas (355,00 – 625,00)</c:v>
                </c:pt>
                <c:pt idx="2">
                  <c:v>Comparables: EV/EBITDA NTM (372,48 – 648,24)</c:v>
                </c:pt>
                <c:pt idx="3">
                  <c:v>Comparables: PER NTM (566,81 – 658,26)</c:v>
                </c:pt>
                <c:pt idx="4">
                  <c:v>Transacciones precedentes (EV/EBITDA) (369,71 – 555,64)</c:v>
                </c:pt>
                <c:pt idx="5">
                  <c:v>DCF (WACC y g ± 0,5) (406,91 – 586,32)</c:v>
                </c:pt>
                <c:pt idx="6">
                  <c:v>Escenarios (bajista – alcista) (274,59 – 562,99)</c:v>
                </c:pt>
                <c:pt idx="7">
                  <c:v>DCF con la prima implícita del mercado (4,2 %)</c:v>
                </c:pt>
                <c:pt idx="8">
                  <c:v>Precio actual (368,41)</c:v>
                </c:pt>
              </c:strCache>
            </c:strRef>
          </c:cat>
          <c:val>
            <c:numRef>
              <c:f>Hoja1!$C$2:$C$10</c:f>
              <c:numCache>
                <c:formatCode>#,##0</c:formatCode>
                <c:ptCount val="9"/>
                <c:pt idx="0">
                  <c:v>213.14000000000004</c:v>
                </c:pt>
                <c:pt idx="1">
                  <c:v>270</c:v>
                </c:pt>
                <c:pt idx="2">
                  <c:v>275.76</c:v>
                </c:pt>
                <c:pt idx="3">
                  <c:v>91.45000000000005</c:v>
                </c:pt>
                <c:pt idx="4">
                  <c:v>185.93</c:v>
                </c:pt>
                <c:pt idx="5">
                  <c:v>179.41000000000003</c:v>
                </c:pt>
                <c:pt idx="6">
                  <c:v>288.40000000000003</c:v>
                </c:pt>
                <c:pt idx="7">
                  <c:v>148.44000000000005</c:v>
                </c:pt>
                <c:pt idx="8">
                  <c:v>3.680000000000007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Application Software</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3186.9</c:v>
                </c:pt>
                <c:pt idx="1">
                  <c:v>3868.3</c:v>
                </c:pt>
                <c:pt idx="2">
                  <c:v>4483</c:v>
                </c:pt>
              </c:numCache>
            </c:numRef>
          </c:val>
        </c:ser>
        <c:ser>
          <c:idx val="1"/>
          <c:order val="1"/>
          <c:tx>
            <c:strRef>
              <c:f>Hoja1!$C$1</c:f>
              <c:strCache>
                <c:ptCount val="1"/>
                <c:pt idx="0">
                  <c:v>Network Software</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1439.4</c:v>
                </c:pt>
                <c:pt idx="1">
                  <c:v>1475.6</c:v>
                </c:pt>
                <c:pt idx="2">
                  <c:v>1600.8</c:v>
                </c:pt>
              </c:numCache>
            </c:numRef>
          </c:val>
        </c:ser>
        <c:ser>
          <c:idx val="2"/>
          <c:order val="2"/>
          <c:tx>
            <c:strRef>
              <c:f>Hoja1!$D$1</c:f>
              <c:strCache>
                <c:ptCount val="1"/>
                <c:pt idx="0">
                  <c:v>Technology Enabled Products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1551.5</c:v>
                </c:pt>
                <c:pt idx="1">
                  <c:v>1695.3</c:v>
                </c:pt>
                <c:pt idx="2">
                  <c:v>1818.7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Application Software</c:v>
                </c:pt>
                <c:pt idx="1">
                  <c:v>Network Software</c:v>
                </c:pt>
                <c:pt idx="2">
                  <c:v>Technology Enabled Products</c:v>
                </c:pt>
                <c:pt idx="3">
                  <c:v>Corporativo</c:v>
                </c:pt>
              </c:strCache>
            </c:strRef>
          </c:cat>
          <c:val>
            <c:numRef>
              <c:f>Hoja1!$B$2:$B$5</c:f>
              <c:numCache>
                <c:formatCode>General</c:formatCode>
                <c:ptCount val="4"/>
                <c:pt idx="0">
                  <c:v>56.7</c:v>
                </c:pt>
                <c:pt idx="1">
                  <c:v>20.3</c:v>
                </c:pt>
                <c:pt idx="2">
                  <c:v>23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147110</c:v>
                </c:pt>
                <c:pt idx="1">
                  <c:v>164060</c:v>
                </c:pt>
                <c:pt idx="2">
                  <c:v>282980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Roper</c:v>
                </c:pt>
                <c:pt idx="1">
                  <c:v>Constellation Software</c:v>
                </c:pt>
                <c:pt idx="2">
                  <c:v>Tyler Technologies</c:v>
                </c:pt>
                <c:pt idx="3">
                  <c:v>Veeva Systems</c:v>
                </c:pt>
                <c:pt idx="4">
                  <c:v>Intuit</c:v>
                </c:pt>
                <c:pt idx="5">
                  <c:v>AMETEK</c:v>
                </c:pt>
                <c:pt idx="6">
                  <c:v>Fortive</c:v>
                </c:pt>
              </c:strCache>
            </c:strRef>
          </c:cat>
          <c:val>
            <c:numRef>
              <c:f>Hoja1!$B$2:$B$8</c:f>
              <c:numCache>
                <c:formatCode>0.0"%"</c:formatCode>
                <c:ptCount val="7"/>
                <c:pt idx="0">
                  <c:v>28.3</c:v>
                </c:pt>
                <c:pt idx="1">
                  <c:v>16.3</c:v>
                </c:pt>
                <c:pt idx="2">
                  <c:v>15.3</c:v>
                </c:pt>
                <c:pt idx="3">
                  <c:v>28.7</c:v>
                </c:pt>
                <c:pt idx="4">
                  <c:v>27.4</c:v>
                </c:pt>
                <c:pt idx="5">
                  <c:v>26.2</c:v>
                </c:pt>
                <c:pt idx="6">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4833.8</c:v>
                </c:pt>
                <c:pt idx="1">
                  <c:v>5371.8</c:v>
                </c:pt>
                <c:pt idx="2">
                  <c:v>6177.8</c:v>
                </c:pt>
                <c:pt idx="3">
                  <c:v>7039.2</c:v>
                </c:pt>
                <c:pt idx="4">
                  <c:v>7902.5</c:v>
                </c:pt>
                <c:pt idx="5">
                  <c:v>8551</c:v>
                </c:pt>
                <c:pt idx="6">
                  <c:v>9064</c:v>
                </c:pt>
                <c:pt idx="7">
                  <c:v>9607</c:v>
                </c:pt>
                <c:pt idx="8">
                  <c:v>10136</c:v>
                </c:pt>
                <c:pt idx="9">
                  <c:v>10643</c:v>
                </c:pt>
                <c:pt idx="10">
                  <c:v>11121</c:v>
                </c:pt>
                <c:pt idx="11">
                  <c:v>11566</c:v>
                </c:pt>
                <c:pt idx="12">
                  <c:v>11971</c:v>
                </c:pt>
                <c:pt idx="13">
                  <c:v>12360</c:v>
                </c:pt>
                <c:pt idx="14">
                  <c:v>12731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1857.1</c:v>
                </c:pt>
                <c:pt idx="1">
                  <c:v>2174.6</c:v>
                </c:pt>
                <c:pt idx="2">
                  <c:v>2500.4</c:v>
                </c:pt>
                <c:pt idx="3">
                  <c:v>2809.6</c:v>
                </c:pt>
                <c:pt idx="4">
                  <c:v>3133.6</c:v>
                </c:pt>
                <c:pt idx="5">
                  <c:v>3326</c:v>
                </c:pt>
                <c:pt idx="6">
                  <c:v>3535</c:v>
                </c:pt>
                <c:pt idx="7">
                  <c:v>3766</c:v>
                </c:pt>
                <c:pt idx="8">
                  <c:v>3983</c:v>
                </c:pt>
                <c:pt idx="9">
                  <c:v>4193</c:v>
                </c:pt>
                <c:pt idx="10">
                  <c:v>4393</c:v>
                </c:pt>
                <c:pt idx="11">
                  <c:v>4569</c:v>
                </c:pt>
                <c:pt idx="12">
                  <c:v>4729</c:v>
                </c:pt>
                <c:pt idx="13">
                  <c:v>4882</c:v>
                </c:pt>
                <c:pt idx="14">
                  <c:v>5029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70.5</c:v>
                </c:pt>
                <c:pt idx="1">
                  <c:v>69.9</c:v>
                </c:pt>
                <c:pt idx="2">
                  <c:v>69.7</c:v>
                </c:pt>
                <c:pt idx="3">
                  <c:v>69.3</c:v>
                </c:pt>
                <c:pt idx="4">
                  <c:v>69.2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38.4</c:v>
                </c:pt>
                <c:pt idx="1">
                  <c:v>40.5</c:v>
                </c:pt>
                <c:pt idx="2">
                  <c:v>40.5</c:v>
                </c:pt>
                <c:pt idx="3">
                  <c:v>39.9</c:v>
                </c:pt>
                <c:pt idx="4">
                  <c:v>39.7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25.7</c:v>
                </c:pt>
                <c:pt idx="1">
                  <c:v>28.4</c:v>
                </c:pt>
                <c:pt idx="2">
                  <c:v>28.2</c:v>
                </c:pt>
                <c:pt idx="3">
                  <c:v>28.4</c:v>
                </c:pt>
                <c:pt idx="4">
                  <c:v>28.3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16.7</c:v>
                </c:pt>
                <c:pt idx="1">
                  <c:v>18.3</c:v>
                </c:pt>
                <c:pt idx="2">
                  <c:v>22.2</c:v>
                </c:pt>
                <c:pt idx="3">
                  <c:v>22</c:v>
                </c:pt>
                <c:pt idx="4">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12.9</c:v>
                </c:pt>
                <c:pt idx="1">
                  <c:v>16.3</c:v>
                </c:pt>
                <c:pt idx="2">
                  <c:v>12</c:v>
                </c:pt>
                <c:pt idx="3">
                  <c:v>13.2</c:v>
                </c:pt>
                <c:pt idx="4">
                  <c:v>14.3</c:v>
                </c:pt>
                <c:pt idx="5">
                  <c:v>9.7</c:v>
                </c:pt>
                <c:pt idx="6">
                  <c:v>11.3</c:v>
                </c:pt>
                <c:pt idx="7">
                  <c:v>8.5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4</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c:v>
                </c:pt>
                <c:pt idx="1">
                  <c:v>49</c:v>
                </c:pt>
                <c:pt idx="2">
                  <c:v>49</c:v>
                </c:pt>
                <c:pt idx="3">
                  <c:v>46</c:v>
                </c:pt>
                <c:pt idx="4">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c:v>
                </c:pt>
                <c:pt idx="1">
                  <c:v>25</c:v>
                </c:pt>
                <c:pt idx="2">
                  <c:v>23</c:v>
                </c:pt>
                <c:pt idx="3">
                  <c:v>20</c:v>
                </c:pt>
                <c:pt idx="4">
                  <c:v>21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c:v>
                </c:pt>
                <c:pt idx="1">
                  <c:v>28</c:v>
                </c:pt>
                <c:pt idx="2">
                  <c:v>28</c:v>
                </c:pt>
                <c:pt idx="3">
                  <c:v>25</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1597.6</c:v>
                </c:pt>
                <c:pt idx="1">
                  <c:v>1490.1000000000001</c:v>
                </c:pt>
                <c:pt idx="2">
                  <c:v>1927.1</c:v>
                </c:pt>
                <c:pt idx="3">
                  <c:v>2282.2</c:v>
                </c:pt>
                <c:pt idx="4">
                  <c:v>2435.6000000000004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805.3</c:v>
                </c:pt>
                <c:pt idx="1">
                  <c:v>985.6</c:v>
                </c:pt>
                <c:pt idx="2">
                  <c:v>1368.4</c:v>
                </c:pt>
                <c:pt idx="3">
                  <c:v>1549.3</c:v>
                </c:pt>
                <c:pt idx="4">
                  <c:v>1536.3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5.7</c:v>
                </c:pt>
                <c:pt idx="2">
                  <c:v>6</c:v>
                </c:pt>
                <c:pt idx="3">
                  <c:v>6.3</c:v>
                </c:pt>
                <c:pt idx="4">
                  <c:v>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c:v>
                </c:pt>
                <c:pt idx="1">
                  <c:v>7.1</c:v>
                </c:pt>
                <c:pt idx="2">
                  <c:v>8.2</c:v>
                </c:pt>
                <c:pt idx="3">
                  <c:v>8.5</c:v>
                </c:pt>
                <c:pt idx="4">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4.08</c:v>
                </c:pt>
                <c:pt idx="1">
                  <c:v>2.7</c:v>
                </c:pt>
                <c:pt idx="2">
                  <c:v>2.45</c:v>
                </c:pt>
                <c:pt idx="3">
                  <c:v>2.65</c:v>
                </c:pt>
                <c:pt idx="4">
                  <c:v>2.87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705.8</c:v>
                </c:pt>
                <c:pt idx="1">
                  <c:v>1550.1</c:v>
                </c:pt>
                <c:pt idx="2">
                  <c:v>1300</c:v>
                </c:pt>
                <c:pt idx="3">
                  <c:v>1200</c:v>
                </c:pt>
                <c:pt idx="4">
                  <c:v>1100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217</c:v>
                </c:pt>
                <c:pt idx="1">
                  <c:v>4280.1</c:v>
                </c:pt>
                <c:pt idx="2">
                  <c:v>2052.7</c:v>
                </c:pt>
                <c:pt idx="3">
                  <c:v>3612.9</c:v>
                </c:pt>
                <c:pt idx="4">
                  <c:v>3290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236.4</c:v>
                </c:pt>
                <c:pt idx="1">
                  <c:v>262.3</c:v>
                </c:pt>
                <c:pt idx="2">
                  <c:v>290.2</c:v>
                </c:pt>
                <c:pt idx="3">
                  <c:v>321.9</c:v>
                </c:pt>
                <c:pt idx="4">
                  <c:v>355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Windacre Partnership</c:v>
                </c:pt>
                <c:pt idx="3">
                  <c:v>Autocartera</c:v>
                </c:pt>
              </c:strCache>
            </c:strRef>
          </c:cat>
          <c:val>
            <c:numRef>
              <c:f>Hoja1!$B$2:$B$5</c:f>
              <c:numCache>
                <c:formatCode>0.0"%"</c:formatCode>
                <c:ptCount val="4"/>
                <c:pt idx="0">
                  <c:v>11.6</c:v>
                </c:pt>
                <c:pt idx="1">
                  <c:v>9</c:v>
                </c:pt>
                <c:pt idx="2">
                  <c:v>6.9</c:v>
                </c:pt>
                <c:pt idx="3">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c:v>
                </c:pt>
                <c:pt idx="1">
                  <c:v>41.5</c:v>
                </c:pt>
                <c:pt idx="2">
                  <c:v>2.9</c:v>
                </c:pt>
                <c:pt idx="3">
                  <c:v>32.9</c:v>
                </c:pt>
                <c:pt idx="4">
                  <c:v>21.7</c:v>
                </c:pt>
                <c:pt idx="5">
                  <c:v>14.1</c:v>
                </c:pt>
                <c:pt idx="6">
                  <c:v>-12.2</c:v>
                </c:pt>
                <c:pt idx="7">
                  <c:v>26.2</c:v>
                </c:pt>
                <c:pt idx="8">
                  <c:v>-4.6</c:v>
                </c:pt>
                <c:pt idx="9">
                  <c:v>-14.4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32.3</c:v>
                </c:pt>
                <c:pt idx="1">
                  <c:v>23.9</c:v>
                </c:pt>
                <c:pt idx="2">
                  <c:v>25.9</c:v>
                </c:pt>
                <c:pt idx="3">
                  <c:v>22.6</c:v>
                </c:pt>
                <c:pt idx="4">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23.3</c:v>
                </c:pt>
                <c:pt idx="1">
                  <c:v>23.3</c:v>
                </c:pt>
                <c:pt idx="2">
                  <c:v>23.3</c:v>
                </c:pt>
                <c:pt idx="3">
                  <c:v>23.3</c:v>
                </c:pt>
                <c:pt idx="4">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Roper</c:v>
                </c:pt>
                <c:pt idx="1">
                  <c:v>Constellation Software</c:v>
                </c:pt>
                <c:pt idx="2">
                  <c:v>Tyler Technologies</c:v>
                </c:pt>
                <c:pt idx="3">
                  <c:v>Veeva Systems</c:v>
                </c:pt>
                <c:pt idx="4">
                  <c:v>Intuit</c:v>
                </c:pt>
                <c:pt idx="5">
                  <c:v>AMETEK</c:v>
                </c:pt>
                <c:pt idx="6">
                  <c:v>Fortive</c:v>
                </c:pt>
                <c:pt idx="7">
                  <c:v>Descartes Systems</c:v>
                </c:pt>
              </c:strCache>
            </c:strRef>
          </c:cat>
          <c:val>
            <c:numRef>
              <c:f>Hoja1!$B$2:$B$9</c:f>
              <c:numCache>
                <c:formatCode>0.0"x"</c:formatCode>
                <c:ptCount val="8"/>
                <c:pt idx="0">
                  <c:v>13</c:v>
                </c:pt>
                <c:pt idx="1">
                  <c:v>12.5</c:v>
                </c:pt>
                <c:pt idx="2">
                  <c:v>22.2</c:v>
                </c:pt>
                <c:pt idx="4">
                  <c:v>9.9</c:v>
                </c:pt>
                <c:pt idx="5">
                  <c:v>22.2</c:v>
                </c:pt>
                <c:pt idx="6">
                  <c:v>15.1</c:v>
                </c:pt>
                <c:pt idx="7">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6.5</c:v>
                </c:pt>
              </c:numCache>
            </c:numRef>
          </c:xVal>
          <c:yVal>
            <c:numRef>
              <c:f>Hoja1!$C$2</c:f>
              <c:numCache>
                <c:formatCode>0.0"x"</c:formatCode>
                <c:ptCount val="1"/>
                <c:pt idx="0">
                  <c:v>13</c:v>
                </c:pt>
              </c:numCache>
            </c:numRef>
          </c:yVal>
          <c:smooth val="0"/>
        </c:ser>
        <c:ser>
          <c:idx val="1"/>
          <c:order val="1"/>
          <c:tx>
            <c:strRef>
              <c:f>Hoja1!$A$3</c:f>
              <c:strCache>
                <c:ptCount val="1"/>
                <c:pt idx="0">
                  <c:v>Constellation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23.5</c:v>
                </c:pt>
              </c:numCache>
            </c:numRef>
          </c:xVal>
          <c:yVal>
            <c:numRef>
              <c:f>Hoja1!$C$3</c:f>
              <c:numCache>
                <c:formatCode>0.0"x"</c:formatCode>
                <c:ptCount val="1"/>
                <c:pt idx="0">
                  <c:v>12.5</c:v>
                </c:pt>
              </c:numCache>
            </c:numRef>
          </c:yVal>
          <c:smooth val="0"/>
        </c:ser>
        <c:ser>
          <c:idx val="2"/>
          <c:order val="2"/>
          <c:tx>
            <c:strRef>
              <c:f>Hoja1!$A$4</c:f>
              <c:strCache>
                <c:ptCount val="1"/>
                <c:pt idx="0">
                  <c:v>Tyler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9.8</c:v>
                </c:pt>
              </c:numCache>
            </c:numRef>
          </c:xVal>
          <c:yVal>
            <c:numRef>
              <c:f>Hoja1!$C$4</c:f>
              <c:numCache>
                <c:formatCode>0.0"x"</c:formatCode>
                <c:ptCount val="1"/>
                <c:pt idx="0">
                  <c:v>22.2</c:v>
                </c:pt>
              </c:numCache>
            </c:numRef>
          </c:yVal>
          <c:smooth val="0"/>
        </c:ser>
        <c:ser>
          <c:idx val="3"/>
          <c:order val="3"/>
          <c:tx>
            <c:strRef>
              <c:f>Hoja1!$A$5</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9.9</c:v>
                </c:pt>
              </c:numCache>
            </c:numRef>
          </c:yVal>
          <c:smooth val="0"/>
        </c:ser>
        <c:ser>
          <c:idx val="4"/>
          <c:order val="4"/>
          <c:tx>
            <c:strRef>
              <c:f>Hoja1!$A$6</c:f>
              <c:strCache>
                <c:ptCount val="1"/>
                <c:pt idx="0">
                  <c:v>AMETEK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c:v>
                </c:pt>
              </c:numCache>
            </c:numRef>
          </c:xVal>
          <c:yVal>
            <c:numRef>
              <c:f>Hoja1!$C$6</c:f>
              <c:numCache>
                <c:formatCode>0.0"x"</c:formatCode>
                <c:ptCount val="1"/>
                <c:pt idx="0">
                  <c:v>22.2</c:v>
                </c:pt>
              </c:numCache>
            </c:numRef>
          </c:yVal>
          <c:smooth val="0"/>
        </c:ser>
        <c:ser>
          <c:idx val="5"/>
          <c:order val="5"/>
          <c:tx>
            <c:strRef>
              <c:f>Hoja1!$A$7</c:f>
              <c:strCache>
                <c:ptCount val="1"/>
                <c:pt idx="0">
                  <c:v>Fortive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15.1</c:v>
                </c:pt>
              </c:numCache>
            </c:numRef>
          </c:yVal>
          <c:smooth val="0"/>
        </c:ser>
        <c:ser>
          <c:idx val="6"/>
          <c:order val="6"/>
          <c:tx>
            <c:strRef>
              <c:f>Hoja1!$A$8</c:f>
              <c:strCache>
                <c:ptCount val="1"/>
                <c:pt idx="0">
                  <c:v>Descartes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12.3</c:v>
                </c:pt>
              </c:numCache>
            </c:numRef>
          </c:xVal>
          <c:yVal>
            <c:numRef>
              <c:f>Hoja1!$C$8</c:f>
              <c:numCache>
                <c:formatCode>0.0"x"</c:formatCode>
                <c:ptCount val="1"/>
                <c:pt idx="0">
                  <c:v>17.1</c:v>
                </c:pt>
              </c:numCache>
            </c:numRef>
          </c:yVal>
          <c:smooth val="0"/>
        </c:ser>
        <c:axId val="10"/>
        <c:axId val="20"/>
      </c:scatterChart>
      <c:valAx>
        <c:axId val="10"/>
        <c:scaling>
          <c:orientation val="minMax"/>
          <c:max val="2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Weave Communications (software vertical para clínicas)</c:v>
                </c:pt>
                <c:pt idx="1">
                  <c:v>MeridianLink (software vertical de préstamos)</c:v>
                </c:pt>
                <c:pt idx="2">
                  <c:v>NCR Digital Banking</c:v>
                </c:pt>
                <c:pt idx="3">
                  <c:v>Computer Services, Inc. (software para bancos)</c:v>
                </c:pt>
                <c:pt idx="4">
                  <c:v>Black Knight (software hipotecario)</c:v>
                </c:pt>
                <c:pt idx="5">
                  <c:v>Bottomline Technologies (software de pagos)</c:v>
                </c:pt>
                <c:pt idx="6">
                  <c:v>CoreLogic (datos y software inmobiliario)</c:v>
                </c:pt>
                <c:pt idx="7">
                  <c:v>Indicor Instrumentation (participada de Roper)</c:v>
                </c:pt>
              </c:strCache>
            </c:strRef>
          </c:cat>
          <c:val>
            <c:numRef>
              <c:f>Hoja1!$B$2:$B$9</c:f>
              <c:numCache>
                <c:formatCode>0.0"x"</c:formatCode>
                <c:ptCount val="8"/>
                <c:pt idx="1">
                  <c:v>14</c:v>
                </c:pt>
                <c:pt idx="2">
                  <c:v>15.8</c:v>
                </c:pt>
                <c:pt idx="3">
                  <c:v>15.1</c:v>
                </c:pt>
                <c:pt idx="4">
                  <c:v>21.4</c:v>
                </c:pt>
                <c:pt idx="5">
                  <c:v>26.6</c:v>
                </c:pt>
                <c:pt idx="6">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2779</c:v>
                </c:pt>
                <c:pt idx="1">
                  <c:v>2924</c:v>
                </c:pt>
                <c:pt idx="2">
                  <c:v>3102</c:v>
                </c:pt>
                <c:pt idx="3">
                  <c:v>3263</c:v>
                </c:pt>
                <c:pt idx="4">
                  <c:v>3411</c:v>
                </c:pt>
                <c:pt idx="5">
                  <c:v>3544</c:v>
                </c:pt>
                <c:pt idx="6">
                  <c:v>3639</c:v>
                </c:pt>
                <c:pt idx="7">
                  <c:v>3728</c:v>
                </c:pt>
                <c:pt idx="8">
                  <c:v>3794</c:v>
                </c:pt>
                <c:pt idx="9">
                  <c:v>3864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22040</c:v>
                </c:pt>
                <c:pt idx="1">
                  <c:v>35205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368,41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274.59</c:v>
                </c:pt>
                <c:pt idx="1">
                  <c:v>480.27</c:v>
                </c:pt>
                <c:pt idx="2">
                  <c:v>562.99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368,41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(305,96 – 519,10)</c:v>
                </c:pt>
                <c:pt idx="1">
                  <c:v>Precio objetivo de los analistas (355,00 – 625,00)</c:v>
                </c:pt>
                <c:pt idx="2">
                  <c:v>Comparables: EV/EBITDA NTM (372,48 – 648,24)</c:v>
                </c:pt>
                <c:pt idx="3">
                  <c:v>Comparables: PER NTM (566,81 – 658,26)</c:v>
                </c:pt>
                <c:pt idx="4">
                  <c:v>Transacciones precedentes (EV/EBITDA) (369,71 – 555,64)</c:v>
                </c:pt>
                <c:pt idx="5">
                  <c:v>DCF (WACC y g ± 0,5) (406,91 – 586,32)</c:v>
                </c:pt>
                <c:pt idx="6">
                  <c:v>Escenarios (bajista – alcista) (274,59 – 562,99)</c:v>
                </c:pt>
                <c:pt idx="7">
                  <c:v>DCF con la prima implícita del mercado (4,2 %)</c:v>
                </c:pt>
                <c:pt idx="8">
                  <c:v>Precio actual (368,41)</c:v>
                </c:pt>
              </c:strCache>
            </c:strRef>
          </c:cat>
          <c:val>
            <c:numRef>
              <c:f>Hoja1!$B$2:$B$10</c:f>
              <c:numCache>
                <c:formatCode>#,##0</c:formatCode>
                <c:ptCount val="9"/>
                <c:pt idx="0">
                  <c:v>305.96</c:v>
                </c:pt>
                <c:pt idx="1">
                  <c:v>355</c:v>
                </c:pt>
                <c:pt idx="2">
                  <c:v>372.48</c:v>
                </c:pt>
                <c:pt idx="3">
                  <c:v>566.81</c:v>
                </c:pt>
                <c:pt idx="4">
                  <c:v>369.71</c:v>
                </c:pt>
                <c:pt idx="5">
                  <c:v>406.91</c:v>
                </c:pt>
                <c:pt idx="6">
                  <c:v>274.59</c:v>
                </c:pt>
                <c:pt idx="7">
                  <c:v>518.13</c:v>
                </c:pt>
                <c:pt idx="8">
                  <c:v>366.57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(305,96 – 519,10)</c:v>
                </c:pt>
                <c:pt idx="1">
                  <c:v>Precio objetivo de los analistas (355,00 – 625,00)</c:v>
                </c:pt>
                <c:pt idx="2">
                  <c:v>Comparables: EV/EBITDA NTM (372,48 – 648,24)</c:v>
                </c:pt>
                <c:pt idx="3">
                  <c:v>Comparables: PER NTM (566,81 – 658,26)</c:v>
                </c:pt>
                <c:pt idx="4">
                  <c:v>Transacciones precedentes (EV/EBITDA) (369,71 – 555,64)</c:v>
                </c:pt>
                <c:pt idx="5">
                  <c:v>DCF (WACC y g ± 0,5) (406,91 – 586,32)</c:v>
                </c:pt>
                <c:pt idx="6">
                  <c:v>Escenarios (bajista – alcista) (274,59 – 562,99)</c:v>
                </c:pt>
                <c:pt idx="7">
                  <c:v>DCF con la prima implícita del mercado (4,2 %)</c:v>
                </c:pt>
                <c:pt idx="8">
                  <c:v>Precio actual (368,41)</c:v>
                </c:pt>
              </c:strCache>
            </c:strRef>
          </c:cat>
          <c:val>
            <c:numRef>
              <c:f>Hoja1!$C$2:$C$10</c:f>
              <c:numCache>
                <c:formatCode>#,##0</c:formatCode>
                <c:ptCount val="9"/>
                <c:pt idx="0">
                  <c:v>213.14000000000004</c:v>
                </c:pt>
                <c:pt idx="1">
                  <c:v>270</c:v>
                </c:pt>
                <c:pt idx="2">
                  <c:v>275.76</c:v>
                </c:pt>
                <c:pt idx="3">
                  <c:v>91.45000000000005</c:v>
                </c:pt>
                <c:pt idx="4">
                  <c:v>185.93</c:v>
                </c:pt>
                <c:pt idx="5">
                  <c:v>179.41000000000003</c:v>
                </c:pt>
                <c:pt idx="6">
                  <c:v>288.40000000000003</c:v>
                </c:pt>
                <c:pt idx="7">
                  <c:v>148.44000000000005</c:v>
                </c:pt>
                <c:pt idx="8">
                  <c:v>3.680000000000007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