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AMETEK, Inc.</w:t>
      </w:r>
    </w:p>
    <w:p>
      <w:pPr>
        <w:spacing w:after="60"/>
        <w:rPr>
          <w:color w:val="52514E"/>
          <w:sz w:val="22"/>
          <w:szCs w:val="22"/>
        </w:rPr>
      </w:pPr>
      <w:r>
        <w:rPr>
          <w:color w:val="52514E"/>
          <w:sz w:val="22"/>
          <w:szCs w:val="22"/>
        </w:rPr>
        <w:t xml:space="preserve">AME · New York Stock Exchange · ISIN US0311001004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246,77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249,72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+1,7 % (base +8,1 %)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149,91 USD · mercado 175,60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56.732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20,9x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AMETEK,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AME / US0311001004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Equipos e instrumentos electrónicos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Berwyn (Pensilvania) · 1930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www.ametek.com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246,77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182,87 – 261,16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56.732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63.273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321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249,72 USD</w:t>
      </w:r>
      <w:r>
        <w:t xml:space="preserve"> frente a 246,77 · Rentabilidad a 12 meses </w:t>
      </w:r>
      <w:r>
        <w:rPr>
          <w:b/>
          <w:bCs/>
        </w:rPr>
        <w:t xml:space="preserve">+1,7 % (base +8,1 %)</w:t>
      </w:r>
      <w:r>
        <w:t xml:space="preserve"> · Valor intrínseco 149,91 USD · con la prima implícita del mercado: 175,60 (-28,8 %) · Alcista / bajista -33,1 % / -62,7 %</w:t>
      </w:r>
    </w:p>
    <w:p>
      <w:pPr>
        <w:spacing w:after="100"/>
      </w:pPr>
      <w:r>
        <w:rPr>
          <w:b/>
        </w:rPr>
        <w:t xml:space="preserve">La recomendación y por qué.</w:t>
      </w:r>
      <w:r>
        <w:t xml:space="preserve"> Mantener, con convicción media. El objetivo a 12 meses es de 249,72 USD (nuestro BPA de 2028e por la regla común de múltiplos, ponderado 25/50/25), un +1,7 % con dividendo (8,1 % en el caso base), frente a un precio de 246,77 USD y un objetivo medio de los analistas de 282,06 USD [22]. El valor intrínseco es de 149,91 USD (−39,3 %). No llega a Comprar porque el precio ya paga 31,4 veces nuestro BPA de 2027, por encima de su mediana de 28,2 veces, y tampoco a Vender porque el beneficio crece a doble dígito. La convicción es media: la subiría unos pedidos orgánicos del 3T26 (29-oct) por encima del 10 % con la guía de 2027 cerca de nuestro BPA; la bajaría un orgánico por debajo del 3 %.</w:t>
      </w:r>
    </w:p>
    <w:p>
      <w:pPr>
        <w:spacing w:after="100"/>
      </w:pPr>
      <w:r>
        <w:rPr>
          <w:b/>
        </w:rPr>
        <w:t xml:space="preserve">El negocio.</w:t>
      </w:r>
      <w:r>
        <w:t xml:space="preserve"> Nichos de instrumentos y componentes de precisión con poder de precios (margen bruto del 34,5 % al 36,0 % en 2021-2025) y un sistema probado de comprar y mejorar empresas [1]. El ROIC publicado es del 13,2 % frente a un WACC del 9,7 %: 3,5 puntos, por debajo de los 5 que pedimos, por el fondo de comercio (7.171 M); sin él sería del 31,2 %. </w:t>
      </w:r>
      <w:r>
        <w:rPr>
          <w:b/>
        </w:rPr>
        <w:t xml:space="preserve">Veredicto de calidad: No</w:t>
      </w:r>
      <w:r>
        <w:t xml:space="preserve"> (decide el publicado), y con Indicor el ROIC bajará hacia el 10-11 %. La sostenibilidad del crecimiento es «Sí»: el 5-6 % orgánico que proyectamos está por debajo del mercado (≈6 %) y lo respaldan una cartera récord de 4.110 M y el poder de precios. </w:t>
      </w:r>
      <w:r>
        <w:rPr>
          <w:b/>
        </w:rPr>
        <w:t xml:space="preserve">Riesgo de que la IA se coma el negocio: bajo.</w:t>
      </w:r>
      <w:r>
        <w:t xml:space="preserve"> AMETEK vende hardware calibrado y certificado; la IA es hoy un motor de demanda (centros de datos, redes, semiconductores). La exposición está en el software de metrología (FARO) y en que se frene el gasto en IA que tira de los pedidos.</w:t>
      </w:r>
    </w:p>
    <w:p>
      <w:pPr>
        <w:spacing w:after="100"/>
      </w:pPr>
      <w:r>
        <w:rPr>
          <w:b/>
        </w:rPr>
        <w:t xml:space="preserve">Finanzas.</w:t>
      </w:r>
      <w:r>
        <w:t xml:space="preserve"> Ventas de 7.864 M y EBITDA de 2.457 M en los últimos 12 meses, con una conversión de caja del 113 % [1, 4]. La compra de Indicor (5.000 M, ≈14 veces el EBITDA, cerrada el 26-ago) sube la deuda neta a ≈2,3 veces el EBITDA [7].</w:t>
      </w:r>
    </w:p>
    <w:p>
      <w:pPr>
        <w:spacing w:after="100"/>
      </w:pPr>
      <w:r>
        <w:rPr>
          <w:b/>
        </w:rPr>
        <w:t xml:space="preserve">Equipo y gobierno.</w:t>
      </w:r>
      <w:r>
        <w:t xml:space="preserve"> Equipo estable que cumple su guía (la de 2026 la ha subido dos veces). Resta: presidente ejecutivo, consejo escalonado, incentivo a largo plazo medido sobre capital tangible (no castiga pagar caro) y 34,8 M de ventas de directivos en un año [16, 18].</w:t>
      </w:r>
    </w:p>
    <w:p>
      <w:pPr>
        <w:spacing w:after="100"/>
      </w:pPr>
      <w:r>
        <w:rPr>
          <w:b/>
        </w:rPr>
        <w:t xml:space="preserve">Valoración.</w:t>
      </w:r>
      <w:r>
        <w:t xml:space="preserve"> El DCF (142,48 USD) descuenta al 9,7 % con el bono al 5,19 %; el precio exige un crecimiento del 13,4 % anual o una rentabilidad del 7,2 %. Los comparables valen 217,06 USD (PER de 26,6 veces). Nuestro BPA de 2028e (8,91) es un 7,0 % inferior al del consenso porque no suponemos recompras ni compras con la caja.</w:t>
      </w:r>
    </w:p>
    <w:p>
      <w:pPr>
        <w:spacing w:after="100"/>
      </w:pPr>
      <w:r>
        <w:rPr>
          <w:b/>
        </w:rPr>
        <w:t xml:space="preserve">Riesgos y catalizadores.</w:t>
      </w:r>
      <w:r>
        <w:t xml:space="preserve"> Que los pedidos de 2026 sean un adelanto por aranceles o semiconductores (bajista a 12 meses: 183,26 USD, −25,2 %); que Indicor no rinda; y la contracción del múltiplo con tipos altos. Los foros son positivos y la única duda que repiten es la valoración. Resultados del 3T26, ≈29-oct-2026 (fecha estimada).</w:t>
      </w:r>
    </w:p>
    <w:p>
      <w:pPr>
        <w:spacing w:after="100"/>
      </w:pPr>
      <w:r>
        <w:rPr>
          <w:b/>
        </w:rPr>
        <w:t xml:space="preserve">Qué cambiaría la decisión.</w:t>
      </w:r>
      <w:r>
        <w:t xml:space="preserve"> Compraríamos por debajo de 149,91 USD (valor intrínseco); por la regla a 12 meses sola, por debajo de ≈218 USD. Venderíamos por encima de 278,91 USD. Revisaríamos si el orgánico del 3T26 o del 4T26 baja del 3 % o si el apalancamiento pasa de 2,5 veces a final de 2026. El precio de una acción es de ≈220,4 EUR (1,1195 USD/EUR), un 0,7 % de una cartera de 30.000 EUR.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249,72 USD</w:t>
      </w:r>
      <w:r>
        <w:t xml:space="preserve"> (rentabilidad +1,7 % (base +8,1 %)) · Valor intrínseco: 149,91 USD (-39,3 % sobre 246,77) · con la prima implícita del mercado: 175,60 (-28,8 %)</w:t>
      </w:r>
    </w:p>
    <w:p>
      <w:pPr>
        <w:spacing w:after="100"/>
      </w:pPr>
      <w:r>
        <w:t xml:space="preserve">AMETEK es un conjunto de decenas de negocios de instrumentos y componentes de precisión en nichos donde caben dos o tres fabricantes. Gana dinero con el poder de precios (margen bruto del 36,0 %) y con un modelo de compras que paga unas 14 veces el EBITDA y sube los márgenes de lo comprado [1, 10]. Las ventas crecieron del 5.547 M de 2021 a 7.864 M en los últimos 12 meses y la caja libre convierte más del 100 % del beneficio [1, 4].</w:t>
      </w:r>
    </w:p>
    <w:p>
      <w:pPr>
        <w:spacing w:after="100"/>
      </w:pPr>
      <w:r>
        <w:t xml:space="preserve">El precio (246,77 USD) paga 31,4 veces nuestro BPA de 2027 y 25,8 veces el EBITDA de los últimos 12 meses. El DCF inverso pide un crecimiento del 13,4 % anual hasta 2035; es decir, el mercado da por hecho que AMETEK seguirá comprando y creando valor con las compras durante décadas, y lo descuenta a una tasa muy inferior al 9,7 % que implica el bono al 5,19 %.</w:t>
      </w:r>
    </w:p>
    <w:p>
      <w:pPr>
        <w:spacing w:after="100"/>
      </w:pPr>
      <w:r>
        <w:t xml:space="preserve">El mercado acierta en la calidad y en que los pedidos han girado (+28 % en el 2T26) [3]. Exagera en el precio: el ROIC publicado (13,2 %) solo supera al WACC en 3,5 puntos y bajará con Indicor. Para invertir hay que creer que la rentabilidad de las compras se mantiene con tipos al 5 % y con operaciones diez veces más grandes que las de antes.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 × 7,70 = 183,26 · 29,8x × 8,91 = 265,52 · 29,8x × 9,55 = 284,59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 /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282,06 (nuestro base -5,9 %)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149,91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 / -62,7 %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frente a 9,7 % y 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175,60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 frente a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149,91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149,91 y 278,91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278,91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149,91 USD (valor intrínseco), pasaríamos a Comprar.</w:t>
      </w:r>
    </w:p>
    <w:p>
      <w:pPr>
        <w:pStyle w:val="ListParagraph"/>
        <w:numPr>
          <w:ilvl w:val="0"/>
          <w:numId w:val="2"/>
        </w:numPr>
        <w:spacing w:after="60"/>
      </w:pPr>
      <w:r>
        <w:t xml:space="preserve">Si el precio supera 278,91 USD (ponderada a 12 meses ≤ −10 %), pasaríamos a Vender.</w:t>
      </w:r>
    </w:p>
    <w:p>
      <w:pPr>
        <w:pStyle w:val="ListParagraph"/>
        <w:numPr>
          <w:ilvl w:val="0"/>
          <w:numId w:val="2"/>
        </w:numPr>
        <w:spacing w:after="60"/>
      </w:pPr>
      <w:r>
        <w:t xml:space="preserve">Si los pedidos orgánicos del 3T26 o del 4T26 bajan del 3 %, recortaríamos el BPA de 2028e hacia el bajista (7,70 USD).</w:t>
      </w:r>
    </w:p>
    <w:p>
      <w:pPr>
        <w:pStyle w:val="ListParagraph"/>
        <w:numPr>
          <w:ilvl w:val="0"/>
          <w:numId w:val="2"/>
        </w:numPr>
        <w:spacing w:after="60"/>
      </w:pPr>
      <w:r>
        <w:t xml:space="preserve">Si la guía de 2027 apunta a un BPA GAAP por encima de 8,4 USD, revisaríamos el caso base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ciclo de inversión industrial (redes, centros de datos, semiconductores, aeronáutica) da varios años de crecimiento orgánico alto, que Indicor se integra como las demás y que AMETEK vuelve a comprar en 2027-2028, con un BPA GAAP de 9,58 USD en 2028 [22].</w:t>
      </w:r>
    </w:p>
    <w:p>
      <w:pPr>
        <w:keepNext/>
        <w:spacing w:after="100"/>
      </w:pPr>
      <w:r>
        <w:rPr>
          <w:b/>
          <w:bCs/>
        </w:rPr>
        <w:t xml:space="preserve">Lo que creemos nosotros.</w:t>
      </w:r>
    </w:p>
    <w:p>
      <w:pPr>
        <w:spacing w:after="100"/>
      </w:pPr>
      <w:r>
        <w:t xml:space="preserve">Compartimos el crecimiento orgánico, pero no el precio: con nuestro BPA de 2028e (8,91) y un PER que converge a la mitad de camino hacia su mediana, el objetivo a 12 meses da un +1,7 %. El valor intrínseco, sin compras futuras, está un 39 % por debajo.</w:t>
      </w:r>
    </w:p>
    <w:p>
      <w:pPr>
        <w:keepNext/>
        <w:spacing w:after="100"/>
      </w:pPr>
      <w:r>
        <w:rPr>
          <w:b/>
          <w:bCs/>
        </w:rPr>
        <w:t xml:space="preserve">Por qué podemos tener razón.</w:t>
      </w:r>
    </w:p>
    <w:p>
      <w:pPr>
        <w:spacing w:after="100"/>
      </w:pPr>
      <w:r>
        <w:t xml:space="preserve">La diferencia con el consenso no está en las ventas, sino en el uso de la caja (recompras y compras que el consenso da por hechas) y en la amortización de Indicor. Y la diferencia con el precio es de tasa de descuento: nuestra visión es la de un inversor que pide al menos su coste de capital.</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46,7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Pedidos y cartera récord</w:t>
      </w:r>
      <w:r>
        <w:t xml:space="preserve">: pedidos +28 % en el 2T26 (25 % orgánico) y cartera de 4.110 M [4].</w:t>
      </w:r>
    </w:p>
    <w:p>
      <w:pPr>
        <w:pStyle w:val="ListParagraph"/>
        <w:numPr>
          <w:ilvl w:val="0"/>
          <w:numId w:val="2"/>
        </w:numPr>
        <w:spacing w:after="60"/>
      </w:pPr>
      <w:r>
        <w:rPr>
          <w:b/>
        </w:rPr>
        <w:t xml:space="preserve">Poder de precios</w:t>
      </w:r>
      <w:r>
        <w:t xml:space="preserve">: margen bruto del 34,5 % al 36,0 % en 2021-2025 con inflación y aranceles [1].</w:t>
      </w:r>
    </w:p>
    <w:p>
      <w:pPr>
        <w:pStyle w:val="ListParagraph"/>
        <w:numPr>
          <w:ilvl w:val="0"/>
          <w:numId w:val="2"/>
        </w:numPr>
        <w:spacing w:after="60"/>
      </w:pPr>
      <w:r>
        <w:rPr>
          <w:b/>
        </w:rPr>
        <w:t xml:space="preserve">Caja</w:t>
      </w:r>
      <w:r>
        <w:t xml:space="preserve">: conversión del 113 % del beneficio y 1.825 M de caja libre en los últimos 12 meses [1, 4].</w:t>
      </w:r>
    </w:p>
    <w:p>
      <w:pPr>
        <w:pStyle w:val="ListParagraph"/>
        <w:numPr>
          <w:ilvl w:val="0"/>
          <w:numId w:val="2"/>
        </w:numPr>
        <w:spacing w:after="60"/>
      </w:pPr>
      <w:r>
        <w:rPr>
          <w:b/>
        </w:rPr>
        <w:t xml:space="preserve">Cumple su guía</w:t>
      </w:r>
      <w:r>
        <w:t xml:space="preserve">: BPA ajustado de 2024 y 2025 en lo alto o por encima del rango; la de 2026 subida dos veces [3].</w:t>
      </w:r>
    </w:p>
    <w:p>
      <w:pPr>
        <w:pStyle w:val="ListParagraph"/>
        <w:numPr>
          <w:ilvl w:val="0"/>
          <w:numId w:val="2"/>
        </w:numPr>
        <w:spacing w:after="60"/>
      </w:pPr>
      <w:r>
        <w:rPr>
          <w:b/>
        </w:rPr>
        <w:t xml:space="preserve">ROIC sin fondo de comercio del 31,2 %</w:t>
      </w:r>
      <w:r>
        <w:t xml:space="preserve">: el negocio que ya tiene rinde mucho.</w:t>
      </w:r>
    </w:p>
    <w:p>
      <w:pPr>
        <w:pStyle w:val="Heading2"/>
      </w:pPr>
      <w:r>
        <w:t xml:space="preserve">En contra</w:t>
      </w:r>
    </w:p>
    <w:p>
      <w:pPr>
        <w:pStyle w:val="ListParagraph"/>
        <w:numPr>
          <w:ilvl w:val="0"/>
          <w:numId w:val="2"/>
        </w:numPr>
        <w:spacing w:after="60"/>
      </w:pPr>
      <w:r>
        <w:rPr>
          <w:b/>
        </w:rPr>
        <w:t xml:space="preserve">Valoración</w:t>
      </w:r>
      <w:r>
        <w:t xml:space="preserve">: 31,4 veces nuestro BPA de 2027 frente a una mediana de 28,2 veces; valor intrínseco −39,3 %.</w:t>
      </w:r>
    </w:p>
    <w:p>
      <w:pPr>
        <w:pStyle w:val="ListParagraph"/>
        <w:numPr>
          <w:ilvl w:val="0"/>
          <w:numId w:val="2"/>
        </w:numPr>
        <w:spacing w:after="60"/>
      </w:pPr>
      <w:r>
        <w:rPr>
          <w:b/>
        </w:rPr>
        <w:t xml:space="preserve">ROIC publicado de solo 13,2 % frente a un WACC del 9,7 %</w:t>
      </w:r>
      <w:r>
        <w:t xml:space="preserve">: 3,5 puntos, y bajará con Indicor.</w:t>
      </w:r>
    </w:p>
    <w:p>
      <w:pPr>
        <w:pStyle w:val="ListParagraph"/>
        <w:numPr>
          <w:ilvl w:val="0"/>
          <w:numId w:val="2"/>
        </w:numPr>
        <w:spacing w:after="60"/>
      </w:pPr>
      <w:r>
        <w:rPr>
          <w:b/>
        </w:rPr>
        <w:t xml:space="preserve">Indicor</w:t>
      </w:r>
      <w:r>
        <w:t xml:space="preserve">: 5.000 M a ≈14 veces el EBITDA, con deuda, en lo alto del ciclo [7, 10].</w:t>
      </w:r>
    </w:p>
    <w:p>
      <w:pPr>
        <w:pStyle w:val="ListParagraph"/>
        <w:numPr>
          <w:ilvl w:val="0"/>
          <w:numId w:val="2"/>
        </w:numPr>
        <w:spacing w:after="60"/>
      </w:pPr>
      <w:r>
        <w:rPr>
          <w:b/>
        </w:rPr>
        <w:t xml:space="preserve">Gobierno</w:t>
      </w:r>
      <w:r>
        <w:t xml:space="preserve">: presidente ejecutivo, consejo escalonado e incentivo sobre capital tangible [11, 16].</w:t>
      </w:r>
    </w:p>
    <w:p>
      <w:pPr>
        <w:pStyle w:val="ListParagraph"/>
        <w:numPr>
          <w:ilvl w:val="0"/>
          <w:numId w:val="2"/>
        </w:numPr>
        <w:spacing w:after="60"/>
      </w:pPr>
      <w:r>
        <w:rPr>
          <w:b/>
        </w:rPr>
        <w:t xml:space="preserve">Ventas de directivos</w:t>
      </w:r>
      <w:r>
        <w:t xml:space="preserve">: 34,8 M en un año, 23,0 M del primer ejecutivo [18].</w:t>
      </w:r>
    </w:p>
    <w:p>
      <w:pPr>
        <w:pStyle w:val="Heading2"/>
      </w:pPr>
      <w:r>
        <w:t xml:space="preserve">Qué tiene que pasar para que la tesis funcione</w:t>
      </w:r>
    </w:p>
    <w:p>
      <w:pPr>
        <w:spacing w:after="100"/>
      </w:pPr>
      <w:r>
        <w:t xml:space="preserve">La tesis depende de que el giro de los pedidos sea demanda final y no acopio. La señal llega con el 3T26 (≈29-oct) y el 4T26 (feb-2027): pedidos orgánicos por encima del 5 % y cartera estable o al alza la confirman; un orgánico por debajo del 3 % con la cartera bajando diría que 2026 fue un adelanto. La segunda señal es el margen de EIG con Indicor (por encima del 29 %) y el ritmo de bajada de la deuda.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orgánicos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2026 fue adelanto.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4.110 M USD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3.800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Cubre medio año de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Indicor y FARO.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 (tras Indicor)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 a dic-26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para volver a comprar.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ROIC publicado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Requisito de calidad.</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25,8x / 20,9x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36,1x / 30,2x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AMETEK nace en 1930 como American Machine and Metals, un fabricante de maquinaria y metales que cotiza en la bolsa de Nueva York desde hace más de 95 años [1]. En los noventa, ya con el nombre actual, abandona los negocios de bajo margen y en 1997 se separa de su división de agua y climatización; desde entonces se reinventa como fabricante de instrumentos electrónicos y dispositivos electromecánicos en nichos. El «modelo de crecimiento» de cuatro estrategias (excelencia operativa, compras, expansión global y nuevos productos) la ha llevado a comprar más de 100 empresas; entre 2021 y 2025 hizo 15 compras con 1.800 M de ventas y en 2026 la mayor de su historia, Indicor Instrumentation por 5.000 M [1, 10]. David Zapico es primer ejecutivo desde 2016 y presidente desde 2017.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American Machine and Metals; cotiza en la NYSE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la división de agua y climatización; la nueva AMETEK se centra en instrumentos y electromecánica.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Zapico, primer ejecutivo (presidente desde 2017).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récord de compras: 1.959 M (Abaco Systems, Alphasense, Magnetrol, entre otras)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Paragon Medical (≈1.900 M): entrada fuerte en componentes de tecnología médica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FARO Technologies (metrología 3D, ≈1.024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Indicor Instrumentation por 5.000 M (≈14 veces el EBITDA), la mayor de su historia; cierra el 26-ago [10].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AMETEK fabrica instrumentos electrónicos y dispositivos electromecánicos para nichos industriales. EIG (66 % de las ventas de 2025) hace analizadores de procesos y de laboratorio, instrumentos de prueba y medida, de energía y de aeronáutica (Spectro, Zygo, FARO, Gatan, Brookfield, Creaform); EMG (34 %) hace motores y control de movimiento de precisión, componentes médicos (Paragon), sistemas térmicos para aviones, metales especiales y conectores, y da servicios de mantenimiento aeronáutico [1]. Sus mercados finales, tras Indicor: medicina 20 %, aeroespacial y defensa 17 %, energía 10 %, investigación 10 %, semiconductores 4 %, petróleo y gas 6 %, alimentación 4 % e industria general 29 % [10]. Fabrica en 22 países además de EE. UU. y la mitad de sus ventas son internacionales [1].</w:t>
      </w:r>
    </w:p>
    <w:p>
      <w:pPr>
        <w:pStyle w:val="Heading2"/>
      </w:pPr>
      <w:r>
        <w:t xml:space="preserve">Cómo gana dinero</w:t>
      </w:r>
    </w:p>
    <w:p>
      <w:pPr>
        <w:spacing w:after="100"/>
      </w:pPr>
      <w:r>
        <w:t xml:space="preserve">Vende equipos caros de fabricar en series cortas, a clientes que pagan por la precisión y la certificación: un analizador o un componente de un avión cuesta poco frente al coste de un fallo. Eso da poder de precios: el margen bruto sube del 34,5 % en 2021 al 36,0 % en 2025 [1]. Una parte relevante es posventa (consumibles, servicio, recambios): en Indicor ronda el 50 % [10]. El otro motor es comprar empresas de nicho (unas 14 veces el EBITDA en Indicor) y subirles el margen 10-12 puntos de ventas con el sistema de gestión de AMETEK (compras, fábricas de bajo coste, cierre de plantas) [10]. Hay apalancamiento operativo: el margen de EMG subió 290 puntos básicos en el 2T26 con un orgánico del 15 % [3].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Electronic Instruments (EIG)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Electromechanical (EMG)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Electronic Instruments (EIG)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Electromechanical (EMG)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ningún cliente llega al 10 % de las ventas y la base es muy diversa por mercado y geografía (EE. UU. 52 %, Asia 20 %, UE 15 %) [1]. Los contratos son sobre todo pedidos de corto plazo; la cartera de 4.110 M (junio de 2026) cubre unos seis meses de ventas y 627 M de obligaciones se entregan a más de un año [1, 4]. El poder de precios se ve en 2022-2023: con inflación de costes, el margen bruto subió de 34,9 % a 36,1 % [1]. En 2025 la empresa trasladó los aranceles con «iniciativas de precios dirigidas» sin daño material en el resultado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7.579 (2025); 2.284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 +28,2 % en 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 orgánico en el 2T26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3.403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3.582 M a dic-25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del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 (núcleo 27,1 %)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pb (+110 pb núcleo)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EMG núcleo +290 pb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 libre sobre beneficio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 (2025); 111 %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internacionales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Exportaciones desde EE. UU. 2.041 M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 e ingeniería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 de las ventas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instrumentos electrónicos y de precisión: equipos de prueba y medida (osciloscopios, analizadores, metrología) e instrumentación analítica (espectrometría, análisis de materiales y de procesos), donde vende EIG. Usamos las dos estimaciones de mercado juntas como perímetro de EIG: 48.650 M USD de prueba y medida según MarketsandMarkets y 41.800 M de instrumentación analítica según Global Market Insights en 2025 [12, 13]; no se solapan del todo, pero AMETEK tiene productos en las dos. Los componentes electromecánicos de EMG (motores, médico, aeronáutica) son nichos sin estadística común y no los sumamos.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≈90.450 M USD en 2025 (48.650 M de prueba y medida [12] + 41.800 M de instrumentación analítica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de infraestructura eléctrica y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atribuye los pedidos de +28 % del 2T26 al «crecimiento secular» y a la construcción de infraestructura global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semiconductores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fuertes de semiconductores en EIG en el 2T26; es el 4-5 % de las ventas [3,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Aeronáutica comercial y defensa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17-18 % de las ventas; el 30 % de EMG es aeroespacial; First Aviation amplía el MRO [1,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Tecnología médica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Medicina es el 20-21 % de las ventas; Paragon con pedidos al alza en 2025 [3,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 general y PMI</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 de las ventas; en 2024-1S25 el orgánico fue negativo con la industria débil [1,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Trasladados con precios en 2025; la empresa avisa de que la situación sigue abierta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Muchos nichos con 2-4 rivales en cada uno; compiten Keysight, Thermo Fisher, Mettler-Toledo, Teledyne, Fortive o Spectris según el producto [1,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diversos, ninguno &gt; 10 %; el coste del instrumento es pequeño frente al del fallo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Depende de chips, metales y componentes con pocos proveedores; la escasez de 2021-2022 subió existencias y costes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Certificaciones (aeronáutica, médica), base instalada y marcas de décadas frenan la entrada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Sensores baratos y software con IA pueden sustituir parte de la medida de gama baja; en la de precisión, poco [1].</w:t>
            </w:r>
          </w:p>
        </w:tc>
      </w:tr>
    </w:tbl>
    <w:p>
      <w:pPr>
        <w:spacing w:after="160" w:before="0"/>
      </w:pPr>
    </w:p>
    <w:p>
      <w:pPr>
        <w:pStyle w:val="Heading2"/>
      </w:pPr>
      <w:r>
        <w:t xml:space="preserve">Ciclo</w:t>
      </w:r>
    </w:p>
    <w:p>
      <w:pPr>
        <w:spacing w:after="100"/>
      </w:pPr>
      <w:r>
        <w:t xml:space="preserve">Los pedidos del grupo crecieron un 23 % en el 1T26 y un 28 % en el 2T26 tras un 2024 y un 1S25 de orgánico negativo o plano: es la salida de la recesión industrial de 2023-2025 [3, 4]. En 2009 las ventas de AMETEK cayeron un 19 %; en 2020, un 12 %, con el margen defendido por recortes; en 2022 crecieron un 11 % con inflación. El riesgo es que parte de los pedidos de 2026 sea acopio ante aranceles o un pico de semiconductores.</w:t>
      </w:r>
    </w:p>
    <w:p>
      <w:pPr>
        <w:pStyle w:val="Heading2"/>
      </w:pPr>
      <w:r>
        <w:t xml:space="preserve">Regulación</w:t>
      </w:r>
    </w:p>
    <w:p>
      <w:pPr>
        <w:spacing w:after="100"/>
      </w:pPr>
      <w:r>
        <w:t xml:space="preserve">No hay una regulación que fije sus precios. Le afectan los controles a la exportación (EE. UU. y China, sobre todo en semiconductores y defensa), los aranceles de EE. UU. sobre importaciones desde 2025 (trasladados a precios) y la certificación de la FAA y de la FDA en aeronáutica y medicina [1]. Las normas de emisiones y seguridad (agua, aire, petróleo) crean demanda de analizadores [1].</w:t>
      </w:r>
    </w:p>
    <w:p>
      <w:pPr>
        <w:pStyle w:val="Heading2"/>
      </w:pPr>
      <w:r>
        <w:t xml:space="preserve">Tendencias y disrupción</w:t>
      </w:r>
    </w:p>
    <w:p>
      <w:pPr>
        <w:spacing w:after="100"/>
      </w:pPr>
      <w:r>
        <w:t xml:space="preserve">La automatización, la electrificación y los centros de datos piden más medida de precisión; la IA se usa para analizar datos de instrumentos y puede abaratar el software de análisis, pero no sustituye al sensor físico calibrado ni a la certificación. La consolidación sigue: AMETEK, Roper, Fortive o Halma compran nichos; los fondos venden carteras como Indicor. AMETEK gana con las tres tendencias si mantiene la disciplina de precio en las compras [1, 10].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en nichos (espectrometría de emisión, metrología de superficies, motores de precisión, analizadores de procesos), con ≈5,4 % del mercado conjunto de prueba y medida e instrumentación analítica (ventas de EIG de 4.919 M sobre ≈90.450 M); en componentes médicos y aeronáuticos de EMG no hay estadística de cuota [1, 12,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Keysight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KEYS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prueba y medida electrónica; margen EBITDA del 25,8 % (últimos 12 meses)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Teledyne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TDY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Instrumentación, imagen digital y defensa; también comprador en serie; margen EBITDA del 25,0 %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Pesaje y analítica de laboratorio; margen EBITDA del 31 %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Fortive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FTV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Instrumentos de precisión (Fluke, Tektronix) tras escindir Ralliant; margen EBITDA del 29,6 %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HLMA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Comprador en serie de nichos de seguridad, medio ambiente y salud; margen EBITDA del 25,4 %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Thermo Fisher Scientific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Líder de la instrumentación analítica con más del 21 % del mercado [13].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venta de equipos sin plataforma de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Instrumentos y componentes certificados dentro de procesos y aviones: cambiar exige recalificar; ≈50 % de posventa en Indicor [1,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de nicho con décadas (Spectro, Zygo, Brookfield) y 383 M de I+D en 2025; margen bruto del 36 % al alza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Fábricas de bajo coste (China, México, Chequia, Malasia, Serbia) y compras centralizadas: sube 10-12 puntos el margen de lo que compra [1,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pequeños donde caben dos o tres fabricantes; margen operativo del 26 % frente al 25 % de Keysight o Teledyne en EBITDA [6].</w:t>
            </w:r>
          </w:p>
        </w:tc>
      </w:tr>
    </w:tbl>
    <w:p>
      <w:pPr>
        <w:spacing w:after="160" w:before="0"/>
      </w:pPr>
    </w:p>
    <w:p>
      <w:pPr>
        <w:pStyle w:val="Heading2"/>
      </w:pPr>
      <w:r>
        <w:t xml:space="preserve">Amenazas</w:t>
      </w:r>
    </w:p>
    <w:p>
      <w:pPr>
        <w:spacing w:after="100"/>
      </w:pPr>
      <w:r>
        <w:t xml:space="preserve">Las amenazas más probables son tres. Un cambio de ciclo en semiconductores o en la industria general (29 % de las ventas) que convierta en caída los pedidos de 2026. Competidores con más escala en un nicho concreto (Thermo Fisher, Keysight) o compradores rivales que encarezcan las compras. Y la IA aplicada a la medida, que puede abaratar el software de análisis y los instrumentos de gama baja; la parte de precisión calibrada y certificada está menos expuesta. La probabilidad de erosión en cinco años nos parece baja-media.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spacing w:after="100"/>
      </w:pPr>
      <w:r>
        <w:t xml:space="preserve">Crecimiento anual compuesto 2021-2025: ingresos </w:t>
      </w:r>
      <w:r>
        <w:rPr>
          <w:b/>
          <w:bCs/>
        </w:rPr>
        <w:t xml:space="preserve">7,5 %</w:t>
      </w:r>
      <w:r>
        <w:t xml:space="preserve">, EBITDA </w:t>
      </w:r>
      <w:r>
        <w:rPr>
          <w:b/>
          <w:bCs/>
        </w:rPr>
        <w:t xml:space="preserve">9,9 %</w:t>
      </w:r>
      <w:r>
        <w:t xml:space="preserve">, BPA </w:t>
      </w:r>
      <w:r>
        <w:rPr>
          <w:b/>
          <w:bCs/>
        </w:rPr>
        <w:t xml:space="preserve">10,8 %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5.547 M USD en 2021 a 7.401 M en 2025 (TCAC del 7,5 %) y a 7.864 M en los últimos doce meses a junio de 2026 [1, 3]. Algo menos de la mitad es orgánico: en 2025 el grupo creció un 6,6 %, con el orgánico de EIG en −1 % y el de EMG en +8 % [1]; en el 2T26 el orgánico fue del 7 % en EIG y del 15 % en EMG [4]. El margen EBITDA contable sube de 28,9 % en 2021 a 31,5 % en 2025 y el EBIT del 23,6 % al 25,8 %, por la excelencia operativa y la mezcla, pese a la dilución de las compras (−60 puntos básicos en 2025) y a los costes de integración (25,3 M en 2025, 29,2 M en 2024, 16,2 M en el 2T26) [1, 3]. La amortización de intangibles de compras (277 M en 2025, 3,7 % de las ventas) está dentro del EBIT [1]. El 26-ago-2026 cerró la compra de Indicor Instrumentation (5.000 M en caja, ≈1.100 M de ventas): aportará ≈350 M a las ventas de 2026 y no está en el LTM [7].</w:t>
      </w:r>
    </w:p>
    <w:p>
      <w:pPr>
        <w:pStyle w:val="Heading2"/>
      </w:pPr>
      <w:r>
        <w:t xml:space="preserve">Ajustes y partidas no recurrentes</w:t>
      </w:r>
    </w:p>
    <w:p>
      <w:pPr>
        <w:spacing w:after="100"/>
      </w:pPr>
      <w:r>
        <w:t xml:space="preserve">Usamos el BPA GAAP diluido. La empresa publica un BPA ajustado que suma la amortización de intangibles de compras después de impuestos y quita costes de compras: 7,43 USD en 2025 frente a 6,40 GAAP (+16 %) [2]. No hay partidas no recurrentes relevantes dentro del EBITDA: los costes de integración se repiten casi todos los años (Paragon en 2024, FARO en 2025, Indicor en 2026) y los dejamos dentro. En 2Q26 la cuenta lleva 10,0 M de comisiones del préstamo puente de Indicor en gastos financieros [3]. En 2020 (fuera de la serie) hubo una plusvalía de 140 M por la venta de Reading Alloys.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febrero de 2026 la dirección guio unas ventas «de un dígito medio a alto» y un BPA ajustado de 7,87-8,07 USD, con «cartera récord» y «flexibilidad financiera» para comprar [2]. En abril subió el orgánico a «un dígito medio» y el BPA a 7,94-8,14; en mayo anunció la compra de Indicor Instrumentation por 5.000 M (≈14 veces el EBITDA, sinergias del 10-12 % de las ventas, apalancamiento de ≈2,3 veces al cierre) [7, 8]. En agosto el discurso pasó de «recuperación» a «crecimiento secular»: pedidos +28 % en el 2T26 (25 % orgánico, tras +23 % en el 1T26) por semiconductores, aeronáutica comercial, tecnología médica, defensa y automatización, cartera récord de 4.110 M, y la guía de BPA ajustado sube a 8,20-8,30 USD (+10-12 %) con ventas +10 % sin Indicor [3, 4]. Las preguntas se centraron en cuánto de los pedidos es adelanto de compras por aranceles o ciclo de semiconductores y en el precio pagado por Indicor; la dirección no dio el EBITDA exacto ni el reparto del precio entre fondo de comercio e intangibles. Los vs_consenso de 1T26 y 2T26 son «Superior» porque el BPA ajustado batió su propia guía (1,97 y 2,09 frente a 1,85-1,90 y la del 2T); el de 3T24, según la nota de la empresa («beneficio por encima de lo esperado») [3, 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Paragon Medical (≈1.900 M USD) y Amplifier Research, consolidadas a final de año: entran en el balance de 2023 y casi nada en su cuenta.; 2025: FARO Technologies (julio, 1.024 M de precio, ≈340 M de ventas) y Kern Microtechnik (enero): medio año de FARO en la cuenta.).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Hasta junio de 2026 el balance era casi de caja neta: deuda de 2.036 M (981 M a corto, sobre todo papel comercial, y 1.056 M a largo) frente a 495 M de caja y un EBITDA de 2.457 M (0,6 veces) [3, 4]. Con Indicor la deuda bruta sube en unos 5.000 M y el apalancamiento a ≈2,3 veces, el mayor de la última década [7]. AMETEK ya lo hizo con Paragon en 2023 (deuda de 3.313 M) y lo bajó a 2.080 M en un año con la caja libre [1, 5]. El circulante comercial ronda el 21-22 % de las ventas (existencias de 1.106 M y clientes de 1.119 M frente a proveedores de 618 M en 2025) [1]. La deuda del XBRL de cuentas.mjs (solo el largo) se ha corregido sumando el corto (DebtCurrent) [5].</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7.033</w:t>
      </w:r>
      <w:r>
        <w:t xml:space="preserve">, conversión </w:t>
      </w:r>
      <w:r>
        <w:rPr>
          <w:b/>
          <w:bCs/>
        </w:rPr>
        <w:t xml:space="preserve">111 %</w:t>
      </w:r>
      <w:r>
        <w:t xml:space="preserve"> del beneficio neto; adquisiciones 5.678, dividendos 1.161, recompras 1.001.</w:t>
      </w:r>
    </w:p>
    <w:p>
      <w:pPr>
        <w:spacing w:after="100"/>
      </w:pPr>
      <w:r>
        <w:t xml:space="preserve">AMETEK convierte en caja más de lo que gana: la caja libre (flujo operativo menos capex) fue de 1.672 M en 2025 frente a 1.480 M de beneficio (113 %), y de 1.825 M en los últimos doce meses a junio de 2026 (flujo operativo de 1.960 M menos 135 M de capex) [1, 4]. 2021 y 2022 son años bajos (1.050 M y 1.010 M de caja libre) porque las existencias crecieron con la escasez de componentes [5]. El capex es pequeño (1,6-2,3 % de las ventas): casi todo es de mantenimiento y productividad, la empresa no da el reparto [1]. El uso de la caja es la compra de empresas: 5.678 M en 2021-2025, frente a 1.161 M de dividendos y 1.002 M de recompras [5].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cuentas y control interno de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EY es auditor desde 1930: 96 años sin rotación de firma; la ley de EE. UU. solo obliga a rotar al socio, y en la junta de 2026 la ratificación tuvo un 9,3 % de votos en contra [1, 11]. Opinión favorable sobre cuentas y control interno [1]. No vemos cambios de criterio contable relevantes en 2023-2025; la I+D se lleva a gasto (383 M en 2025, dentro del coste de ventas) [1]. La remuneración en acciones es baja (47,8 M en 2025, 0,6 % de las ventas) [5]. Lo que más pesa en la lectura de las cifras es la contabilidad de compras: 7.171 M de fondo de comercio y 4.128 M de intangibles a 2025 (70 % del activo), sin deterioros en la década; la amortización de intangibles (277 M) reduce el BPA GAAP un 16 % frente al ajustado [1, 2]. Los indicadores del motor (Altman, Piotroski y Beneish) se leen con el aviso de que 2023 y 2025 llevan compras a final de año en el balance.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durante 96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 desde 1930; 9,3 % en contra de su ratificación en 2026 [1,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 70 % del activo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11.299 M a 2025, más ≈4.500 M con Indicor; un deterioro no afecta a la caja pero sí al ROIC publicado y a la deuda/patrimonio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de integración casi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29,2 M (2024), 25,3 M (2025), 16,2 M en el 2T26: los dejamos dentro del EBITDA [1, 3].</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18,1 % · </w:t>
      </w:r>
      <w:r>
        <w:rPr>
          <w:b/>
          <w:bCs/>
        </w:rPr>
        <w:t xml:space="preserve">WACC</w:t>
      </w:r>
      <w:r>
        <w:t xml:space="preserve">: 9,7 %.</w:t>
      </w:r>
    </w:p>
    <w:p>
      <w:pPr>
        <w:spacing w:after="100"/>
      </w:pPr>
      <w:r>
        <w:t xml:space="preserve">Con el capital invertido publicado AMETEK crea valor, pero poco: ROIC del 13,2 % en 2025 frente a un WACC del 9,7 % (3,5 puntos), y entre el 11,7 % y el 13,2 % desde 2021. La razón es el fondo de comercio: de 12.454 M de capital invertido, 7.171 M son fondo de comercio de compras [1]. Sin él, el ROIC sería del 31,2 % (1.572 M de NOPAT sobre ≈5.045 M de capital medio de 2024-2025 sin fondo de comercio), que es la rentabilidad del negocio que ya tiene; la del capital que paga al comprar es la publicada. Con Indicor (5.000 M por un NOPAT de ≈180-270 M el primer año, estimación propia) el ROIC publicado bajará hacia el 10-11 %. El margen (EBIT del 25,8 %) es bueno; lo que lo hunde es la rotación del activo (0,48 veces). El ROIC incremental de 2021-2025 es del 18,1 %. Mettler-Toledo (47,6 %) y Keysight (17,6 %) tienen más; Roper (6,4 %) y Teledyne (8,1 %), menos [15, 26]. Para el requisito de calidad decide el publicado: no lo cumple (3,5 puntos, por debajo de 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6.541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495 M a 30-jun-26 y 2.904 M disponibles en la línea de crédito de 3.500 M (vence en 2031); papel comercial de hasta 3.500 M (545 M dispuestos en junio) [4]. Después del balance: préstamo a plazo de 4.000 M (tramos de 1.625 M a 3 años, 1.625 M a 4 y 750 M a 5) y unos 1.000 M de la línea o del papel comercial para pagar Indicor el 26-ago-2026 [4, 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con superávit: el estado de financiación de los planes de prestación definida es positivo (+301 M a 31-dic-25, +246 M un año antes) y las aportaciones previstas para 2026 son de 6,5-8,5 M [1]. Arrendamientos operativos (US GAAP): 288 M de pasivo a 2025; su coste ya está en el EBITDA y no van a la deuda. Pagos aplazados de compras: el variable de Kern (8,9 M) [1]. Pasivos por contrato (anticipos de clientes) de 448,8 M, de los que 52,7 M a largo plazo [1]. Los acuerdos de crédito exigen un apalancamiento neto máximo o, más adelante, una cobertura mínima de intereses; con ≈2,3 veces al cierre de Indicor hay holgura [4, 7]. Los costes de 10 M del préstamo puente ya se pagaron en el 2T26 [3].</w:t>
      </w:r>
    </w:p>
    <w:p>
      <w:pPr>
        <w:pStyle w:val="Heading1"/>
      </w:pPr>
      <w:r>
        <w:t xml:space="preserve">12. Asignación de capital</w:t>
      </w:r>
    </w:p>
    <w:p>
      <w:pPr>
        <w:pStyle w:val="Confianza"/>
        <w:spacing w:after="100"/>
      </w:pPr>
      <w:r>
        <w:t xml:space="preserve">Confianza: Media</w:t>
      </w:r>
    </w:p>
    <w:p>
      <w:pPr>
        <w:spacing w:after="100"/>
      </w:pPr>
      <w:r>
        <w:t xml:space="preserve">La prioridad declarada es comprar empresas («Strategic Acquisitions» es una de las cuatro estrategias del modelo de crecimiento) y pagar un dividendo creciente; las recompras son oportunistas [1]. En febrero de 2026 subió el dividendo trimestral un 9,7 %, a 0,34 USD [9]. Desde 2021 hasta 2025 completó 15 compras con unas ventas anuales de unos 1.800 M [1]; en 2026 añadió LKC Technologies, First Aviation Services (≈80 M de ventas) e Indicor Instrumentation (≈1.100 M) [4,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Abaco Systems, Alphasense, Magnetrol, EGS, Crank Software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papel comercial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sin deterioros del fondo de comercio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Navitar y RTDS Technologies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EIG; sin deterioros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Paragon Medical y Amplifier Research</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Papel comercial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Paragon tuvo un 2024 flojo (costes de integración de 29,2 M, ventas planas) y se recuperó en 2025 con pedidos al alza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FARO Technologies y Kern Microtechnik</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papel comercial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FARO (≈340 M de ventas) diluye el margen de EIG ≈1 punto en 2026; integración en curso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Indicor Instrumentation (de Indicor, LLC: diez negocios de instrumentación)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 a plazo de 4.000 M y línea de crédito o papel comercial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26-ago-2026; ≈50 % de ingresos de posventa; sinergias del 10-12 % de las ventas previstas [7, 10].</w:t>
            </w:r>
          </w:p>
        </w:tc>
      </w:tr>
    </w:tbl>
    <w:p>
      <w:pPr>
        <w:spacing w:after="160" w:before="0"/>
      </w:pPr>
    </w:p>
    <w:p>
      <w:pPr>
        <w:spacing w:after="100"/>
      </w:pPr>
      <w:r>
        <w:t xml:space="preserve">AMETEK es un buen comprador: en 2021-2025 dedicó 5.678 M a compras, 1.161 M a dividendos y 1.002 M a recompras, con una caja libre acumulada de ≈7.300 M, y el ROIC incremental del periodo (18,1 %) supera claramente el WACC. Los márgenes de lo comprado suben (EMG pasó del 20 % al 26 % con Paragon dentro) [3]. Indicor cambia la escala: 5.000 M de una vez, casi tres años de caja libre, a ≈14 veces el EBITDA y con deuda; el riesgo de pagar caro en lo alto del ciclo es mayor que en las compras pequeñas. La dilución es baja (acciones diluidas de 232,8 M en 2021 a 229,9 M hoy) y la remuneración en acciones también (0,6 % de las ventas) [5].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 Zapico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 años en la empresa; primer ejecutivo desde 2016 y presidente desde 2017. Con él las ventas pasaron de 3.840 M (2016) a 7.401 M (2025) y el BPA GAAP de 2,19 a 6,40 USD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Dalip M. Puri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abril de 2024; antes controller de grupo y finanzas operativas; 8 años en AMETEK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Tony J. Ciampitti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Electronic Instruments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años en la empresa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F. Hermance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Electromechanical Group</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 años en la empresa; EMG pasó de un margen del 20 % en 2024 al 26 % en el 2T26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Robert J. Amodei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sénior y controller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Sustituye a Thomas Montgomery (jubilado) desde enero de 2026; carrera interna en auditoría y control [20].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6,77-6,82 USD (oct-24); ventas +5-7 %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6,83 USD; ventas +5,2 %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7,02-7,18 USD (inicial, reiterada en abril); ventas +bajo dígito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7,43 USD; ventas +6,6 %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7,87-8,07 USD (feb-26); ventas +medio-alto dígito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a 7,94-8,14 (abr) y 8,20-8,30 (ago); ventas +10 % sin Indicor</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muy estable y de casa: el primer ejecutivo lleva 36 años en la empresa y los presidentes de grupo entre 27 y 34. Cumple o supera su guía: en 2024 y 2025 el BPA ajustado quedó en lo alto o por encima del rango y en 2026 la ha subido dos veces [3]. El relevo del director financiero (2024) y del controller (2026) fue interno [16, 20]. No hay un sucesor del primer ejecutivo anunciado; la propia empresa dice que el consejo revisa la sucesión periódicamente [16].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 Zapico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A. Amato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Anthony J. Conti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Gretchen W. McClain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Tod E. Carpenter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Karleen M. Oberton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Suzanne L. Stefany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Dean Seavers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Nick L. Stanage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89 %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cuentas y control interno de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1,02 / ventas 34,15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del 13G/A de feb-24 recogido en el proxy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del 13G/A de ene-24 recogido en el proxy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(16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1,32 M de acciones con opciones ejercitables y diferidos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Ronald J. Oscher (director administrativo)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A. Zapico (primer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A. Zapico (primer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C. Marecic (presidente de EIG)</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M. Montgomery (controller saliente)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F. Hermance (presidente de EMG)</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Nick L. Stanage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cobró 16,46 M USD en 2025: 1,40 M de fijo, 3,20 M de variable anual (2,44 M por fórmula y 0,76 M discrecional), 10,95 M en acciones y opciones y 0,92 M de otros [16]. El variable anual depende de ventas, beneficio operativo y caja. El largo plazo es 55 % en acciones por objetivos (PRSU), 25 % en opciones y 20 % en acciones restringidas; las PRSU dependen a partes iguales del rendimiento sobre el capital tangible (ROTC) y del TSR relativo frente al S&amp;P 500 Industrials [16]. Lo que no nos gusta: el ROTC excluye el fondo de comercio, así que no castiga pagar caro por las compras, que es justo el riesgo del modelo. Hay cláusula de recuperación (clawback). El voto en contra de la remuneración fue del 6,0 % en 2025 y del 5,8 % en 2026 [11, 17]. Ratio frente al empleado medio: 258 veces [16].</w:t>
      </w:r>
    </w:p>
    <w:p>
      <w:pPr>
        <w:pStyle w:val="Heading2"/>
      </w:pPr>
      <w:r>
        <w:t xml:space="preserve">Operaciones vinculadas, estructura de control y defensas</w:t>
      </w:r>
    </w:p>
    <w:p>
      <w:pPr>
        <w:spacing w:after="100"/>
      </w:pPr>
      <w:r>
        <w:t xml:space="preserve">No hay accionista de control: los dos mayores son gestoras (Vanguard 11,0 % y BlackRock 7,5 %) y los internos tienen ≈0,5 % [16]. Una acción, un voto. La defensa principal es el </w:t>
      </w:r>
      <w:r>
        <w:rPr>
          <w:b/>
        </w:rPr>
        <w:t xml:space="preserve">consejo escalonado</w:t>
      </w:r>
      <w:r>
        <w:t xml:space="preserve">: tres clases que se renuevan por tercios cada año (en 2026 se eligieron Amato, Conti y McClain hasta 2029), lo que dificulta un cambio de control [11]. El presidente es también primer ejecutivo, con un consejero independiente coordinador [16]. El apoyo a los consejeros es más bajo de lo habitual: McClain tuvo un 13,3 % en contra en 2026 y Conti, con 16 años en el consejo y 77 de edad, un 10,2 % [11]. No hay operaciones vinculadas relevantes.</w:t>
      </w:r>
    </w:p>
    <w:p>
      <w:pPr>
        <w:pStyle w:val="Heading2"/>
      </w:pPr>
      <w:r>
        <w:t xml:space="preserve">Señales de alerta</w:t>
      </w:r>
    </w:p>
    <w:p>
      <w:pPr>
        <w:pStyle w:val="ListParagraph"/>
        <w:numPr>
          <w:ilvl w:val="0"/>
          <w:numId w:val="2"/>
        </w:numPr>
        <w:spacing w:after="60"/>
      </w:pPr>
      <w:r>
        <w:t xml:space="preserve">Consejo escalonado (renovación por tercios): defensa frente a una opa.</w:t>
      </w:r>
    </w:p>
    <w:p>
      <w:pPr>
        <w:pStyle w:val="ListParagraph"/>
        <w:numPr>
          <w:ilvl w:val="0"/>
          <w:numId w:val="2"/>
        </w:numPr>
        <w:spacing w:after="60"/>
      </w:pPr>
      <w:r>
        <w:t xml:space="preserve">Ventas de directivos de 34,8 M USD en 12 meses (23,0 M del primer ejecutivo), sin plan 10b5-1 declarado; una sola compra en mercado (consejero nuevo, 1,02 M) [18].</w:t>
      </w:r>
    </w:p>
    <w:p>
      <w:pPr>
        <w:pStyle w:val="ListParagraph"/>
        <w:numPr>
          <w:ilvl w:val="0"/>
          <w:numId w:val="2"/>
        </w:numPr>
        <w:spacing w:after="60"/>
      </w:pPr>
      <w:r>
        <w:t xml:space="preserve">El incentivo a largo plazo usa el rendimiento sobre capital tangible, que no penaliza el fondo de comercio de las compras [16].</w:t>
      </w:r>
    </w:p>
    <w:p>
      <w:pPr>
        <w:pStyle w:val="ListParagraph"/>
        <w:numPr>
          <w:ilvl w:val="0"/>
          <w:numId w:val="2"/>
        </w:numPr>
        <w:spacing w:after="60"/>
      </w:pPr>
      <w:r>
        <w:t xml:space="preserve">Auditor desde 1930 (EY); 9,3 % en contra de su ratificación en 2026 [11].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(4-ago-2026, antes de cerrar Indicor): ventas +≈10 % frente a 2025 y BPA ajustado de 8,20-8,30 USD (+10-12 %), equivalente a 7,19-7,29 USD GAAP; 3T26: ventas +«alto dígito» y BPA ajustado de 2,08-2,10 [A3]. El 26-ago la empresa añadió que Indicor aportará ≈350 M de ventas en 2026 y será «ligeramente positiva» para el BPA ajustado [A7]. No hay plan a medio plazo con cifras: el objetivo declarado es crecer el BPA a doble dígito a lo largo del ciclo.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10.283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230,00 – 318,00</w:t>
            </w:r>
          </w:p>
        </w:tc>
      </w:tr>
    </w:tbl>
    <w:p>
      <w:pPr>
        <w:spacing w:after="160" w:before="0"/>
      </w:pPr>
    </w:p>
    <w:p>
      <w:pPr>
        <w:pStyle w:val="Heading2"/>
      </w:pPr>
      <w:r>
        <w:t xml:space="preserve">Revisiones de estimaciones</w:t>
      </w:r>
    </w:p>
    <w:p>
      <w:pPr>
        <w:spacing w:after="100"/>
      </w:pPr>
      <w:r>
        <w:t xml:space="preserve">Las estimaciones y los objetivos suben desde agosto: tras el 2T26 subieron sus objetivos RBC (260→291), KeyBanc (260→295), Mizuho (270→285), BMO (262→282), Truist (303→316) y Redburn (265→275); en septiembre-octubre, Deutsche Bank (288→318), BNP Paribas Exane (280→290), Baird (275→280), Morgan Stanley (245→275) y Citi (261→263) [23]. El objetivo medio es de 282,06 USD en MarketScreener (20 analistas) y de 274,41 USD en MarketBeat (19) [22, 23]. El BPA del consenso (GAAP en MarketScreener) es 7,35 USD en 2026 y 8,38 en 2027 [22].</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r>
    </w:tbl>
    <w:p>
      <w:pPr>
        <w:spacing w:after="160" w:before="0"/>
      </w:pPr>
    </w:p>
    <w:p>
      <w:pPr>
        <w:spacing w:after="100"/>
      </w:pPr>
      <w:r>
        <w:t xml:space="preserve">AMETEK sube un 32,8 % en un año frente al 16,2 % del S&amp;P 500 y el 9,0 % del sector industrial (XLI), y está a un 5,5 % de su máximo de 52 semanas (261,16 USD, 13-ago-2026) [21]. En tres años va por detrás del índice (18,4 % anual frente a 21,3 %): 2023-2024 fueron años de orgánico plano con la industria en recesión. La subida de 2026 la explican los pedidos (+23 % en el 1T y +28 % en el 2T) y la subida de la guía [A3]; la compra de Indicor en mayo no la frenó. Beta mensual de 0,96 a 5 años y volatilidad del 23,5 % [21]. Posición corta del 1,67 % del capital flotante [26].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precio de cierre de cada año y el BPA GAAP del mismo año, AMETEK cotizó a 34,6 veces en 2021, 27,9 en 2022, 29,1 en 2023, 30,4 en 2024 y 32,1 en 2025 [1, A5]; hoy, a 36,1 veces el BPA de los últimos 12 meses. Con el PER adelantado (cierre del año ÷ BPA del año siguiente) la mediana de 2021-2025 es de 28,2 veces y hoy cotiza a 31 veces nuestro BPA de 2027. La prima frente a su historia (≈10 %) refleja el giro de los pedidos y la tasa libre no la justifica: el bono a 10 años está en el 5,2 % frente al 1,5-4 % de 2021-2024.</w:t>
      </w:r>
    </w:p>
    <w:p>
      <w:pPr>
        <w:pStyle w:val="Heading1"/>
      </w:pPr>
      <w:r>
        <w:t xml:space="preserve">18. Comparables cotizados</w:t>
      </w:r>
    </w:p>
    <w:p>
      <w:pPr>
        <w:pStyle w:val="Confianza"/>
        <w:spacing w:after="100"/>
      </w:pPr>
      <w:r>
        <w:t xml:space="preserve">Confianza: Media</w:t>
      </w:r>
    </w:p>
    <w:p>
      <w:pPr>
        <w:spacing w:after="100"/>
      </w:pPr>
      <w:r>
        <w:t xml:space="preserve">Siete fabricantes de instrumentos y tecnología industrial de nicho, la mitad compradores en serie como AMETEK: Roper, Halma y Teledyne (compradores en serie), Fortive y Keysight (prueba y medida), Mettler-Toledo y Spirax (instrumentación de procesos y laboratorio). Cifras de Roper, Halma, Spirax, Mettler-Toledo y Fortive de los informes del repositorio del 14-oct-2026 (precio de cierre del 13 o 14-oct) [15]; Keysight y Teledyne de Stock Analysis del 14-oct, cuyo PER adelantado usa el BPA ajustado del consenso (más alto que el GAAP: su PER GAAP sería mayor) [26]. Halma y Spirax pasadas a USD con el BCE (1,3267 USD/GBP) [27]. Dejamos fuera a Thermo Fisher y Danaher (ciencias de la vida, diez veces más grandes).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AMETEK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Roper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Spirax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Fortive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Keysight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Teledyne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 / 15,1x / 17,1x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 / 18,7x / 24,5x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 / 26,6x / 28,9x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 / 5,6x / 7,6x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AMETEK cotiza a 30,2 veces el BPA de los próximos 12 meses y 20,9 veces el EBITDA, con un crecimiento de ingresos del 16,6 % (Indicor incluida) y un margen EBITDA del 31,2 %. La mediana de los comparables es de 26,6 veces el PER: AMETEK tiene una prima del 14 %, por encima de Halma (29,9x) y casi a la par de Mettler-Toledo (31,6x), que tiene un ROIC tres veces mayor. Roper (18,3x) está en otro régimen por el miedo a la IA en el software. La prima se explica por el crecimiento comprado y el giro de los pedidos, no por la rentabilidad del capital (13,2 % frente a una mediana del 12-13 %). El valor implícito por PER de los comparables es de 217,06 USD; usaríamos el PER porque los EBITDA de Keysight y Teledyne son de otro proveedor.</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Indicor Instrumentation (diez negocios de instrumentación)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AMETEK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≈1.100 M; ≈14 veces el EBITDA según la empresa [10].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FARO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AMETEK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total 1.023,7 M con la deuda convertible; ventas ≈340 M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Navitar y RTDS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conjunto de 429,7 M; sin múltiplo publicado [1].</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AMETEK paga entre 3 y 4,6 veces las ventas y unas 14 veces el EBITDA por negocios de instrumentación de nicho [1, 10]; en bolsa cotiza a ≈23 veces su EBITDA de los últimos 12 meses. Esa diferencia es la base de su modelo: compra a 14 veces, sube el margen y el mercado le paga 20 o más. Como objetivo de opa es improbable por tamaño (≈57.000 M de capitalización) y por el consejo escalonado. Con solo una operación con múltiplo publicado no usamos las transacciones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(+14,7 %, fijo): la guía de agosto es de ventas +≈10 % sin Indicor, y Indicor aporta ≈350 M desde el 26-ago [3, 7]. 2027e (+14,5 %): orgánico del 5-6 % sobre la cartera récord de 4.110 M y doce meses de Indicor (≈1.150 M) frente a cuatro [4]. Desde 2028 el crecimiento es solo orgánico, del 6,0 % al 3,25 % en 2035, cerca del 6 % del mercado de instrumentos [12, 13]. El consenso de ventas de 2027 (9.898 M) incluye compras pequeñas [22].</w:t>
      </w:r>
    </w:p>
    <w:p>
      <w:pPr>
        <w:keepNext/>
        <w:spacing w:after="100"/>
      </w:pPr>
      <w:r>
        <w:rPr>
          <w:b/>
          <w:bCs/>
        </w:rPr>
        <w:t xml:space="preserve">Márgenes.</w:t>
      </w:r>
    </w:p>
    <w:p>
      <w:pPr>
        <w:spacing w:after="100"/>
      </w:pPr>
      <w:r>
        <w:t xml:space="preserve">Margen EBITDA del 31,6 % en 2026e (31,2 % en los últimos 12 meses, 31,5 % en 2025) al 32,8 % desde 2030: Indicor llega con márgenes «en línea» y sinergias del 10-12 % de sus ventas (≈1,2 puntos del grupo), y el núcleo ganó 110 puntos básicos en el 2T26 [3, 10]. No suponemos el margen del 39 % de Roper: EMG tiene más fabricación y metales.</w:t>
      </w:r>
    </w:p>
    <w:p>
      <w:pPr>
        <w:keepNext/>
        <w:spacing w:after="100"/>
      </w:pPr>
      <w:r>
        <w:rPr>
          <w:b/>
          <w:bCs/>
        </w:rPr>
        <w:t xml:space="preserve">Inversión y circulante.</w:t>
      </w:r>
    </w:p>
    <w:p>
      <w:pPr>
        <w:spacing w:after="100"/>
      </w:pPr>
      <w:r>
        <w:t xml:space="preserve">Capex del 1,8-2,2 % de las ventas (1,6-2,3 % en 2021-2025) [1]. Amortización del 5,6-5,9 % en 2026-2027 (depreciación ≈1,8 % e intangibles comprados de 277 M más ≈115 M anuales de Indicor, estimación propia con la proporción de FARO) que se agota hasta el 2,2 % en 2035, igual al capex. Circulante del 16,5 % de las ventas, el real de 2025 (existencias + clientes − proveedores − anticipos). No proyectamos compras futuras ni su gasto.</w:t>
      </w:r>
    </w:p>
    <w:p>
      <w:pPr>
        <w:keepNext/>
        <w:spacing w:after="100"/>
      </w:pPr>
      <w:r>
        <w:rPr>
          <w:b/>
          <w:bCs/>
        </w:rPr>
        <w:t xml:space="preserve">Coste del capital.</w:t>
      </w:r>
    </w:p>
    <w:p>
      <w:pPr>
        <w:spacing w:after="100"/>
      </w:pPr>
      <w:r>
        <w:t xml:space="preserve">Tasa libre del 5,19 % (Tesoro a 10 años, 14-oct-2026) [24]; beta de 0,95 (mensual a 5 años 0,96; ajustada 0,97; semanal a 2 años 0,86) [21]; prima de mercado del 5,5 %; coste de la deuda del 5,0 % (SOFR ≈4,1 % más el margen del préstamo de Indicor) y peso de la deuda del 11 % con la deuda tras Indicor (≈7.000 M) sobre ≈63.700 M de valor. WACC del 9,70 %. Con la prima implícita del mercado (4,2 %) el WACC baja al 8,6 % [25].</w:t>
      </w:r>
    </w:p>
    <w:p>
      <w:pPr>
        <w:keepNext/>
        <w:spacing w:after="100"/>
      </w:pPr>
      <w:r>
        <w:rPr>
          <w:b/>
          <w:bCs/>
        </w:rPr>
        <w:t xml:space="preserve">Valor terminal.</w:t>
      </w:r>
    </w:p>
    <w:p>
      <w:pPr>
        <w:spacing w:after="100"/>
      </w:pPr>
      <w:r>
        <w:t xml:space="preserve">Gordon con crecimiento del 3,0 % en USD (inflación esperada ≈2,3 % más ≈0,7 % real), por debajo de la tasa libre menos medio punto. El valor terminal pesa el 56 % del valor. El múltiplo de salida implícito es bajo frente a los 20-26 veces el EBITDA a los que cotiza el sector hoy: es la consecuencia de descontar al 9,7 %.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132,80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177,42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-1.460 M (-5 % del NOPAT)</w:t>
            </w:r>
          </w:p>
        </w:tc>
      </w:tr>
    </w:tbl>
    <w:p>
      <w:pPr>
        <w:spacing w:after="160" w:before="0"/>
      </w:pPr>
    </w:p>
    <w:p>
      <w:pPr>
        <w:spacing w:after="100"/>
      </w:pPr>
      <w:r>
        <w:t xml:space="preserve">La proyección apenas necesita inversión neta de la amortización (reinversión acumulada de -1.460 M, con un capex bruto medio del 2,0 % de las ventas). En un negocio de activos ligeros, el crecimiento medio del 6,5 %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agosto: ventas +≈10 % (orgánico de un dígito medio-alto y compras de LKC, FARO y First Aviation) más ≈350 M de Indicor desde el 26-ago (otros) [3,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5,5 % (cartera de 4.110 M, pedidos orgánicos +25 % en el 2T26) más ≈8 meses adicionales de Indicor (otros, 9 puntos) [4,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orgánico: volumen del 3,5 % (infraestructura, aeronáutica, medicina) y precio del 2,5 % (historia de traslado de costes y aranceles)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5,5 %, por debajo del crecimiento del mercado de instrumentos (≈6 %) [12,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del 5,0 %: volumen 2,5 % y precio 2,5 %.</w:t>
            </w:r>
          </w:p>
        </w:tc>
      </w:tr>
    </w:tbl>
    <w:p>
      <w:pPr>
        <w:spacing w:after="160" w:before="0"/>
      </w:pPr>
    </w:p>
    <w:p>
      <w:pPr>
        <w:spacing w:after="100"/>
      </w:pPr>
      <w:r>
        <w:t xml:space="preserve">Sí. El crecimiento orgánico que proyectamos (5-6 % en 2027-2029 y 3,25-5 % después) está por debajo del del mercado de instrumentos (≈6 %) y se apoya en una cartera récord de 4.110 M y pedidos orgánicos +25 % en el 2T26 [4, 12]. AMETEK no necesita capital para crecer orgánicamente (capex del 2 %, reinversión negativa en la proyección) y su poder de precios está probado: margen bruto del 34,5 % al 36,0 % en 2021-2025 con inflación y aranceles [1]. El ROIC incremental histórico (18,1 %) supera al WACC. La cuota implícita no se mueve: el mercado final va en null porque la cuota de ≈5,4 % es la de EIG sobre prueba, medida e instrumentación analítica, y con un crecimiento por debajo del mercado no sube. El crecimiento comprado (Indicor, 7,2 y 9 puntos en 2026-2027) se paga en el puente (5.000 M en otros ajustes), no en el DCF.</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13,4 % (base: 5,6 %)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51,3 % (base: 32,8 %)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 (WACC: 9,7 %)</w:t>
            </w:r>
          </w:p>
        </w:tc>
      </w:tr>
    </w:tbl>
    <w:p>
      <w:pPr>
        <w:spacing w:after="160" w:before="0"/>
      </w:pPr>
    </w:p>
    <w:p>
      <w:pPr>
        <w:spacing w:after="100"/>
      </w:pPr>
      <w:r>
        <w:t xml:space="preserve">El DCF da 142,48 USD por acción (−42,3 % frente a 246,77) y el valor intrínseco ponderado 149,91 USD (−39,3 %); el valor terminal pesa el 56 %. El DCF inverso dice que el precio exige un crecimiento de las ventas del 13,4 % anual en 2027-2035 (nuestro base: 5,6 %) o un margen EBITDA del 51,3 % (nuestro base: 32,8 %), y que la rentabilidad implícita es del 7,2 % frente a un WACC del 9,7 %. Es exigente frente a su historia orgánica (≈4-5 % de media en el ciclo) y frente a cualquier margen del sector. La lectura correcta es otra: el precio paga el modelo de compras (comprar a 14 veces el EBITDA, subir el margen, repetir) y una tasa de descuento más baja que la del bono al 5,2 %. Con la prima implícita del mercado (4,2 %) el valor es de 175,60 USD (−29,3 %): ni así llega. El mercado descuenta décadas de compras con creación de valor; nuestro DCF solo valora lo que ya hay.</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de 2026 eran acopio por aranceles y un pico de semiconductores: en 2027 el orgánico se vuelve negativo como en 2024 y el margen cae 2 puntos; Indicor no rinde lo esperado. Ya pasó en 2009 (ventas −19 %) y en 2020 (−12 %).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5-6 % durante tres años y del 3-5 % después, Indicor integrada con sinergias graduales y margen EBITDA del 32,8 %; sin compras futuras ni recompras.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164,99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ciclo de inversión industrial dura: orgánico 1,5 puntos más alto y margen 1 punto más alto por apalancamiento operativo y sinergias de Indicor antes de tiempo.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46,7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135,47 USD (-45,1 %).</w:t>
      </w:r>
    </w:p>
    <w:p>
      <w:pPr>
        <w:spacing w:after="100"/>
      </w:pPr>
      <w:r>
        <w:t xml:space="preserve">Los tres escenarios del DCF quedan por debajo del precio: el alcista pierde un 33,1 % y el bajista un 62,7 %, una asimetría negativa (−0,53 veces). Es el efecto de la tasa de descuento, no de un caso base pesimista: nuestro base crece más que la historia orgánica de AMETEK. Con los múltiplos a 12 meses la asimetría es más corta: −25,2 % en el bajista y +15,9 % en el alcista. Ninguna de las dos lecturas compensa comprar al precio de hoy.</w:t>
      </w:r>
    </w:p>
    <w:p>
      <w:pPr>
        <w:pStyle w:val="Heading1"/>
      </w:pPr>
      <w:r>
        <w:t xml:space="preserve">22. Suma de partes</w:t>
      </w:r>
    </w:p>
    <w:p>
      <w:pPr>
        <w:pStyle w:val="Confianza"/>
        <w:spacing w:after="100"/>
      </w:pPr>
      <w:r>
        <w:t xml:space="preserve">Confianza: Media</w:t>
      </w:r>
    </w:p>
    <w:p>
      <w:pPr>
        <w:spacing w:after="100"/>
      </w:pPr>
      <w:r>
        <w:t xml:space="preserve">No la usamos: EIG y EMG comparten la misma lógica (nichos industriales con márgenes del 23-30 %, poca inversión y crecimiento por compras) y sus comparables cotizan en el mismo rango; una suma de partes daría un valor muy parecido al de los comparables del grupo.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46,7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248,00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149,91 USD (-39,3 % sobre 246,77).</w:t>
      </w:r>
    </w:p>
    <w:p>
      <w:pPr>
        <w:spacing w:after="100"/>
      </w:pPr>
      <w:r>
        <w:t xml:space="preserve">Pesamos el DCF y los escenarios (40 % cada uno) y los comparables (20 %); sin transacciones (solo una con múltiplo) ni suma de partes. El DCF es el método más fiable para el valor de lo que AMETEK ya tiene, pero no recoge la creación de valor de las compras futuras, que es la mitad de su crecimiento histórico; por eso es un suelo conservador. Los comparables (PER de 217,06 USD con la mediana de 26,6 veces) dicen que AMETEK cotiza con prima incluso frente a nichos de calidad (Halma 29,9x, Mettler-Toledo 31,6x) y a mucha distancia de Roper (18,3x). La dispersión es grande: de 91,93 USD en el bajista del DCF a 235,83 en el máximo del PER de comparables; ningún método llega al precio de hoy salvo el objetivo a 12 meses por múltiplos propios.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(31.4x) a mitad de camino hacia abajo, hacia la mediana de 5 años (28.2x)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284,59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r>
    </w:tbl>
    <w:p>
      <w:pPr>
        <w:spacing w:after="160" w:before="0"/>
      </w:pPr>
    </w:p>
    <w:p>
      <w:pPr>
        <w:spacing w:after="100"/>
      </w:pPr>
      <w:r>
        <w:rPr>
          <w:b/>
          <w:bCs/>
        </w:rPr>
        <w:t xml:space="preserve">Objetivo a 12 meses (ponderado):</w:t>
      </w:r>
      <w:r>
        <w:t xml:space="preserve"> 249,72 USD · rentabilidad +1,7 % (base +8,1 %) · señal Mantener.</w:t>
      </w:r>
    </w:p>
    <w:p>
      <w:pPr>
        <w:spacing w:after="100"/>
      </w:pPr>
      <w:r>
        <w:t xml:space="preserve">Para comparar, con la regla v2 (historia al cierre, mismo precio): 27,9x / 30,4x / 30,4x, 6,6 %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(7,87 USD) queda un 6,1 % por debajo del consenso GAAP de MarketScreener (8,38) y el de 2028e (8,91) un 7,0 % por debajo (9,58) [22]. Las ventas casi coinciden (9.720 M frente a 9.898 M en 2027); la diferencia está en que no suponemos recompras ni nuevas compras con la caja (el consenso sí redistribuye ≈2.000 M al año) y en que cargamos ≈115 M anuales de amortización de los intangibles de Indicor (estimación propia). Nuestro precio base a 12 meses (265,52 USD) queda un 5,9 % por debajo del objetivo medio de los analistas (282,06 USD), dentro de su rango (230-318) [22, 23].</w:t>
      </w:r>
    </w:p>
    <w:p>
      <w:pPr>
        <w:keepNext/>
        <w:spacing w:after="100"/>
      </w:pPr>
      <w:r>
        <w:rPr>
          <w:b/>
          <w:bCs/>
        </w:rPr>
        <w:t xml:space="preserve">Del valor intrínseco al objetivo a 12 meses.</w:t>
      </w:r>
    </w:p>
    <w:p>
      <w:pPr>
        <w:spacing w:after="100"/>
      </w:pPr>
      <w:r>
        <w:t xml:space="preserve">El objetivo a 12 meses (249,72 USD, +1,7 % con dividendo) y el valor intrínseco (149,91 USD, −39,3 %) están muy lejos: el mercado paga 31,4 veces nuestro BPA de 2027 por un negocio de buena calidad, mientras que el DCF descuenta sus flujos al 9,70 % con un bono del Tesoro al 5,19 %. La distancia no se cierra con un catalizador: haría falta que bajaran los tipos (con la prima del mercado el valor sube a 175,60 USD) o que el crecimiento orgánico fuera del 13 % anual durante nueve años. La tesis del precio actual es de varios años y depende de que AMETEK siga comprando empresas a 14 veces el EBITDA y subiéndoles el margen, algo que el DCF orgánico no recoge.</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(primer trimestre con Indicor)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tras dos trimestres de +23-28 % y guía de 2026 con Indicor; prueba de si los pedidos eran adelanto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Indicor completa: BPA ajustado del consenso implícito ≈9,3 USD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Pequeño (0,55 % de rentabilidad); señal de confianza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del préstamo de 4.000 M con bonos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coste de la deuda de Indicor; ±1 punto de tipo = ±50 M de intereses (≈0,17 USD por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modelo necesita 1.000-2.000 M al año; con deuda de ≈2,3 veces, la capacidad vuelve hacia finales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en contra de consejeros (McClain 13 % en 2026) y del auditor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pedidos de 2026 son un adelanto (aranceles, pico de semiconductores)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a 12 meses (bajista: 183,26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de mercados; cartera de 4.110 M que cubre medio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orgánicos del 3T26 y 4T26 por debajo del 5 % o cartera que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Indicor pagada cara o mal integrada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(sinergias nulas: ≈0,45 USD por acción de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integración (Paragon, FARO); ≈50 % de posventa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EIG/EMG sin mejora en 2027 o costes de integración &gt; 50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Contracción del múltiplo con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si el PER vuelve a 24,6x (mínimo de 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y crecimiento visible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a tipo variable tras Indicor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por cada punto de tipos (≈50 M de intereses)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libre de ≈2.000 M al año: vuelve a ≈1,5 veces en dos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por encima de 2,5 veces a final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controles a la exportación (China, semiconductores, defensa)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Fábricas en 22 países; traslado a precios en 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ventas en Asia (20 % del total)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de IA: abaratamiento del software de análisis y de los instrumentos de gama baja; o un frenazo del gasto en centros de datos y semiconductores que hoy tira de los pedidos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hardware de precisión calibrado y certificado; la IA es hoy motor de demanda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semiconductores y energía a la baja; competidores con instrumentos «con IA» más baratos en metrología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del fondo de comercio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en caja; baja el ROIC publicado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en una década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ventas de Paragon o FARO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del primer ejecutivo y gobierno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Banquillo interno amplio (presidentes de grupo con 27-34 años en la casa)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Zapico sin sucesor o rotación de presidentes de grupo</w:t>
            </w:r>
          </w:p>
        </w:tc>
      </w:tr>
    </w:tbl>
    <w:p>
      <w:pPr>
        <w:spacing w:after="160" w:before="0"/>
      </w:pPr>
    </w:p>
    <w:p>
      <w:pPr>
        <w:pStyle w:val="Heading2"/>
      </w:pPr>
      <w:r>
        <w:t xml:space="preserve">Pre-mortem</w:t>
      </w:r>
    </w:p>
    <w:p>
      <w:pPr>
        <w:spacing w:after="100"/>
      </w:pPr>
      <w:r>
        <w:t xml:space="preserve">Es octubre de 2029 y la acción ha perdido un 40 %, hasta unos 150 USD. La cadena más probable empieza en 2027: los pedidos del 1S26 resultaron ser compras adelantadas por los aranceles y el pico de inversión en semiconductores y centros de datos; el orgánico cae al −2 % como en 2024 y el margen de EMG, que había subido 290 puntos básicos, devuelve la mitad. Indicor, comprada a 14 veces el EBITDA en lo alto del ciclo, aporta menos de lo previsto y su amortización lleva el ROIC publicado por debajo del 10 %, a menos de un punto del WACC. Con la deuda en 2,3 veces, AMETEK no puede comprar en la caída y el mercado deja de pagarle por su «máquina de compras»: el PER adelantado vuelve a 22-24 veces, como en 2018 y 2022, sobre un BPA plano de ≈7,5 USD. Los indicadores que lo habrían anticipado son los pedidos orgánicos del 3T26 y del 4T26 (por debajo del 5 %), la cartera de pedidos dejando de crecer, el margen de EIG con Indicor por debajo del 29 % y la refinanciación del préstamo a un tipo superior al 5,5 %.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ESG que más pesan en las cifras son la seguridad del producto en medicina y aeronáutica (un fallo de certificación cuesta contratos), las emisiones de sus fábricas (energía de metales especiales) y la cadena de suministro en países de riesgo (China, Malasia, México) [1]. Una parte del negocio vende a la transición energética (analizadores de emisiones, red eléctrica): es una oportunidad más que un coste [1, 10].</w:t>
      </w:r>
    </w:p>
    <w:p>
      <w:pPr>
        <w:pStyle w:val="Heading2"/>
      </w:pPr>
      <w:r>
        <w:t xml:space="preserve">Controversias</w:t>
      </w:r>
    </w:p>
    <w:p>
      <w:pPr>
        <w:spacing w:after="100"/>
      </w:pPr>
      <w:r>
        <w:t xml:space="preserve">No hemos encontrado sanciones ni litigios relevantes en los últimos tres años en el 10-K ni en los 8-K; el 10-K dice que no hay procedimientos legales materiales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+25 % de pedidos orgánicos del 2T26 es compra adelantada por aranceles o por el ciclo de semiconductores, y qué parte tiene entrega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bajista (orgánico negativo en 2027) es probable.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Indicor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EBITDA exacto de 2025 de Indicor Instrumentation y el reparto del precio entre fondo de comercio e intangibles amortizables?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la amortización (estimamos ≈115 M al año) y el BPA GAAP de 2027-2028.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del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incentivo a largo plazo mide el rendimiento sobre el capital tangible y no el ROIC con el fondo de comercio?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publicado (13,2 %) apenas supera el WACC (9,7 %); el tangible no castiga pagar caro.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y a qué plazo se refinanciará el préstamo de 4.000 M, y cuál es el objetivo de apalancamiento antes de volver a comprar?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tipo son ≈50 M de intereses y el ritmo de compras es la mitad del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dejará FARO de diluir el margen de EIG y qué crecimiento tiene su software?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compra más expuesta a la competencia de software y de IA en metrología.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un plan de sucesión del primer ejecutivo, que lleva diez años en el cargo y 36 en la empresa?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modelo de compras depende de la disciplina de la cúpula.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($AME)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casi todos técnicos y alcistas: nuevo máximo de 52 semanas en agosto, opciones de compra a corto plazo y vigilancia de la media de 10 y 50 sesiones; alguno vende al perder soportes y otro ve la valoración «rica» como freno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artículo de septiembre presenta a AMETEK como la «capa de control» del nuevo ciclo de inversión industrial; el de julio valora bien su historial de compras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2T26 dominan los titulares de batida y subida de guía; los de abril y febrero hablaban de «negocio muy bien gestionado y valorado en consecuencia» y de «cerca de una rebaja por valoración»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(noticias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Cadena de subidas de objetivo en agosto-octubre; un comentario en Stocktwits recoge la misma idea: «muchas mejoras de analistas, falta ver si las ventas lo justifican» [23, 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récord y ciclo de inversión industrial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apoyan: pedidos +28 % en el 2T26 (25 % orgánico) y cartera de 4.110 M; falta saber cuánto es acopio por aranceles o pico de semiconductores [A4].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36 veces el BPA de los últimos 12 meses y 31 veces nuestro BPA de 2027, por encima de su mediana de 28 veces.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Indicor y disciplina en las 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(≈14 veces el EBITDA) es el habitual de AMETEK; el ROIC publicado baja y la deuda sube a ≈2,3 veces el EBITDA.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Análisis técnico (medias móviles)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entra en la valoración.</w:t>
            </w:r>
          </w:p>
        </w:tc>
      </w:tr>
    </w:tbl>
    <w:p>
      <w:pPr>
        <w:spacing w:after="160" w:before="0"/>
      </w:pPr>
    </w:p>
    <w:p>
      <w:pPr>
        <w:spacing w:after="100"/>
      </w:pPr>
      <w:r>
        <w:t xml:space="preserve">El sentimiento de los particulares es positivo y mejora desde la primavera, al ritmo de los pedidos y de las subidas de objetivo de los analistas. No es euforia: la objeción que más se repite es la misma que la nuestra, la valoración. Nadie en los foros discute el riesgo de que los pedidos de 2026 sean un adelanto, ni el ROIC tras Indicor; tampoco aparece la IA como amenaza para AMETEK, sino como motor de demanda (centros de datos, semiconductores). No cambia la tesis.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18 controles correctos. Fuentes: 31 (16 primarias); citas distintas en el texto: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16,5 % frente a 16,4 % real: genera una variación de circulante de 189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fuentes (16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19,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y 10-Q 2T26: solo dicen que el margen del crédito depende del rating, sin dar la nota; 2) 8-K del crédito de junio de 2026: igual; 3) no hemos abierto las páginas de S&amp;P o Moody's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2026: no dan calificaciones de terceros; 2) MSCI y Sustainalytics: piden registro; 3) búsqueda en prensa: sin una cifra fechada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consejo.desde (cinco consejeros)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tabla de candidatos: solo da el año de los tres que se votaban; 2) biografías del proxy: sin año de entrada; 3) 8-K de junta 2025: no lo 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(5-10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2022-2025: AMETEK no publica el múltiplo de sus compras salvo Indicor; 2) notas de prensa de FARO, Paragon y Virtek: sin EBITDA; 3) transacciones de otros (Spectris-KKR, Emerson-AspenTech) no son del mismo perímetro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AMETEK, Form 10-K 2025 (cuentas, segmentos, adquisiciones, deuda, pensiones)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AMETEK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https://www.sec.gov/Archives/edgar/data/1037868/000103786826000016/ame-20251231.htm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AMETEK Announces Record Fourth Quarter and Full Year 2025 Results (nota de resultados y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AMETEK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https://www.sec.gov/Archives/edgar/data/1037868/000103786826000006/ametek8kexhibit99102032026.htm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Announces Record Second Quarter 2026 Results and Raises Full Year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https://www.sec.gov/Archives/edgar/data/1037868/000103786826000173/ametek8kexhibit99108042026.htm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Form 10-Q 2T26 (deuda, papel comercial, pedidos y cartera, flujos del semestre)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https://www.sec.gov/Archives/edgar/data/1037868/000103786826000175/ame-20260630.htm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hechos XBRL (companyfacts), series anuales y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https://data.sec.gov/api/xbrl/companyfacts/CIK0001037868.json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Form 10-K 2022 (segmentos 2020-2022, adquisiciones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https://www.sec.gov/Archives/edgar/data/1037868/000103786823000012/ame-20221231.htm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Completes Acquisition of Indicor Instrumentation (8-K, 26-ago-2026)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https://www.sec.gov/Archives/edgar/data/1037868/000103786826000191/exhibit-991indicorinstrume.htm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notas de resultados 3T24, 1T25, 2T25, 3T25 y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https://www.sec.gov/Archives/edgar/data/1037868/000103786826000141/ametek8kexhibit99104302026.htm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raises quarterly cash dividend 10% (8-K, 12-feb-2026)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https://www.sec.gov/Archives/edgar/data/1037868/000103786826000009/exhibit-991divinc2x12x26.htm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AMETEK's Strategic Acquisition of Indicor Instrumentation (presentación a inversores, 8-K de 6-may-2026)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https://www.sec.gov/Archives/edgar/data/1037868/000103786826000146/projectivy_irdeckfinal.htm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8-K de la junta de accionistas del 7-may-2026 (resultados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https://www.sec.gov/Archives/edgar/data/1037868/000103786826000157/ame-20260507.htm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Test and Measurement Equipment Market (48,65 mil M USD en 2025; 76,38 en 2032; TCAC 6,4 %)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https://www.marketsandmarkets.com/ResearchInsight/test-measurement-equipment-market-trends.asp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Analytical Instrumentation Market (41,8 mil M USD en 2025; 71,9 en 2035; TCAC 5,7 %)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https://www.gminsights.com/industry-analysis/analytical-instrumentation-market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estadísticas de Keysight (KEYS) y Teledyne (TDY) a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https://stockanalysis.com/stocks/keys/statistics/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del repositorio del 14-oct-2026: Roper, Halma, Spirax y Mettler-Toledo (cifras de cada comparable de sus propias cuentas)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informes/roper-2026-10-14, informes/halma-2026-10-14, informes/spirax-2026-10-14, informes/mettler-toledo-2026-10-14 (datos.json)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proxy statement 2026 (DEF 14A): consejo, remuneración,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https://www.sec.gov/Archives/edgar/data/1037868/000103786826000062/ame-20260311.htm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8-K de la junta de 7-may-2025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https://www.sec.gov/Archives/edgar/data/1037868/000103786825000044/ame-20250507.htm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Form 4 de AMETEK (oct-2025 a oct-2026), resumido con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https://www.sec.gov/cgi-bin/browse-edgar?action=getcompany&amp;CIK=1037868&amp;type=4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8-K del nombramiento de Nick L. Stanage como consejero (8-may-2026)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https://www.sec.gov/Archives/edgar/data/1037868/000103786826000151/ame-20260507.htm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8-K del nuevo interventor (Robert J. Amodei, 7-nov-2025)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https://www.sec.gov/Archives/edgar/data/1037868/000103786825000082/ame-20251107.htm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AME, ^GSPC y XLI hasta el 14-oct-2026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https://finance.yahoo.com/quote/AME/history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AMETEK, finanzas y estimaciones 2026-2028 (20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https://www.marketscreener.com/quote/stock/AMETEK-INC-11635/finances/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AMETEK, previsiones y acciones de los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https://www.marketbeat.com/stocks/NYSE/AME/forecast/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5,19 %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estadísticas de AMETEK, Keysight y Teledyne a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https://stockanalysis.com/stocks/ame/statistics/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BCE, tipos de cambio de referencia del 14-oct-2026 (USD 1,1195 y GBP 0,84385 por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feed de artículos y noticias de AME (feb-oct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https://seekingalpha.com/api/sa/combined/AME.xml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$AME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https://api.stocktwits.com/api/2/streams/symbol/AME.json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Ametek: The Quiet Control Layer Behind The Next Industrial Investment Cycle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externo)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https://seekingalpha.com/symbol/AME/analysis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«Instrumentos electrónicos y de precisión» (sectores/instrumentos-precision-2026-10-14.md)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sectores/instrumentos-precision-2026-10-14.md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89,4 %</w:t>
      </w:r>
      <w:r>
        <w:t xml:space="preserve"> · Secciones con menos del 60 % de campos cubiertos: </w:t>
      </w:r>
      <w:r>
        <w:rPr>
          <w:b/>
          <w:bCs/>
        </w:rPr>
        <w:t xml:space="preserve">ninguna</w:t>
      </w:r>
      <w:r>
        <w:t xml:space="preserve"> · Generado el 14 oct 2026.</w:t>
      </w:r>
    </w:p>
    <w:p>
      <w:pPr>
        <w:pStyle w:val="Nota"/>
        <w:spacing w:after="100"/>
      </w:pPr>
      <w:r>
        <w:t xml:space="preserve">Cotización y cuentas en USD (NYSE). Precio: cierre del 14-oct-2026 (246,77 USD, Yahoo Finance). Acciones: 229,26 M en circulación a 28-jul-2026 más ≈0,6 M de dilución por opciones (229,9 M). El puente es el balance de 30-jun-2026 más los 5.000 M pagados por Indicor Instrumentation el 26-ago-2026 (otros_ajustes): por eso el valor empresa y los múltiplos de los últimos 12 meses (EV/EBITDA de 25,8x) mezclan la deuda de Indicor con un EBITDA que todavía no la incluye, y la deuda neta/EBITDA del motor (0,6x) es la de junio; con Indicor ronda las 2,3 veces. No se resta la caja libre generada entre julio y octubre (≈450 M por trimestre). Deuda de 2021-2025 corregida a mano: cuentas.mjs solo sumaba la deuda a largo; se añade la de corto (DebtCurrent, papel comercial incluido). Consenso de MarketScreener (BPA GAAP) y MarketBeat. Comparables de los informes del repositorio del mismo día y de Stock Analysis (Keysight y Teledyne, PER adelantado en BPA ajustado). Sin rating ni calificaciones ESG.</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AMETEK, Inc. (AME)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246,77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(182,87 – 261,16)</c:v>
                </c:pt>
                <c:pt idx="1">
                  <c:v>Precio objetivo de los analistas (230,00 – 318,00)</c:v>
                </c:pt>
                <c:pt idx="2">
                  <c:v>Comparables: EV/EBITDA NTM (156,45 – 197,24)</c:v>
                </c:pt>
                <c:pt idx="3">
                  <c:v>Comparables: PER NTM (198,70 – 235,83)</c:v>
                </c:pt>
                <c:pt idx="4">
                  <c:v>DCF (WACC y g ± 0,5) (124,81 – 166,15)</c:v>
                </c:pt>
                <c:pt idx="5">
                  <c:v>Escenarios (bajista – alcista) (91,93 – 164,99)</c:v>
                </c:pt>
                <c:pt idx="6">
                  <c:v>DCF con la prima implícita del mercado (4,2 %)</c:v>
                </c:pt>
                <c:pt idx="7">
                  <c:v>Precio actual (246,77)</c:v>
                </c:pt>
              </c:strCache>
            </c:strRef>
          </c:cat>
          <c:val>
            <c:numRef>
              <c:f>Hoja1!$B$2:$B$9</c:f>
              <c:numCache>
                <c:formatCode>#,##0</c:formatCode>
                <c:ptCount val="8"/>
                <c:pt idx="0">
                  <c:v>182.87</c:v>
                </c:pt>
                <c:pt idx="1">
                  <c:v>230</c:v>
                </c:pt>
                <c:pt idx="2">
                  <c:v>156.45</c:v>
                </c:pt>
                <c:pt idx="3">
                  <c:v>198.7</c:v>
                </c:pt>
                <c:pt idx="4">
                  <c:v>124.81</c:v>
                </c:pt>
                <c:pt idx="5">
                  <c:v>91.93</c:v>
                </c:pt>
                <c:pt idx="6">
                  <c:v>159.11</c:v>
                </c:pt>
                <c:pt idx="7">
                  <c:v>245.54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(182,87 – 261,16)</c:v>
                </c:pt>
                <c:pt idx="1">
                  <c:v>Precio objetivo de los analistas (230,00 – 318,00)</c:v>
                </c:pt>
                <c:pt idx="2">
                  <c:v>Comparables: EV/EBITDA NTM (156,45 – 197,24)</c:v>
                </c:pt>
                <c:pt idx="3">
                  <c:v>Comparables: PER NTM (198,70 – 235,83)</c:v>
                </c:pt>
                <c:pt idx="4">
                  <c:v>DCF (WACC y g ± 0,5) (124,81 – 166,15)</c:v>
                </c:pt>
                <c:pt idx="5">
                  <c:v>Escenarios (bajista – alcista) (91,93 – 164,99)</c:v>
                </c:pt>
                <c:pt idx="6">
                  <c:v>DCF con la prima implícita del mercado (4,2 %)</c:v>
                </c:pt>
                <c:pt idx="7">
                  <c:v>Precio actual (246,77)</c:v>
                </c:pt>
              </c:strCache>
            </c:strRef>
          </c:cat>
          <c:val>
            <c:numRef>
              <c:f>Hoja1!$C$2:$C$9</c:f>
              <c:numCache>
                <c:formatCode>#,##0</c:formatCode>
                <c:ptCount val="8"/>
                <c:pt idx="0">
                  <c:v>78.29000000000002</c:v>
                </c:pt>
                <c:pt idx="1">
                  <c:v>88</c:v>
                </c:pt>
                <c:pt idx="2">
                  <c:v>40.79000000000002</c:v>
                </c:pt>
                <c:pt idx="3">
                  <c:v>37.130000000000024</c:v>
                </c:pt>
                <c:pt idx="4">
                  <c:v>41.34</c:v>
                </c:pt>
                <c:pt idx="5">
                  <c:v>73.06</c:v>
                </c:pt>
                <c:pt idx="6">
                  <c:v>36.48999999999998</c:v>
                </c:pt>
                <c:pt idx="7">
                  <c:v>2.460000000000008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Electronic Instruments (EIG)</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3763.8</c:v>
                </c:pt>
                <c:pt idx="1">
                  <c:v>4229.4</c:v>
                </c:pt>
                <c:pt idx="2">
                  <c:v>4624.3</c:v>
                </c:pt>
                <c:pt idx="3">
                  <c:v>4659.9</c:v>
                </c:pt>
                <c:pt idx="4">
                  <c:v>4919.1</c:v>
                </c:pt>
              </c:numCache>
            </c:numRef>
          </c:val>
        </c:ser>
        <c:ser>
          <c:idx val="1"/>
          <c:order val="1"/>
          <c:tx>
            <c:strRef>
              <c:f>Hoja1!$C$1</c:f>
              <c:strCache>
                <c:ptCount val="1"/>
                <c:pt idx="0">
                  <c:v>Electromechanical (EMG)</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1782.8</c:v>
                </c:pt>
                <c:pt idx="1">
                  <c:v>1921.2</c:v>
                </c:pt>
                <c:pt idx="2">
                  <c:v>1972.7</c:v>
                </c:pt>
                <c:pt idx="3">
                  <c:v>2281.3</c:v>
                </c:pt>
                <c:pt idx="4">
                  <c:v>2482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Electronic Instruments (EIG)</c:v>
                </c:pt>
                <c:pt idx="1">
                  <c:v>Electromechanical (EMG)</c:v>
                </c:pt>
              </c:strCache>
            </c:strRef>
          </c:cat>
          <c:val>
            <c:numRef>
              <c:f>Hoja1!$B$2:$B$3</c:f>
              <c:numCache>
                <c:formatCode>General</c:formatCode>
                <c:ptCount val="2"/>
                <c:pt idx="0">
                  <c:v>66.5</c:v>
                </c:pt>
                <c:pt idx="1">
                  <c:v>33.5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Estados Unidos</c:v>
                </c:pt>
                <c:pt idx="1">
                  <c:v>Asia</c:v>
                </c:pt>
                <c:pt idx="2">
                  <c:v>Unión Europea</c:v>
                </c:pt>
                <c:pt idx="3">
                  <c:v>Reino Unido</c:v>
                </c:pt>
                <c:pt idx="4">
                  <c:v>Otros</c:v>
                </c:pt>
              </c:strCache>
            </c:strRef>
          </c:cat>
          <c:val>
            <c:numRef>
              <c:f>Hoja1!$B$2:$B$6</c:f>
              <c:numCache>
                <c:formatCode>0"%"</c:formatCode>
                <c:ptCount val="5"/>
                <c:pt idx="0">
                  <c:v>51.8</c:v>
                </c:pt>
                <c:pt idx="1">
                  <c:v>20.1</c:v>
                </c:pt>
                <c:pt idx="2">
                  <c:v>14.7</c:v>
                </c:pt>
                <c:pt idx="3">
                  <c:v>3.5</c:v>
                </c:pt>
                <c:pt idx="4">
                  <c:v>9.9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2025</c:v>
                </c:pt>
                <c:pt idx="1">
                  <c:v>2026e</c:v>
                </c:pt>
                <c:pt idx="2">
                  <c:v>2027e</c:v>
                </c:pt>
                <c:pt idx="3">
                  <c:v>2028e</c:v>
                </c:pt>
                <c:pt idx="4">
                  <c:v>2030e</c:v>
                </c:pt>
              </c:strCache>
            </c:strRef>
          </c:cat>
          <c:val>
            <c:numRef>
              <c:f>Hoja1!$B$2:$B$6</c:f>
              <c:numCache>
                <c:formatCode>#,##0</c:formatCode>
                <c:ptCount val="5"/>
                <c:pt idx="0">
                  <c:v>90450</c:v>
                </c:pt>
                <c:pt idx="1">
                  <c:v>95877</c:v>
                </c:pt>
                <c:pt idx="2">
                  <c:v>101630</c:v>
                </c:pt>
                <c:pt idx="3">
                  <c:v>107728</c:v>
                </c:pt>
                <c:pt idx="4">
                  <c:v>121042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AMETEK</c:v>
                </c:pt>
                <c:pt idx="1">
                  <c:v>Keysight Technologies</c:v>
                </c:pt>
                <c:pt idx="2">
                  <c:v>Teledyne Technologies</c:v>
                </c:pt>
                <c:pt idx="3">
                  <c:v>Mettler-Toledo</c:v>
                </c:pt>
                <c:pt idx="4">
                  <c:v>Fortive</c:v>
                </c:pt>
                <c:pt idx="5">
                  <c:v>Halma</c:v>
                </c:pt>
                <c:pt idx="6">
                  <c:v>Thermo Fisher Scientific</c:v>
                </c:pt>
              </c:strCache>
            </c:strRef>
          </c:cat>
          <c:val>
            <c:numRef>
              <c:f>Hoja1!$B$2:$B$8</c:f>
              <c:numCache>
                <c:formatCode>0.0"%"</c:formatCode>
                <c:ptCount val="7"/>
                <c:pt idx="0">
                  <c:v>25.8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5546.5</c:v>
                </c:pt>
                <c:pt idx="1">
                  <c:v>6150.5</c:v>
                </c:pt>
                <c:pt idx="2">
                  <c:v>6597</c:v>
                </c:pt>
                <c:pt idx="3">
                  <c:v>6941.2</c:v>
                </c:pt>
                <c:pt idx="4">
                  <c:v>7401.1</c:v>
                </c:pt>
                <c:pt idx="5">
                  <c:v>8489</c:v>
                </c:pt>
                <c:pt idx="6">
                  <c:v>9720</c:v>
                </c:pt>
                <c:pt idx="7">
                  <c:v>10303</c:v>
                </c:pt>
                <c:pt idx="8">
                  <c:v>10870</c:v>
                </c:pt>
                <c:pt idx="9">
                  <c:v>11413</c:v>
                </c:pt>
                <c:pt idx="10">
                  <c:v>11927</c:v>
                </c:pt>
                <c:pt idx="11">
                  <c:v>12404</c:v>
                </c:pt>
                <c:pt idx="12">
                  <c:v>12869</c:v>
                </c:pt>
                <c:pt idx="13">
                  <c:v>13320</c:v>
                </c:pt>
                <c:pt idx="14">
                  <c:v>13752</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1600.8</c:v>
                </c:pt>
                <c:pt idx="1">
                  <c:v>1820.1</c:v>
                </c:pt>
                <c:pt idx="2">
                  <c:v>2045.1</c:v>
                </c:pt>
                <c:pt idx="3">
                  <c:v>2162.5</c:v>
                </c:pt>
                <c:pt idx="4">
                  <c:v>2333.1</c:v>
                </c:pt>
                <c:pt idx="5">
                  <c:v>2683</c:v>
                </c:pt>
                <c:pt idx="6">
                  <c:v>3110</c:v>
                </c:pt>
                <c:pt idx="7">
                  <c:v>3338</c:v>
                </c:pt>
                <c:pt idx="8">
                  <c:v>3544</c:v>
                </c:pt>
                <c:pt idx="9">
                  <c:v>3744</c:v>
                </c:pt>
                <c:pt idx="10">
                  <c:v>3912</c:v>
                </c:pt>
                <c:pt idx="11">
                  <c:v>4069</c:v>
                </c:pt>
                <c:pt idx="12">
                  <c:v>4221</c:v>
                </c:pt>
                <c:pt idx="13">
                  <c:v>4369</c:v>
                </c:pt>
                <c:pt idx="14">
                  <c:v>4511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34.5</c:v>
                </c:pt>
                <c:pt idx="1">
                  <c:v>34.9</c:v>
                </c:pt>
                <c:pt idx="2">
                  <c:v>36.1</c:v>
                </c:pt>
                <c:pt idx="3">
                  <c:v>35.7</c:v>
                </c:pt>
                <c:pt idx="4">
                  <c:v>36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28.9</c:v>
                </c:pt>
                <c:pt idx="1">
                  <c:v>29.6</c:v>
                </c:pt>
                <c:pt idx="2">
                  <c:v>31</c:v>
                </c:pt>
                <c:pt idx="3">
                  <c:v>31.2</c:v>
                </c:pt>
                <c:pt idx="4">
                  <c:v>31.5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23.6</c:v>
                </c:pt>
                <c:pt idx="1">
                  <c:v>24.4</c:v>
                </c:pt>
                <c:pt idx="2">
                  <c:v>25.9</c:v>
                </c:pt>
                <c:pt idx="3">
                  <c:v>25.6</c:v>
                </c:pt>
                <c:pt idx="4">
                  <c:v>25.8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17.9</c:v>
                </c:pt>
                <c:pt idx="1">
                  <c:v>18.9</c:v>
                </c:pt>
                <c:pt idx="2">
                  <c:v>19.9</c:v>
                </c:pt>
                <c:pt idx="3">
                  <c:v>19.8</c:v>
                </c:pt>
                <c:pt idx="4">
                  <c:v>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5.3</c:v>
                </c:pt>
                <c:pt idx="1">
                  <c:v>1.8</c:v>
                </c:pt>
                <c:pt idx="2">
                  <c:v>-0.2</c:v>
                </c:pt>
                <c:pt idx="3">
                  <c:v>2.5</c:v>
                </c:pt>
                <c:pt idx="4">
                  <c:v>10.8</c:v>
                </c:pt>
                <c:pt idx="5">
                  <c:v>13.4</c:v>
                </c:pt>
                <c:pt idx="6">
                  <c:v>11.3</c:v>
                </c:pt>
                <c:pt idx="7">
                  <c:v>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55</c:v>
                </c:pt>
                <c:pt idx="1">
                  <c:v>55</c:v>
                </c:pt>
                <c:pt idx="2">
                  <c:v>56</c:v>
                </c:pt>
                <c:pt idx="3">
                  <c:v>50</c:v>
                </c:pt>
                <c:pt idx="4">
                  <c:v>55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77</c:v>
                </c:pt>
                <c:pt idx="1">
                  <c:v>95</c:v>
                </c:pt>
                <c:pt idx="2">
                  <c:v>98</c:v>
                </c:pt>
                <c:pt idx="3">
                  <c:v>84</c:v>
                </c:pt>
                <c:pt idx="4">
                  <c:v>85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47</c:v>
                </c:pt>
                <c:pt idx="1">
                  <c:v>45</c:v>
                </c:pt>
                <c:pt idx="2">
                  <c:v>45</c:v>
                </c:pt>
                <c:pt idx="3">
                  <c:v>43</c:v>
                </c:pt>
                <c:pt idx="4">
                  <c:v>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1049.8</c:v>
                </c:pt>
                <c:pt idx="1">
                  <c:v>1010.4000000000001</c:v>
                </c:pt>
                <c:pt idx="2">
                  <c:v>1599.1</c:v>
                </c:pt>
                <c:pt idx="3">
                  <c:v>1701.7</c:v>
                </c:pt>
                <c:pt idx="4">
                  <c:v>1671.6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990.1</c:v>
                </c:pt>
                <c:pt idx="1">
                  <c:v>1159.5</c:v>
                </c:pt>
                <c:pt idx="2">
                  <c:v>1313.2</c:v>
                </c:pt>
                <c:pt idx="3">
                  <c:v>1376.1</c:v>
                </c:pt>
                <c:pt idx="4">
                  <c:v>1480.1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11.7</c:v>
                </c:pt>
                <c:pt idx="1">
                  <c:v>13.1</c:v>
                </c:pt>
                <c:pt idx="2">
                  <c:v>13.2</c:v>
                </c:pt>
                <c:pt idx="3">
                  <c:v>12.8</c:v>
                </c:pt>
                <c:pt idx="4">
                  <c:v>13.2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9.7</c:v>
                </c:pt>
                <c:pt idx="1">
                  <c:v>9.7</c:v>
                </c:pt>
                <c:pt idx="2">
                  <c:v>9.7</c:v>
                </c:pt>
                <c:pt idx="3">
                  <c:v>9.7</c:v>
                </c:pt>
                <c:pt idx="4">
                  <c:v>9.7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14.4</c:v>
                </c:pt>
                <c:pt idx="1">
                  <c:v>16.2</c:v>
                </c:pt>
                <c:pt idx="2">
                  <c:v>16.2</c:v>
                </c:pt>
                <c:pt idx="3">
                  <c:v>15</c:v>
                </c:pt>
                <c:pt idx="4">
                  <c:v>14.6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1.37</c:v>
                </c:pt>
                <c:pt idx="1">
                  <c:v>1.12</c:v>
                </c:pt>
                <c:pt idx="2">
                  <c:v>1.42</c:v>
                </c:pt>
                <c:pt idx="3">
                  <c:v>0.79</c:v>
                </c:pt>
                <c:pt idx="4">
                  <c:v>0.78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2027+</c:v>
                </c:pt>
              </c:strCache>
            </c:strRef>
          </c:cat>
          <c:val>
            <c:numRef>
              <c:f>Hoja1!$B$2:$B$3</c:f>
              <c:numCache>
                <c:formatCode>#,##0</c:formatCode>
                <c:ptCount val="2"/>
                <c:pt idx="0">
                  <c:v>1209</c:v>
                </c:pt>
                <c:pt idx="1">
                  <c:v>1074.3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1959.2</c:v>
                </c:pt>
                <c:pt idx="1">
                  <c:v>429.7</c:v>
                </c:pt>
                <c:pt idx="2">
                  <c:v>2237.9</c:v>
                </c:pt>
                <c:pt idx="3">
                  <c:v>117.5</c:v>
                </c:pt>
                <c:pt idx="4">
                  <c:v>933.2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184.6</c:v>
                </c:pt>
                <c:pt idx="1">
                  <c:v>202.2</c:v>
                </c:pt>
                <c:pt idx="2">
                  <c:v>230.3</c:v>
                </c:pt>
                <c:pt idx="3">
                  <c:v>258.8</c:v>
                </c:pt>
                <c:pt idx="4">
                  <c:v>285.3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14.7</c:v>
                </c:pt>
                <c:pt idx="1">
                  <c:v>332.8</c:v>
                </c:pt>
                <c:pt idx="2">
                  <c:v>7.8</c:v>
                </c:pt>
                <c:pt idx="3">
                  <c:v>212</c:v>
                </c:pt>
                <c:pt idx="4">
                  <c:v>434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The Vanguard Group</c:v>
                </c:pt>
                <c:pt idx="1">
                  <c:v>BlackRock</c:v>
                </c:pt>
                <c:pt idx="2">
                  <c:v>Consejeros y directivos (16 personas)</c:v>
                </c:pt>
              </c:strCache>
            </c:strRef>
          </c:cat>
          <c:val>
            <c:numRef>
              <c:f>Hoja1!$B$2:$B$4</c:f>
              <c:numCache>
                <c:formatCode>0.0"%"</c:formatCode>
                <c:ptCount val="3"/>
                <c:pt idx="0">
                  <c:v>11</c:v>
                </c:pt>
                <c:pt idx="1">
                  <c:v>7.5</c:v>
                </c:pt>
                <c:pt idx="2">
                  <c:v>0.5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-9.3</c:v>
                </c:pt>
                <c:pt idx="1">
                  <c:v>49.1</c:v>
                </c:pt>
                <c:pt idx="2">
                  <c:v>-6.6</c:v>
                </c:pt>
                <c:pt idx="3">
                  <c:v>47.3</c:v>
                </c:pt>
                <c:pt idx="4">
                  <c:v>21.3</c:v>
                </c:pt>
                <c:pt idx="5">
                  <c:v>21.6</c:v>
                </c:pt>
                <c:pt idx="6">
                  <c:v>-5</c:v>
                </c:pt>
                <c:pt idx="7">
                  <c:v>18</c:v>
                </c:pt>
                <c:pt idx="8">
                  <c:v>9.3</c:v>
                </c:pt>
                <c:pt idx="9">
                  <c:v>13.9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22.8</c:v>
                </c:pt>
                <c:pt idx="1">
                  <c:v>18.9</c:v>
                </c:pt>
                <c:pt idx="2">
                  <c:v>20.1</c:v>
                </c:pt>
                <c:pt idx="3">
                  <c:v>20.1</c:v>
                </c:pt>
                <c:pt idx="4">
                  <c:v>21.1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20.1</c:v>
                </c:pt>
                <c:pt idx="1">
                  <c:v>20.1</c:v>
                </c:pt>
                <c:pt idx="2">
                  <c:v>20.1</c:v>
                </c:pt>
                <c:pt idx="3">
                  <c:v>20.1</c:v>
                </c:pt>
                <c:pt idx="4">
                  <c:v>20.1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AMETEK</c:v>
                </c:pt>
                <c:pt idx="1">
                  <c:v>Roper Technologies</c:v>
                </c:pt>
                <c:pt idx="2">
                  <c:v>Halma</c:v>
                </c:pt>
                <c:pt idx="3">
                  <c:v>Spirax Group</c:v>
                </c:pt>
                <c:pt idx="4">
                  <c:v>Mettler-Toledo</c:v>
                </c:pt>
                <c:pt idx="5">
                  <c:v>Fortive</c:v>
                </c:pt>
                <c:pt idx="6">
                  <c:v>Keysight Technologies</c:v>
                </c:pt>
                <c:pt idx="7">
                  <c:v>Teledyne Technologies</c:v>
                </c:pt>
              </c:strCache>
            </c:strRef>
          </c:cat>
          <c:val>
            <c:numRef>
              <c:f>Hoja1!$B$2:$B$9</c:f>
              <c:numCache>
                <c:formatCode>0.0"x"</c:formatCode>
                <c:ptCount val="8"/>
                <c:pt idx="0">
                  <c:v>20.9</c:v>
                </c:pt>
                <c:pt idx="1">
                  <c:v>13</c:v>
                </c:pt>
                <c:pt idx="2">
                  <c:v>19.2</c:v>
                </c:pt>
                <c:pt idx="5">
                  <c:v>15.1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AMETEK</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16.6</c:v>
                </c:pt>
              </c:numCache>
            </c:numRef>
          </c:xVal>
          <c:yVal>
            <c:numRef>
              <c:f>Hoja1!$C$2</c:f>
              <c:numCache>
                <c:formatCode>0.0"x"</c:formatCode>
                <c:ptCount val="1"/>
                <c:pt idx="0">
                  <c:v>20.9</c:v>
                </c:pt>
              </c:numCache>
            </c:numRef>
          </c:yVal>
          <c:smooth val="0"/>
        </c:ser>
        <c:ser>
          <c:idx val="1"/>
          <c:order val="1"/>
          <c:tx>
            <c:strRef>
              <c:f>Hoja1!$A$3</c:f>
              <c:strCache>
                <c:ptCount val="1"/>
                <c:pt idx="0">
                  <c:v>Roper Technologies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8.4</c:v>
                </c:pt>
              </c:numCache>
            </c:numRef>
          </c:xVal>
          <c:yVal>
            <c:numRef>
              <c:f>Hoja1!$C$3</c:f>
              <c:numCache>
                <c:formatCode>0.0"x"</c:formatCode>
                <c:ptCount val="1"/>
                <c:pt idx="0">
                  <c:v>13</c:v>
                </c:pt>
              </c:numCache>
            </c:numRef>
          </c:yVal>
          <c:smooth val="0"/>
        </c:ser>
        <c:ser>
          <c:idx val="2"/>
          <c:order val="2"/>
          <c:tx>
            <c:strRef>
              <c:f>Hoja1!$A$4</c:f>
              <c:strCache>
                <c:ptCount val="1"/>
                <c:pt idx="0">
                  <c:v>Fortive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4.5</c:v>
                </c:pt>
              </c:numCache>
            </c:numRef>
          </c:xVal>
          <c:yVal>
            <c:numRef>
              <c:f>Hoja1!$C$4</c:f>
              <c:numCache>
                <c:formatCode>0.0"x"</c:formatCode>
                <c:ptCount val="1"/>
                <c:pt idx="0">
                  <c:v>15.1</c:v>
                </c:pt>
              </c:numCache>
            </c:numRef>
          </c:yVal>
          <c:smooth val="0"/>
        </c:ser>
        <c:axId val="10"/>
        <c:axId val="20"/>
      </c:scatterChart>
      <c:valAx>
        <c:axId val="10"/>
        <c:scaling>
          <c:orientation val="minMax"/>
          <c:max val="2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1"/>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Indicor Instrumentation (diez negocios de instrumentación)</c:v>
                </c:pt>
                <c:pt idx="1">
                  <c:v>FARO Technologies</c:v>
                </c:pt>
                <c:pt idx="2">
                  <c:v>Navitar y RTDS Technologies</c:v>
                </c:pt>
              </c:strCache>
            </c:strRef>
          </c:cat>
          <c:val>
            <c:numRef>
              <c:f>Hoja1!$B$2:$B$4</c:f>
              <c:numCache>
                <c:formatCode>0.0"x"</c:formatCode>
                <c:ptCount val="3"/>
                <c:pt idx="0">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1932</c:v>
                </c:pt>
                <c:pt idx="1">
                  <c:v>2263</c:v>
                </c:pt>
                <c:pt idx="2">
                  <c:v>2535</c:v>
                </c:pt>
                <c:pt idx="3">
                  <c:v>2695</c:v>
                </c:pt>
                <c:pt idx="4">
                  <c:v>2837</c:v>
                </c:pt>
                <c:pt idx="5">
                  <c:v>2962</c:v>
                </c:pt>
                <c:pt idx="6">
                  <c:v>3076</c:v>
                </c:pt>
                <c:pt idx="7">
                  <c:v>3169</c:v>
                </c:pt>
                <c:pt idx="8">
                  <c:v>3271</c:v>
                </c:pt>
                <c:pt idx="9">
                  <c:v>3358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17315</c:v>
                </c:pt>
                <c:pt idx="1">
                  <c:v>21982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246,77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91.93</c:v>
                </c:pt>
                <c:pt idx="1">
                  <c:v>142.48</c:v>
                </c:pt>
                <c:pt idx="2">
                  <c:v>164.99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246,77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(182,87 – 261,16)</c:v>
                </c:pt>
                <c:pt idx="1">
                  <c:v>Precio objetivo de los analistas (230,00 – 318,00)</c:v>
                </c:pt>
                <c:pt idx="2">
                  <c:v>Comparables: EV/EBITDA NTM (156,45 – 197,24)</c:v>
                </c:pt>
                <c:pt idx="3">
                  <c:v>Comparables: PER NTM (198,70 – 235,83)</c:v>
                </c:pt>
                <c:pt idx="4">
                  <c:v>DCF (WACC y g ± 0,5) (124,81 – 166,15)</c:v>
                </c:pt>
                <c:pt idx="5">
                  <c:v>Escenarios (bajista – alcista) (91,93 – 164,99)</c:v>
                </c:pt>
                <c:pt idx="6">
                  <c:v>DCF con la prima implícita del mercado (4,2 %)</c:v>
                </c:pt>
                <c:pt idx="7">
                  <c:v>Precio actual (246,77)</c:v>
                </c:pt>
              </c:strCache>
            </c:strRef>
          </c:cat>
          <c:val>
            <c:numRef>
              <c:f>Hoja1!$B$2:$B$9</c:f>
              <c:numCache>
                <c:formatCode>#,##0</c:formatCode>
                <c:ptCount val="8"/>
                <c:pt idx="0">
                  <c:v>182.87</c:v>
                </c:pt>
                <c:pt idx="1">
                  <c:v>230</c:v>
                </c:pt>
                <c:pt idx="2">
                  <c:v>156.45</c:v>
                </c:pt>
                <c:pt idx="3">
                  <c:v>198.7</c:v>
                </c:pt>
                <c:pt idx="4">
                  <c:v>124.81</c:v>
                </c:pt>
                <c:pt idx="5">
                  <c:v>91.93</c:v>
                </c:pt>
                <c:pt idx="6">
                  <c:v>159.11</c:v>
                </c:pt>
                <c:pt idx="7">
                  <c:v>245.54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(182,87 – 261,16)</c:v>
                </c:pt>
                <c:pt idx="1">
                  <c:v>Precio objetivo de los analistas (230,00 – 318,00)</c:v>
                </c:pt>
                <c:pt idx="2">
                  <c:v>Comparables: EV/EBITDA NTM (156,45 – 197,24)</c:v>
                </c:pt>
                <c:pt idx="3">
                  <c:v>Comparables: PER NTM (198,70 – 235,83)</c:v>
                </c:pt>
                <c:pt idx="4">
                  <c:v>DCF (WACC y g ± 0,5) (124,81 – 166,15)</c:v>
                </c:pt>
                <c:pt idx="5">
                  <c:v>Escenarios (bajista – alcista) (91,93 – 164,99)</c:v>
                </c:pt>
                <c:pt idx="6">
                  <c:v>DCF con la prima implícita del mercado (4,2 %)</c:v>
                </c:pt>
                <c:pt idx="7">
                  <c:v>Precio actual (246,77)</c:v>
                </c:pt>
              </c:strCache>
            </c:strRef>
          </c:cat>
          <c:val>
            <c:numRef>
              <c:f>Hoja1!$C$2:$C$9</c:f>
              <c:numCache>
                <c:formatCode>#,##0</c:formatCode>
                <c:ptCount val="8"/>
                <c:pt idx="0">
                  <c:v>78.29000000000002</c:v>
                </c:pt>
                <c:pt idx="1">
                  <c:v>88</c:v>
                </c:pt>
                <c:pt idx="2">
                  <c:v>40.79000000000002</c:v>
                </c:pt>
                <c:pt idx="3">
                  <c:v>37.130000000000024</c:v>
                </c:pt>
                <c:pt idx="4">
                  <c:v>41.34</c:v>
                </c:pt>
                <c:pt idx="5">
                  <c:v>73.06</c:v>
                </c:pt>
                <c:pt idx="6">
                  <c:v>36.48999999999998</c:v>
                </c:pt>
                <c:pt idx="7">
                  <c:v>2.460000000000008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