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L'Air Liquide S.A.</w:t>
      </w:r>
    </w:p>
    <w:p>
      <w:pPr>
        <w:spacing w:after="60"/>
        <w:rPr>
          <w:color w:val="52514E"/>
          <w:sz w:val="22"/>
          <w:szCs w:val="22"/>
        </w:rPr>
      </w:pPr>
      <w:r>
        <w:rPr>
          <w:color w:val="52514E"/>
          <w:sz w:val="22"/>
          <w:szCs w:val="22"/>
        </w:rPr>
        <w:t xml:space="preserve">AI · Euronext París · ISIN FR0000120073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170,34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174,54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+4,4 % (base +7,7 %)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130,56 EUR · mercado 156,68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108.421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L'Air Liquide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AI / FR0000120073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Productos químicos (gases industriales)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https://www.airliquide.com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170,34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140,78 – 182,26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108.421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124.889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129,5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174,54 EUR</w:t>
      </w:r>
      <w:r>
        <w:t xml:space="preserve"> frente a 170,34 · Rentabilidad a 12 meses </w:t>
      </w:r>
      <w:r>
        <w:rPr>
          <w:b/>
          <w:bCs/>
        </w:rPr>
        <w:t xml:space="preserve">+4,4 % (base +7,7 %)</w:t>
      </w:r>
      <w:r>
        <w:t xml:space="preserve"> · Valor intrínseco 130,56 EUR · con la prima implícita del mercado: 156,68 (-8,0 %) · Alcista / bajista -24,5 % / -51,4 %</w:t>
      </w:r>
    </w:p>
    <w:p>
      <w:pPr>
        <w:spacing w:after="100"/>
      </w:pPr>
      <w:r>
        <w:rPr>
          <w:b/>
        </w:rPr>
        <w:t xml:space="preserve">La recomendación y por qué.</w:t>
      </w:r>
      <w:r>
        <w:t xml:space="preserve"> Mantener, con convicción media. Con nuestro BPA recurrente y la regla de múltiplos v3, el objetivo a 12 meses es de 174,54 EUR frente a 170,34 EUR de cierre del 14 de octubre: +4,4 % con el dividendo, y +7,7 % en el caso base. El valor intrínseco es menor (130,56 EUR, −23,4 %) y el objetivo medio de los analistas, mayor (197,83 EUR), aunque dentro de nuestro rango de 131,63-206,46 EUR. La asimetría es neutra (0,93x): el bajista pierde un 20,8 % y el alcista gana un 23,2 %. La razón: ya cotiza por encima de su PER adelantado histórico (24,8x frente a 23,4x) y el plan BEYOND y la recompra están en el precio. Convicción media: datos primarios y regla lejos de sus umbrales; subiría con una guía de 2027 (febrero) de margen operativo ≥ 22,5 %.</w:t>
      </w:r>
    </w:p>
    <w:p>
      <w:pPr>
        <w:spacing w:after="100"/>
      </w:pPr>
      <w:r>
        <w:rPr>
          <w:b/>
        </w:rPr>
        <w:t xml:space="preserve">El negocio.</w:t>
      </w:r>
      <w:r>
        <w:t xml:space="preserve"> El segundo grupo mundial de gases industriales (26.940 M EUR de ventas en 2025, ≈28 % del mercado) con contratos de 15-20 años y poder de precios (+4 % en Industrial Merchant) [1, 2]. El ROIC (11,2 %) supera al WACC (7,51 %) en 3,7 puntos: crea valor, pero menos que los 5 puntos que pide la regla de calidad. Sostenibilidad del crecimiento: </w:t>
      </w:r>
      <w:r>
        <w:rPr>
          <w:b/>
        </w:rPr>
        <w:t xml:space="preserve">sí</w:t>
      </w:r>
      <w:r>
        <w:t xml:space="preserve">; ≈2 de los 3,9 puntos anuales son precio y el capital nuevo rendiría menos que el ROIC incremental histórico.</w:t>
      </w:r>
    </w:p>
    <w:p>
      <w:pPr>
        <w:spacing w:after="100"/>
      </w:pPr>
      <w:r>
        <w:rPr>
          <w:b/>
        </w:rPr>
        <w:t xml:space="preserve">Finanzas.</w:t>
      </w:r>
      <w:r>
        <w:t xml:space="preserve"> Margen operativo recurrente del 18,5 % (2020) al 20,9 % (1S26); beneficio recurrente del 1S26 +9,9 % sin divisa [1, 2]. Deuda neta de 13.921 M en junio (DIG Airgas y fin del factoring), ≈1,7 veces el EBITDA, con la recompra por delante [2, 6]. Los «no recurrentes» se repiten cada año (140-570 M): el DCF resta 0,8 puntos de margen.</w:t>
      </w:r>
    </w:p>
    <w:p>
      <w:pPr>
        <w:spacing w:after="100"/>
      </w:pPr>
      <w:r>
        <w:rPr>
          <w:b/>
        </w:rPr>
        <w:t xml:space="preserve">Equipo y gobierno.</w:t>
      </w:r>
      <w:r>
        <w:t xml:space="preserve"> Cargos separados desde 2022, 75 % de independientes y guía cumplida en todo el plan ADVANCE [1, 7]; Elliott ha entrado y empujado la recompra [6].</w:t>
      </w:r>
    </w:p>
    <w:p>
      <w:pPr>
        <w:spacing w:after="100"/>
      </w:pPr>
      <w:r>
        <w:rPr>
          <w:b/>
        </w:rPr>
        <w:t xml:space="preserve">Valoración.</w:t>
      </w:r>
      <w:r>
        <w:t xml:space="preserve"> El DCF da 114,10 EUR (156,68 EUR de valor intrínseco con la prima implícita del mercado); por eso la regla del valor intrínseco daría Vender (−21,4 % hasta 130,56 EUR), pero la recomendación sigue al objetivo a 12 meses. El DCF inverso pide un crecimiento de las ventas del 9,1 % anual, más del doble de nuestro 4,0 % y del 5 % de BEYOND: el precio es exigente y descuenta que el plan de margen se cumple entero. Nuestro BPA de 2027e (6,86 EUR) queda un 4,5 % por debajo del consenso (7,18) porque tomamos solo parte del margen prometido. </w:t>
      </w:r>
      <w:r>
        <w:rPr>
          <w:b/>
        </w:rPr>
        <w:t xml:space="preserve">Frente a Linde</w:t>
      </w:r>
      <w:r>
        <w:t xml:space="preserve"> (informe del repo del mismo día), Air Liquide sale mejor: rentabilidad a 12 meses de +4,4 % frente a −2,1 %, valor intrínseco a −23 % del precio frente a −51 %, PER adelantado de 24,8x frente a 26,7x y un catalizador propio (recompra y activista); Linde tiene más margen (≈39 % de EBITDA frente a ≈30 %) y la misma lectura: ninguna de las dos pasa los requisitos de compra.</w:t>
      </w:r>
    </w:p>
    <w:p>
      <w:pPr>
        <w:spacing w:after="100"/>
      </w:pPr>
      <w:r>
        <w:rPr>
          <w:b/>
        </w:rPr>
        <w:t xml:space="preserve">Riesgos y catalizadores.</w:t>
      </w:r>
      <w:r>
        <w:t xml:space="preserve"> El mayor riesgo es el múltiplo: si el PER adelantado vuelve a su mínimo de cinco años (20,9x), la acción pierde ≈15 %. Le siguen un margen por debajo de BEYOND (≈6 % de valor por punto de margen EBITDA) y el volumen industrial europeo. Catalizadores: ventas del 3T26 (≈23-oct), inicio de la recompra y guía de 2027 (febrero). Los foros franceses son positivos, sin euforia.</w:t>
      </w:r>
    </w:p>
    <w:p>
      <w:pPr>
        <w:spacing w:after="100"/>
      </w:pPr>
      <w:r>
        <w:rPr>
          <w:b/>
        </w:rPr>
        <w:t xml:space="preserve">Qué cambiaría la decisión.</w:t>
      </w:r>
      <w:r>
        <w:t xml:space="preserve"> Compraríamos por debajo de 130,56 EUR, donde el precio ya no supera al valor intrínseco. Venderíamos por encima de 197,67 EUR. Pasaríamos a Vender si el margen operativo de 2026 no sube al menos 80 pb o si la recompra se aplaza.</w:t>
      </w:r>
    </w:p>
    <w:p>
      <w:r>
        <w:br w:type="page"/>
      </w:r>
    </w:p>
    <w:p>
      <w:pPr>
        <w:pStyle w:val="Heading1"/>
      </w:pPr>
      <w:r>
        <w:t xml:space="preserve">Resumen ejecutivo</w:t>
      </w:r>
    </w:p>
    <w:p>
      <w:pPr>
        <w:pStyle w:val="Confianza"/>
        <w:spacing w:after="100"/>
      </w:pPr>
      <w:r>
        <w:t xml:space="preserve">Confianza: Alta</w:t>
      </w:r>
    </w:p>
    <w:p>
      <w:pPr>
        <w:spacing w:after="100"/>
      </w:pPr>
      <w:r>
        <w:rPr>
          <w:b/>
          <w:bCs/>
        </w:rPr>
        <w:t xml:space="preserve">Recomendación: Mantener</w:t>
      </w:r>
      <w:r>
        <w:t xml:space="preserve"> · Convicción: Media · Horizonte: 12 meses · Objetivo a 12 meses: </w:t>
      </w:r>
      <w:r>
        <w:rPr>
          <w:b/>
          <w:bCs/>
        </w:rPr>
        <w:t xml:space="preserve">174,54 EUR</w:t>
      </w:r>
      <w:r>
        <w:t xml:space="preserve"> (rentabilidad +4,4 % (base +7,7 %)) · Valor intrínseco: 130,56 EUR (-23,4 % sobre 170,34) · con la prima implícita del mercado: 156,68 (-8,0 %)</w:t>
      </w:r>
    </w:p>
    <w:p>
      <w:pPr>
        <w:spacing w:after="100"/>
      </w:pPr>
      <w:r>
        <w:t xml:space="preserve">Air Liquide es el número dos de un oligopolio local: plantas en el recinto del cliente con contratos de 15-20 años y pagos mínimos, redes de tuberías y distribución que un entrante no puede replicar, y negocios de sanidad y electrónica que crecen al margen del ciclo. Desde 2020 ha subido su margen operativo recurrente del 18,5 % al 20,9 %, y su BPA ≈9 % anual en 2021-2025, con una cartera de proyectos de 6.000 M y la compra de DIG Airgas para la electrónica coreana [1, 2].</w:t>
      </w:r>
    </w:p>
    <w:p>
      <w:pPr>
        <w:spacing w:after="100"/>
      </w:pPr>
      <w:r>
        <w:t xml:space="preserve">El precio descuenta mucho de eso. A 170,34 EUR, el DCF inverso pide un crecimiento de las ventas del 9,1 % anual en 2027-2035, o aceptar una rentabilidad del 6,1 %. Cotiza a 24,8x nuestro BPA de 2027e, por encima de su mediana adelantada de cinco años (23,4x), y el 5 de octubre presentó el plan BEYOND (margen +400-600 pb y BPA +10 % al año hasta 2030) con una recompra de 4.000 M [6].</w:t>
      </w:r>
    </w:p>
    <w:p>
      <w:pPr>
        <w:spacing w:after="100"/>
      </w:pPr>
      <w:r>
        <w:t xml:space="preserve">El mercado acierta en la calidad y en la dirección del margen; el riesgo es pagar por adelantado un plan de cinco años. Para invertir hay que creer que el margen operativo llegará al 25-27 % en 2030 y que el múltiplo aguantará con el Bund al 3,5 %. Con nuestro BPA, que toma la recompra pero solo parte del margen, la rentabilidad esperada a 12 meses es de un dígito.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 × 6,82 = 131,63 · 24,1x × 7,47 = 180,03 · 26,3x × 7,85 = 206,46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 /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197,83 (nuestro base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 / -51,4 %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 frente a 7,5 % y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156,68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(3,9 % anual proyectado; financiable al ROIC actual: 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130,56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130,56 y 197,67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197,67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130,56 EUR: el precio quedaría por debajo del valor intrínseco y la regla daría Comprar.</w:t>
      </w:r>
    </w:p>
    <w:p>
      <w:pPr>
        <w:pStyle w:val="ListParagraph"/>
        <w:numPr>
          <w:ilvl w:val="0"/>
          <w:numId w:val="2"/>
        </w:numPr>
        <w:spacing w:after="60"/>
      </w:pPr>
      <w:r>
        <w:t xml:space="preserve">Precio por encima de 197,67 EUR: la rentabilidad ponderada a 12 meses caería por debajo del −10 % y pasaríamos a Vender.</w:t>
      </w:r>
    </w:p>
    <w:p>
      <w:pPr>
        <w:pStyle w:val="ListParagraph"/>
        <w:numPr>
          <w:ilvl w:val="0"/>
          <w:numId w:val="2"/>
        </w:numPr>
        <w:spacing w:after="60"/>
      </w:pPr>
      <w:r>
        <w:t xml:space="preserve">Margen operativo de 2026 con menos de +80 pb: revisaríamos el BPA a la baja y probablemente a Vender.</w:t>
      </w:r>
    </w:p>
    <w:p>
      <w:pPr>
        <w:pStyle w:val="ListParagraph"/>
        <w:numPr>
          <w:ilvl w:val="0"/>
          <w:numId w:val="2"/>
        </w:numPr>
        <w:spacing w:after="60"/>
      </w:pPr>
      <w:r>
        <w:t xml:space="preserve">Guía de 2027 que confirme ≥ 22,5 % de margen operativo y recompra en marcha: subiríamos el BPA del base y revisaríamos la recomendación.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BEYOND se cumple: ventas +5 % al año, margen operativo +400-600 pb y BPA recurrente +10 % al año hasta 2030, más la recompra de 4.000 M, y que eso merece ≈26-27x el beneficio y un objetivo medio de 198 EUR.</w:t>
      </w:r>
    </w:p>
    <w:p>
      <w:pPr>
        <w:keepNext/>
        <w:spacing w:after="100"/>
      </w:pPr>
      <w:r>
        <w:rPr>
          <w:b/>
          <w:bCs/>
        </w:rPr>
        <w:t xml:space="preserve">Lo que creemos nosotros.</w:t>
      </w:r>
    </w:p>
    <w:p>
      <w:pPr>
        <w:spacing w:after="100"/>
      </w:pPr>
      <w:r>
        <w:t xml:space="preserve">El volumen y el precio sostienen un 4-5 % de crecimiento de ventas, y el margen sube, pero menos (≈+270 pb hasta 2030). El BPA crece ≈9-10 % en 2026-2028 con la recompra y no hay razón para que el PER suba con tipos al 3,5 %.</w:t>
      </w:r>
    </w:p>
    <w:p>
      <w:pPr>
        <w:keepNext/>
        <w:spacing w:after="100"/>
      </w:pPr>
      <w:r>
        <w:rPr>
          <w:b/>
          <w:bCs/>
        </w:rPr>
        <w:t xml:space="preserve">Por qué podemos tener razón.</w:t>
      </w:r>
    </w:p>
    <w:p>
      <w:pPr>
        <w:spacing w:after="100"/>
      </w:pPr>
      <w:r>
        <w:t xml:space="preserve">Los planes de margen de Air Liquide se han cumplido (ADVANCE), pero el de BEYOND parte de un punto más alto y de una industria europea en contracción; la parte que no damos por hecha (≈1,5-3 puntos de margen) es la que separa nuestro objetivo del consenso.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70,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w:t>
      </w:r>
      <w:r>
        <w:t xml:space="preserve">: contratos de 15-20 años con pagos mínimos y densidad local [1].</w:t>
      </w:r>
    </w:p>
    <w:p>
      <w:pPr>
        <w:pStyle w:val="ListParagraph"/>
        <w:numPr>
          <w:ilvl w:val="0"/>
          <w:numId w:val="2"/>
        </w:numPr>
        <w:spacing w:after="60"/>
      </w:pPr>
      <w:r>
        <w:rPr>
          <w:b/>
        </w:rPr>
        <w:t xml:space="preserve">Margen al alza</w:t>
      </w:r>
      <w:r>
        <w:t xml:space="preserve">: margen operativo recurrente del 20,9 % en el 1S26, +110 pb sin energía [2].</w:t>
      </w:r>
    </w:p>
    <w:p>
      <w:pPr>
        <w:pStyle w:val="ListParagraph"/>
        <w:numPr>
          <w:ilvl w:val="0"/>
          <w:numId w:val="2"/>
        </w:numPr>
        <w:spacing w:after="60"/>
      </w:pPr>
      <w:r>
        <w:rPr>
          <w:b/>
        </w:rPr>
        <w:t xml:space="preserve">Recompra de 4.000 M</w:t>
      </w:r>
      <w:r>
        <w:t xml:space="preserve"> hasta 2028 (≈3,6 % del capital) con Elliott empujando [6].</w:t>
      </w:r>
    </w:p>
    <w:p>
      <w:pPr>
        <w:pStyle w:val="ListParagraph"/>
        <w:numPr>
          <w:ilvl w:val="0"/>
          <w:numId w:val="2"/>
        </w:numPr>
        <w:spacing w:after="60"/>
      </w:pPr>
      <w:r>
        <w:rPr>
          <w:b/>
        </w:rPr>
        <w:t xml:space="preserve">Cumple su guía</w:t>
      </w:r>
      <w:r>
        <w:t xml:space="preserve">: todos los objetivos financieros de ADVANCE 2022-2025 cumplidos o superados [1].</w:t>
      </w:r>
    </w:p>
    <w:p>
      <w:pPr>
        <w:pStyle w:val="ListParagraph"/>
        <w:numPr>
          <w:ilvl w:val="0"/>
          <w:numId w:val="2"/>
        </w:numPr>
        <w:spacing w:after="60"/>
      </w:pPr>
      <w:r>
        <w:rPr>
          <w:b/>
        </w:rPr>
        <w:t xml:space="preserve">Electrónica</w:t>
      </w:r>
      <w:r>
        <w:t xml:space="preserve">: +9,5 % comparable en el 2T26 y más de 1.000 M de decisiones de inversión en el 1S26 [2].</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9,1 % de crecimiento anual de las ventas frente a nuestro 4,0 %.</w:t>
      </w:r>
    </w:p>
    <w:p>
      <w:pPr>
        <w:pStyle w:val="ListParagraph"/>
        <w:numPr>
          <w:ilvl w:val="0"/>
          <w:numId w:val="2"/>
        </w:numPr>
        <w:spacing w:after="60"/>
      </w:pPr>
      <w:r>
        <w:rPr>
          <w:b/>
        </w:rPr>
        <w:t xml:space="preserve">Valor intrínseco</w:t>
      </w:r>
      <w:r>
        <w:t xml:space="preserve"> de 130,56 EUR, un 23,4 % por debajo del precio.</w:t>
      </w:r>
    </w:p>
    <w:p>
      <w:pPr>
        <w:pStyle w:val="ListParagraph"/>
        <w:numPr>
          <w:ilvl w:val="0"/>
          <w:numId w:val="2"/>
        </w:numPr>
        <w:spacing w:after="60"/>
      </w:pPr>
      <w:r>
        <w:rPr>
          <w:b/>
        </w:rPr>
        <w:t xml:space="preserve">PER por encima de su historia</w:t>
      </w:r>
      <w:r>
        <w:t xml:space="preserve">: 24,8x adelantado frente a una mediana de cinco años de 23,4x.</w:t>
      </w:r>
    </w:p>
    <w:p>
      <w:pPr>
        <w:pStyle w:val="ListParagraph"/>
        <w:numPr>
          <w:ilvl w:val="0"/>
          <w:numId w:val="2"/>
        </w:numPr>
        <w:spacing w:after="60"/>
      </w:pPr>
      <w:r>
        <w:rPr>
          <w:b/>
        </w:rPr>
        <w:t xml:space="preserve">Más deuda</w:t>
      </w:r>
      <w:r>
        <w:t xml:space="preserve">: deuda neta de 13.921 M en junio, +5.505 M en seis meses, y la recompra por delante [2].</w:t>
      </w:r>
    </w:p>
    <w:p>
      <w:pPr>
        <w:pStyle w:val="ListParagraph"/>
        <w:numPr>
          <w:ilvl w:val="0"/>
          <w:numId w:val="2"/>
        </w:numPr>
        <w:spacing w:after="60"/>
      </w:pPr>
      <w:r>
        <w:rPr>
          <w:b/>
        </w:rPr>
        <w:t xml:space="preserve">Calidad justa para la regla</w:t>
      </w:r>
      <w:r>
        <w:t xml:space="preserve">: ROIC − WACC de 3,7 puntos, por debajo de los 5 que pide la compra.</w:t>
      </w:r>
    </w:p>
    <w:p>
      <w:pPr>
        <w:pStyle w:val="Heading2"/>
      </w:pPr>
      <w:r>
        <w:t xml:space="preserve">Qué tiene que pasar para que la tesis funcione</w:t>
      </w:r>
    </w:p>
    <w:p>
      <w:pPr>
        <w:spacing w:after="100"/>
      </w:pPr>
      <w:r>
        <w:t xml:space="preserve">La tesis del mercado depende de que el margen operativo suba ≈100 pb al año hasta 2030 y de que la recompra empiece pronto. La señal de que no se cumple: un margen de 2026 por debajo del 21,5 % (febrero de 2027) o una guía de 2027 que rebaje los +100 pb prometidos.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del BPA y de BEYOND.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sin divisa ni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inversiones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4.500 M sin arranques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volumen de 2027-2029.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27x (vender) o &lt; 20x (revisar compra)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rentabilidad a 12 meses depende del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30,6x / 24,3x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París en 1902 por Georges Claude y Paul Delorme para explotar la licuefacción del aire, Air Liquide creció fuera de Francia desde muy pronto (Japón en 1907) y ha vivido de contratos largos de suministro industrial y, desde los años noventa, de la sanidad. Su gran transformación fue la compra de Airgas en EE. UU. (2016), que la convirtió en el n.º 1 de gases envasados en ese país. Benoît Potier la dirigió de 1997 a 2022; desde junio de 2022 es presidente no ejecutivo y François Jackow, consejero delegado. En 2026 compró DIG Airgas en Corea para reforzar la electrónica y presentó el plan BEYOND 2030 [1, 2,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París para explotar la separación del aire de Georges Claude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Airgas (EE. UU.), la mayor operación de su historia [7,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cargos: Benoît Potier presidente y François Jackow consejero delegado; plan ADVANCE 2022-2025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Rusia y deterioros (571 M de gastos no recurrentes ese año)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DIG Airgas en Corea del Sur por ≈3.000 M (cerrada en enero)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BEYOND 2030 y primera gran recompra, de 4.000 M hasta 2028, con Elliott en el accionariado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Air Liquide produce y distribuye oxígeno, nitrógeno, argón, hidrógeno, helio y gases especiales. Vende por cuatro vías: Grandes Industrias (plantas en el recinto del cliente o redes de tuberías para química, refino y acero; 7.110 M en 2025), Industrial Merchant (gases en botellas y a granel para cientos de miles de clientes; 12.132 M), Sanidad (oxígeno medicinal, cuidados a domicilio; 4.378 M) y Electrónica (gases ultrapuros y materiales para fábricas de chips; 2.465 M), además de Ingeniería y Tecnologías (855 M) [1]. Opera en unos 60 países y un 97 % de las ventas son Gases y Servicios [1].</w:t>
      </w:r>
    </w:p>
    <w:p>
      <w:pPr>
        <w:pStyle w:val="Heading2"/>
      </w:pPr>
      <w:r>
        <w:t xml:space="preserve">Cómo gana dinero</w:t>
      </w:r>
    </w:p>
    <w:p>
      <w:pPr>
        <w:spacing w:after="100"/>
      </w:pPr>
      <w:r>
        <w:t xml:space="preserve">En Grandes Industrias cobra con contratos de 15-20 años con pagos mínimos y repercusión de la energía, por eso las ventas publicadas suben y bajan con el gas y la electricidad sin mover el margen absoluto. Industrial Merchant y Electrónica dependen de volumen y precio: en 2025 el precio de Industrial Merchant subió ≈4 % [1]. Sanidad es casi independiente del ciclo. El margen operativo recurrente es del 20,7 % (2025) y lo empujan las eficiencias (631 M en 2025) y el precio. El negocio es intensivo en capital: el capex industrial es ≈14 % de las ventas y cada proyecto se firma antes de construirse [1,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Gases y Servicios · 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Gases y Servicios · 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Gases y Servicios · Asia-Pacífico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Ingeniería y Tecnologías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(I+D y holding)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Gases y Servicios · 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Gases y Servicios · 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Gases y Servicios · Asia-Pacífico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Ingeniería y Tecnologías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(I+D y holding)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Muy diversificados: ningún cliente relevante en las cuentas. En Grandes Industrias los contratos llevan cláusulas de toma o paga y repercusión de la energía, lo que protege el margen absoluto en las crisis. En Industrial Merchant hay cientos de miles de clientes y el poder de precios se ve en las subidas por encima de la inflación (+4,1-4,2 % de efecto precio en 2025-2026) [1, 2]. En Electrónica dependen de pocos fabricantes de chips (SK hynix, TSMC, Samsung, Micron), con contratos largos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en el 2T26 por Electrónica (+9,5 %) e Industrial Merchant en China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(OIR/ventas)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 (2025); 20,9 %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pb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Eficiencias y precio; el objetivo es +100 pb en 2026 y otros +100 pb en 2027 sin efecto de la energía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transformación lanzado a mediados de 2024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inversiones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70 proyectos, mitad Grandes Industrias y mitad Electrónica; varios arranques en el 4T26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recurrente después de impuestos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(2025); 11,0 %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pb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 de la empresa; el plan BEYOND pide más del 11 % en 2030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 precio en Industrial Merchant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 (2025, Américas)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(1S26, grupo)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Poder de precios por encima de la inflación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gases industriales y medicinales (atmosféricos, de proceso y especiales, todas las vías de suministro). Las consultoras lo sitúan entre ≈105.800 M USD (Market Research Future) y ≈107.200 M USD (Vyansa Intelligence) en 2025; se usa Vyansa, convertido a euros al cambio del 14-oct-26 (≈95.800 M EUR) [9,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≈107.200 M USD en 2025 (≈95.800 M EUR)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(química, acero, manufactura)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Industrias −0,6 % comparable en el 1S26 por Europa y Asia débiles; fuerte en el golfo de EE. UU.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Semiconductores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Electrónica +9,5 % en el 2T26 y más de 1.000 M de decisiones de inversión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+5,0 % en 2025 y +4,2 % en el 1S26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Hidrógeno y descarbonización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Proyectos de transición energética en Europa con arranque en el 4T26; el ritmo depende de subvenciones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tres grandes (Linde, Air Liquide, Air Products) y mercados locales; márgenes al alza durante años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15-20 años con pagos mínimos; en botellas, clientes atomizados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energía es el gran coste y se repercute en los contratos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tuberías y logística con densidad local: un entrante no tiene coste competitivo.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sustituto para el oxígeno, el nitrógeno o el argón; solo los clientes enormes producen por sí mismos.</w:t>
            </w:r>
          </w:p>
        </w:tc>
      </w:tr>
    </w:tbl>
    <w:p>
      <w:pPr>
        <w:spacing w:after="160" w:before="0"/>
      </w:pPr>
    </w:p>
    <w:p>
      <w:pPr>
        <w:pStyle w:val="Heading2"/>
      </w:pPr>
      <w:r>
        <w:t xml:space="preserve">Ciclo</w:t>
      </w:r>
    </w:p>
    <w:p>
      <w:pPr>
        <w:spacing w:after="100"/>
      </w:pPr>
      <w:r>
        <w:t xml:space="preserve">La industria de Europa y China lleva dos años floja y Grandes Industrias apenas crece (−0,6 % en el 1S26), pero el 2T26 acelera (+3,5 % comparable) con la electrónica [2]. En 2009, 2020 y 2022 las ventas comparables de los gases cayeron mucho menos que la industria por los contratos con pagos mínimos y la sanidad; el beneficio de Air Liquide siguió creciendo en 2020 (beneficio neto de 2.435 M, +8,6 %) [5].</w:t>
      </w:r>
    </w:p>
    <w:p>
      <w:pPr>
        <w:pStyle w:val="Heading2"/>
      </w:pPr>
      <w:r>
        <w:t xml:space="preserve">Regulación</w:t>
      </w:r>
    </w:p>
    <w:p>
      <w:pPr>
        <w:spacing w:after="100"/>
      </w:pPr>
      <w:r>
        <w:t xml:space="preserve">Precio del CO₂ en Europa (las plantas de separación de aire consumen mucha electricidad), subvenciones al hidrógeno limpio en la UE y EE. UU., regulación sanitaria de los cuidados a domicilio en Francia y Alemania, y el recargo fiscal excepcional francés de 2025 (49,9 M) [1].</w:t>
      </w:r>
    </w:p>
    <w:p>
      <w:pPr>
        <w:pStyle w:val="Heading2"/>
      </w:pPr>
      <w:r>
        <w:t xml:space="preserve">Tendencias y disrupción</w:t>
      </w:r>
    </w:p>
    <w:p>
      <w:pPr>
        <w:spacing w:after="100"/>
      </w:pPr>
      <w:r>
        <w:t xml:space="preserve">La electrónica (fábricas de chips para IA en Corea, Taiwán, Japón y EE. UU.) es el motor más claro y Air Liquide la ha reforzado con DIG Airgas; el hidrógeno avanza más despacio de lo prometido; y la industria pesada europea pierde peso. Air Liquide gana con la electrónica y la sanidad y pierde volumen en la química europea [2].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mundial en gases industriales (26.940 M EUR de ventas en 2025 sobre un mercado de ≈95.800 M EUR), detrás de Linde; n.º 1 en gases para electrónica tras DIG Airgas, según la empresa [1, 2,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margen operativo más alto del sector (≈28 %) y disciplina de no invertir sin contrato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Products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3; deterioros por megaproyectos de hidrógeno y pérdida contable en los últimos 12 meses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Sanso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4091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4; compró el negocio europeo de Praxair en 2018-19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Gases técnicos y cuidados a domicilio en Europa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Messer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Familiar, no cotiza; compró activos de Linde y Praxair en América en 2019.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de tuberías que unen plantas y clientes en el golfo de EE. UU., Róterdam o Amberes: cada cliente nuevo abarata el suministro a los demás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en el recinto del cliente con contratos de 15-20 años y pagos mínimos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separación de aire, hidrógeno y materiales avanzados para chips.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20,7 %, por debajo del de Linde (≈28 %), pero por encima de los competidores medianos [1,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locales que solo admiten uno o dos proveedores rentables.</w:t>
            </w:r>
          </w:p>
        </w:tc>
      </w:tr>
    </w:tbl>
    <w:p>
      <w:pPr>
        <w:spacing w:after="160" w:before="0"/>
      </w:pPr>
    </w:p>
    <w:p>
      <w:pPr>
        <w:pStyle w:val="Heading2"/>
      </w:pPr>
      <w:r>
        <w:t xml:space="preserve">Amenazas</w:t>
      </w:r>
    </w:p>
    <w:p>
      <w:pPr>
        <w:spacing w:after="100"/>
      </w:pPr>
      <w:r>
        <w:t xml:space="preserve">La amenaza no es un competidor sino la demanda: el cierre de plantas químicas en Europa resta volumen a Grandes Industrias e Industrial Merchant, y el hidrógeno puede dejar activos poco usados si fallan las subvenciones. La distancia de margen con Linde (≈7 puntos) es la medida de lo que queda por hacer y la razón por la que Elliott ha entrado en el capital [6,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2020-2025: ingresos </w:t>
      </w:r>
      <w:r>
        <w:rPr>
          <w:b/>
          <w:bCs/>
        </w:rPr>
        <w:t xml:space="preserve">5,6 %</w:t>
      </w:r>
      <w:r>
        <w:t xml:space="preserve">, EBITDA </w:t>
      </w:r>
      <w:r>
        <w:rPr>
          <w:b/>
          <w:bCs/>
        </w:rPr>
        <w:t xml:space="preserve">6,6 %</w:t>
      </w:r>
      <w:r>
        <w:t xml:space="preserve">, BPA </w:t>
      </w:r>
      <w:r>
        <w:rPr>
          <w:b/>
          <w:bCs/>
        </w:rPr>
        <w:t xml:space="preserve">7,5 %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publicadas oscilan con la energía repercutida: 29.934 M en 2022 con el gas caro y 26.940 M en 2025, aunque el crecimiento comparable fue positivo cada año (+2,0 % en 2025) [1, 3]. El margen operativo recurrente subió de 18,5 % (2020) a 20,7 % (2025), y en 2025 +80 pb, por eficiencias (631 M) y precio en Industrial Merchant (+4 %) [1]. La cuenta se presenta por naturaleza (compras, personal, otros gastos). El 1S26 crece un 0,8 % publicado con −3,6 % de divisa y +1,7 % de perímetro (DIG Airgas); el beneficio recurrente sube un 9,9 % sin divisa [2]. 2022 no es comparable en ventas por la energía.</w:t>
      </w:r>
    </w:p>
    <w:p>
      <w:pPr>
        <w:pStyle w:val="Heading2"/>
      </w:pPr>
      <w:r>
        <w:t xml:space="preserve">Ajustes y partidas no recurrentes</w:t>
      </w:r>
    </w:p>
    <w:p>
      <w:pPr>
        <w:spacing w:after="100"/>
      </w:pPr>
      <w:r>
        <w:t xml:space="preserve">Air Liquide publica un beneficio neto recurrente que excluye partidas no recurrentes sin efecto en el resultado operativo recurrente: 3.162 M en 2022, 3.320 M en 2023, 3.465,7 M en 2024 y 3.678,9 M en 2025 (3.517,9 M publicado; la diferencia son 100,7 M de reestructuración en Europa, 49,9 M del recargo fiscal francés y 10,4 M residuales) [1]. Los «otros gastos operativos no recurrentes» (deterioros, reestructuraciones, la salida de Rusia en 2022) van en no_recurrentes_en_ebitda: 571 M en 2022, 497 M en 2023, 446 M en 2024 y 303 M en 2025 [1, 3]. Se repiten todos los años, así que el DCF los trata en parte como recurrentes (−0,8 puntos de margen). BPA y DPA en acciones de hoy: divididos entre 1,1 por cada atribución gratuita (jun-2022, jun-2024 y jun-2026) posterior a su publicación.</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8"/>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Air Liquide solo publica ventas trimestrales; resultados, por semestre. En el 1S26 (28-jul) la dirección destacó la aceleración del 2T26 (+3,5 % comparable, +5,2 % sin divisa ni energía), un margen operativo del 20,9 % (+110 pb sin energía ni amortización de la compra de DIG Airgas) y eficiencias récord de 299 M; confirmó +100 pb de margen y crecimiento del beneficio recurrente en 2026 y otros +100 pb en 2027 [2]. Los puntos débiles: el helio (se cortó una fuente por el conflicto de Oriente Medio), Grandes Industrias en Europa y Asia (−0,6 %), el aumento del circulante por el fin del factoring (+1.042 M de clientes) y una caja operativa que cae un 34 % [2]. La acción bajó ≈3 % ese día con resultados en línea. El 5-oct, en el día del inversor, presentó el plan BEYOND 2030: ventas +5 % ±1 al año, BPA recurrente +10 % ±2 al año, margen operativo +400-600 pb hasta 2030 y una recompra de 4.000 M hasta finales de 2028 [6].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(2026: DIG Airgas (Corea del Sur), ≈3.000 M, consolidada desde mediados de enero de 2026: entra en el balance y en la cuenta del 1S26 (efecto perímetro de +1,7 % neto de la venta del biogás)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bajó de 9.159 M (2024) a 8.416 M (2025) con la caja de la operación, pero a 30-jun-26 sube a 13.921 M por la compra de DIG Airgas (≈3.000 M), el dividendo de mayo (2.199 M), el capex y el fin del factoring (≈1.000 M) [1, 2]. Deuda neta / patrimonio ajustada por el dividendo del 45,1 %, frente al 31,2 % de diciembre [2]. Con un EBITDA recurrente de ≈8.300 M, la deuda neta es ≈1,7 veces: holgada para un negocio de contratos largos, pero la recompra de 4.000 M hasta 2028 la mantendrá alta.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13.108</w:t>
      </w:r>
      <w:r>
        <w:t xml:space="preserve">, conversión </w:t>
      </w:r>
      <w:r>
        <w:rPr>
          <w:b/>
          <w:bCs/>
        </w:rPr>
        <w:t xml:space="preserve">74 %</w:t>
      </w:r>
      <w:r>
        <w:t xml:space="preserve"> del beneficio neto; adquisiciones 1.551, dividendos 9.308, recompras 598.</w:t>
      </w:r>
    </w:p>
    <w:p>
      <w:pPr>
        <w:spacing w:after="100"/>
      </w:pPr>
      <w:r>
        <w:t xml:space="preserve">El flujo operativo crece de 5.206 M (2020) a 6.518 M (2025) y el capex industrial de 2.630 M a 3.843 M (14,3 % de las ventas en 2025), por la cartera de proyectos [1, 3]. Después de arrendamientos e intereses, la caja libre ronda los 2.200-2.500 M al año, por debajo del dividendo más que ocasionalmente (1.955 M en 2025). La empresa no separa capex de mantenimiento; estimación propia: la amortización (≈9,5 % de las ventas) aproxima el mantenimiento y ≈5 puntos son crecimiento ligado a contratos. 2026 es anómalo: 3.128 M de compras (DIG Airgas) y −1.394 M de circulante por el fin del factoring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y KPMG S.A.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(revisión limitada del 1S26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auditadas por PwC y KPMG sin salvedades; la revisión limitada del 1S26 tampoco tiene salvedades [2]. Los tres indicadores del motor son sanos: Altman Z de 3,98 (lejos de la zona de riesgo), Piotroski F de 7 sobre 9 y Beneish M de −2,83 (por debajo del umbral de manipulación de −1,78). Lo que hay que vigilar es la frontera entre recurrente y no recurrente: la empresa saca de su beneficio recurrente entre 140 M y 570 M al año de deterioros y reestructuraciones, y en 2025 también el recargo fiscal francés (49,9 M) [1]. Como se repiten, el DCF los trata en parte como gasto normal. Los intereses se capitalizan en las obras en curso (norma habitual) y el fin del factoring en 2026 cambia la comparabilidad de la caja operativa [2]. Los pagos en acciones son pequeños (≈40-67 M al año)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140 M y 571 M al año en 2020-2025 (reestructuraciones, deterioros, Rusia): el beneficio recurrente lleva una partida que se repite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del factoring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factoring adelantaba ≈1.000 M de caja; su fin rebaja la caja operativa de 2026 y sube la deuda neta, sin cambio económico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18,0 % · </w:t>
      </w:r>
      <w:r>
        <w:rPr>
          <w:b/>
          <w:bCs/>
        </w:rPr>
        <w:t xml:space="preserve">WACC</w:t>
      </w:r>
      <w:r>
        <w:t xml:space="preserve">: 7,5 %.</w:t>
      </w:r>
    </w:p>
    <w:p>
      <w:pPr>
        <w:spacing w:after="100"/>
      </w:pPr>
      <w:r>
        <w:t xml:space="preserve">El ROIC que calcula el motor sube del 9,7 % (2020) al 11,2 % (2025), por encima del WACC (7,51 %) en 3,7 puntos: crea valor, pero menos de los 5 puntos que pide la regla de compra. La propia empresa da un ROCE recurrente después de impuestos del 11,2 % en 2025 y del 11,0 % en el 1S26 [1, 2]. Lo mueve el margen (operativo recurrente del 18,5 % al 20,7 %), no la rotación (0,49-0,62 veces), y el capital incluye ≈13.800 M de fondo de comercio, sobre todo de Airgas. El ROIC incremental histórico (18 %) muestra que el crecimiento reciente ha sido rentable. Frente a Linde (≈12 % con un fondo de comercio mucho mayor) el rendimiento es parecido; frente a Air Products y Nippon Sanso (7-9 %), mejor [11, 12, 13]. La compra de DIG Airgas (≈3.000 M) rebajará el ROIC de 2026 unas décimas.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15.198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15.933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2.061 M a 30-jun-26 y programas de papel comercial (+1.922 M en el semestre); emisiones recientes en CHF a 0,6-1,3 % y en EUR al 2,9-3,5 %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y otras prestaciones a empleados de 990 M (jun-26), provisiones de reestructuración de 158 M, desmantelamiento de 305 M y garantías de ingeniería de 215 M [2]. En el 1S26 terminaron los principales programas de factoring: los clientes subieron 1.042 M y la deuda neta lo recoge (el factoring era deuda fuera de balance). Un bono de 600 M vence el 8-mar-2027 [2].</w:t>
      </w:r>
    </w:p>
    <w:p>
      <w:pPr>
        <w:pStyle w:val="Heading1"/>
      </w:pPr>
      <w:r>
        <w:t xml:space="preserve">12. Asignación de capital</w:t>
      </w:r>
    </w:p>
    <w:p>
      <w:pPr>
        <w:pStyle w:val="Confianza"/>
        <w:spacing w:after="100"/>
      </w:pPr>
      <w:r>
        <w:t xml:space="preserve">Confianza: Media</w:t>
      </w:r>
    </w:p>
    <w:p>
      <w:pPr>
        <w:spacing w:after="100"/>
      </w:pPr>
      <w:r>
        <w:t xml:space="preserve">Dividendo creciente (3,70 EUR por acción de 2025, +12,1 %, pay-out del 63 %), atribución de una acción gratuita por cada 10 cada dos años y prima de fidelidad del 10 % para las acciones nominativas [1]. El 5-oct-26 anunció la primera gran recompra: 4.000 M hasta finales de 2028, dentro de una asignación de más de 40.000 M en 2026-2030, más de la mitad para inversión industrial y compras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 Airgas (Corea del Sur)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(papel comercial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ene-26; contratos con SK hynix en Corea y EE. UU. a los pocos meses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Airgas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y ampliación de capital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Industrial Merchant en EE. UU.; el fondo de comercio (≈13.800 M del grupo) no se ha deteriorado [1].</w:t>
            </w:r>
          </w:p>
        </w:tc>
      </w:tr>
    </w:tbl>
    <w:p>
      <w:pPr>
        <w:spacing w:after="160" w:before="0"/>
      </w:pPr>
    </w:p>
    <w:p>
      <w:pPr>
        <w:spacing w:after="100"/>
      </w:pPr>
      <w:r>
        <w:t xml:space="preserve">Buena asignadora de capital con un cambio de rumbo. En 2020-2025 el grupo generó ≈36.000 M de flujo operativo y los usó en capex (≈19.600 M), dividendos (≈9.300 M) y compras pequeñas, con recompras casi simbólicas y dilución nula: las acciones solo crecen por las atribuciones gratuitas, que no diluyen [1, 3]. El ROIC subió del 9,7 % al 11,2 % y el ROIC incremental histórico es del 18 %: el capital nuevo ha rendido. En 2026 cambian dos cosas: la compra de DIG Airgas (≈3.000 M con deuda, la mayor desde Airgas) y la primera recompra grande (4.000 M hasta 2028), que con Elliott en el capital desplaza la prioridad hacia el accionista [2, 6]. La deuda neta pasará de ≈1,1 veces el EBITDA (2025) a ≈2 veces: aún holgada.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Jackow</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1993 (EE. UU., Países Bajos, Japón, Grandes Industrias, estrategia; participó en la compra de Airgas). Como consejero delegado completó el plan ADVANCE 2022-2025 cumpliendo o superando sus objetivos financieros, subió el margen operativo de 2025 en 80 pb y cerró la compra de DIG Airgas [1,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Benoît Potier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1997 a 2022 y presidente ejecutivo de 2006 a 2022; dobló el tamaño del grupo y compró Airgas. Desde junio de 2022, presidente no ejecutivo; reelegido consejero en 2026 con un 93,7 % [7, 16].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ADVANCE: ROCE recurrente &gt; 10 % en 2025 y objetivos de margen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ROCE recurrente &gt; 10 % ya a finales de 2022; todos los objetivos financieros cumplidos o superados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Subir el margen operativo y el beneficio neto recurrente a tipo de cambio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+80 pb (20,7 %); beneficio recurrente sin divisa +9,7 %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pb de margen sin energía y crecimiento del beneficio recurrente a cambio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+110 pb y +9,9 % sin divisa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la casa: Jackow lleva 33 años en el grupo y Potier, presidente, lo dirigió 25 años. La guía se ha cumplido cada año del plan ADVANCE y el 1S26 va por encima del objetivo de margen [1, 7]. La entrada de Elliott (2026) presiona para acelerar margen y retorno al accionista; el plan BEYOND y la recompra de 4.000 M responden a eso [6]. La sucesión de 2022, anunciada con antelación, fue ordenada.</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Benoît Potier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Jackow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Xavier Huillard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Bertrand Dumazy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Aiman Ezzat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Guillouard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Christina Law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Ambiente y Sociedad;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Ann Mink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Alexis Perakis-Valat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H. Thaman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Ambiente y Sociedad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Monica de Virgiliis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Ambiente y Sociedad;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Annette Winkler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Fatima Tighlaline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Medio Ambiente y Sociedad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Benjamin Le Creurer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Benoît Potier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(revisión limitada del 1S26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Accionistas individuales (≈970.000)</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institucionales extranjeros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a Elliott, con una participación no revelada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institucionales franceses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del consejero delegado tiene un objetivo del 120 % del fijo (máximo 150 %): 70 % ligado a cifras (sobre todo el BPA recurrente sin divisa, que se cumplió al 123 %, y el crecimiento comparable, que no alcanzó el umbral y pagó 0) y 30 % a criterios personales (seguridad, sostenibilidad, organización) [15]. En 2025 cobró 1,21 M de fijo y 1,44 M de variable (2,65 M), más 11.958 acciones de rendimiento concedidas en septiembre de 2025, sujetas a condiciones que se medirán con las cuentas de 2027 [15]. La política de remuneración del consejero delegado obtuvo el apoyo más bajo de la junta de 2026: 89,96 % a favor y 10,04 % en contra [16].</w:t>
      </w:r>
    </w:p>
    <w:p>
      <w:pPr>
        <w:pStyle w:val="Heading2"/>
      </w:pPr>
      <w:r>
        <w:t xml:space="preserve">Operaciones vinculadas, estructura de control y defensas</w:t>
      </w:r>
    </w:p>
    <w:p>
      <w:pPr>
        <w:spacing w:after="100"/>
      </w:pPr>
      <w:r>
        <w:t xml:space="preserve">Sin accionista de control: el 33 % del capital está en manos de ≈970.000 particulares, que reciben una prima de fidelidad del 10 % en el dividendo si mantienen las acciones nominativas más de dos años, y el resto en institucionales [17]. El consejo tiene 14 miembros, 75 % de independientes entre los 12 elegidos por la junta, con consejero coordinador independiente (Xavier Huillard) y presidente no ejecutivo que fue consejero delegado durante 25 años [1, 7]. Elliott ha entrado en el capital con una participación no revelada y ha pedido que la recompra empiece de inmediato [6]. No se comprobó si los estatutos limitan los derechos de voto dobles.</w:t>
      </w:r>
    </w:p>
    <w:p>
      <w:pPr>
        <w:pStyle w:val="Heading2"/>
      </w:pPr>
      <w:r>
        <w:t xml:space="preserve">Señales de alerta</w:t>
      </w:r>
    </w:p>
    <w:p>
      <w:pPr>
        <w:pStyle w:val="ListParagraph"/>
        <w:numPr>
          <w:ilvl w:val="0"/>
          <w:numId w:val="2"/>
        </w:numPr>
        <w:spacing w:after="60"/>
      </w:pPr>
      <w:r>
        <w:t xml:space="preserve">Presencia de un inversor activista (Elliott) desde agosto de 2026: presión por margen y recompras.</w:t>
      </w:r>
    </w:p>
    <w:p>
      <w:pPr>
        <w:pStyle w:val="ListParagraph"/>
        <w:numPr>
          <w:ilvl w:val="0"/>
          <w:numId w:val="2"/>
        </w:numPr>
        <w:spacing w:after="60"/>
      </w:pPr>
      <w:r>
        <w:t xml:space="preserve">Política de remuneración del consejero delegado con un 10,04 % de votos en contra en 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2026: +100 pb de margen operativo sin efecto de la energía y crecimiento del beneficio neto recurrente a tipo de cambio constante, confirmado el 28-jul-26; segundo semestre con un crecimiento similar o algo mayor que el primero [2]. 2027: otros +100 pb de margen (+560 pb acumulados en 2022-2027) [2]. Plan BEYOND (5-oct-26): ventas +5 % ±1 al año, BPA recurrente +10 % ±2 al año y margen +400-600 pb hasta 2030, ROCE recurrente &gt; 11 % en 2030 y recompra de 4.000 M hasta finales de 2028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18 analistas</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162,00 – 216,00</w:t>
            </w:r>
          </w:p>
        </w:tc>
      </w:tr>
    </w:tbl>
    <w:p>
      <w:pPr>
        <w:spacing w:after="160" w:before="0"/>
      </w:pPr>
    </w:p>
    <w:p>
      <w:pPr>
        <w:pStyle w:val="Heading2"/>
      </w:pPr>
      <w:r>
        <w:t xml:space="preserve">Revisiones de estimaciones</w:t>
      </w:r>
    </w:p>
    <w:p>
      <w:pPr>
        <w:spacing w:after="100"/>
      </w:pPr>
      <w:r>
        <w:t xml:space="preserve">Las recomendaciones apenas han cambiado en seis meses (13-14 «compra fuerte», 4-5 «compra», 1-2 «mantener»; la única «venta» desapareció en julio) [18]. Tras el día del inversor (5-oct) Deutsche Bank mantuvo 194 EUR (13-oct) y Bernstein 192 EUR (12-oct) [18]. El BPA de 2026 del consenso (6,40 EUR, en base recurrente y acciones de hoy) supone +10 % sobre 2025 (5,80 EUR). Solo una fuente gratuita con estimaciones completas; el objetivo medio se contrasta con MarketScreener (197,72 EUR, 20 analistas, 1-sep) [18, 19].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16,9 % en el año frente al −3,4 % del CAC 40 (rentabilidades de precio, sin dividendos), y un 9,7 % anual en cinco años frente al 3,3 % del índice [22]. La subida de 2026 llega con la mejora del margen, la compra de DIG Airgas y, desde finales de agosto, la entrada de Elliott y la expectativa de recompras, que se confirmaron el 5-oct con el plan BEYOND [6]. Tras el día del inversor la acción cayó desde ≈175 a 167 EUR en tres sesiones con el mercado francés débil. Beta de 0,83 frente al CAC 40 (mensual, cinco años) y volatilidad del 17,7 %: un valor defensivo, con una caída máxima del 23 % en 2022.</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BPA recurrente en acciones de hoy, el PER adelantado (cierre del año ÷ BPA recurrente del año siguiente) ha ido de 20,9x (2022, con la energía cara y Rusia) a 26,7x (2023), con una mediana de 23,4x en 2021-2025 [1, 22]. Hoy cotiza a 24,8x nuestro BPA de 2027e: algo por encima de su historia, sin descuento que recuperar. El múltiplo ya recoge parte del plan BEYOND y de la recompra anunciada el 5-oct [6]. La tasa libre en euros ha pasado de ≈0 % en 2020-2021 al 3,5 % [25]: eso debería pesar sobre el PER y no lo ha hecho.</w:t>
      </w:r>
    </w:p>
    <w:p>
      <w:pPr>
        <w:pStyle w:val="Heading1"/>
      </w:pPr>
      <w:r>
        <w:t xml:space="preserve">18. Comparables cotizados</w:t>
      </w:r>
    </w:p>
    <w:p>
      <w:pPr>
        <w:pStyle w:val="Confianza"/>
        <w:spacing w:after="100"/>
      </w:pPr>
      <w:r>
        <w:t xml:space="preserve">Confianza: Media</w:t>
      </w:r>
    </w:p>
    <w:p>
      <w:pPr>
        <w:spacing w:after="100"/>
      </w:pPr>
      <w:r>
        <w:t xml:space="preserve">Los otros gases industriales cotizados (Linde, Air Products, Nippon Sanso y SOL) y Atlas Copco como industrial de calidad con servicio recurrente (compresores y vacío para semiconductores). Todas las cifras de Stock Analysis del 14-oct-26 (mismo proveedor y fecha); capitalización convertida a euros al cambio del BCE de ese día. No hay EV/EBITDA de los próximos 12 meses gratis; la deuda/EBITDA del proveedor es bruta y se deja fuera. Messer no cotiza.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Liquide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Products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Sanso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 / 17,5x / 18,1x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 / 26,3x / 27,8x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 5,9x / 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r>
    </w:tbl>
    <w:p>
      <w:pPr>
        <w:spacing w:after="160" w:before="0"/>
      </w:pPr>
    </w:p>
    <w:p>
      <w:pPr>
        <w:spacing w:after="100"/>
      </w:pPr>
      <w:r>
        <w:t xml:space="preserve">Air Liquide cotiza a ≈24-25x el BPA de los próximos 12 meses, por debajo de Linde (26,3x), SOL (27,8x) y Atlas Copco (29,4x) y por encima de Air Products (20,3x) y Nippon Sanso (16,1x) [11, 12, 13, 14, 23]. El descuento frente a Linde se explica por el margen: EBITDA del 30 % frente al 39 % y ROIC del 11 % frente al 12 % [11]. El plan BEYOND busca cerrar esa distancia (+400-600 pb de margen operativo hasta 2030) [6]; si lo consigue, el múltiplo podría acercarse al de Linde, y ese es el escenario alcista. Por EV/EBITDA de los últimos 12 meses (15,0x) está en la mediana del grupo.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 Airgas (Corea del Sur)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Liquide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 M de inversión financiera; múltiplo no publicado en los documentos leídos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Airgas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Liquide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13,4x el EBITDA de los últimos 12 meses; ≈10,5x con 300 M de sinergias; EV en USD [8].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2007-01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gases de BOC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Products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Tabla de precedentes de Air Products (presentación de un oferente)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2006-09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BOC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AG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Misma fuente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2004-05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Messer Griesheim (parte)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Misma fuente [20].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10,5x (10,0x – 11,5x)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105,15 – 125,13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compras de control en gases se han pagado a 10-13x el EBITDA, por debajo de los ≈15,7x a que cotiza Air Liquide (Stock Analysis) [21]. Las operaciones con múltiplo son antiguas (Airgas, 2016, es la última) y Air Liquide, con ≈108.000 M de capitalización, no es objetivo de compra verosímil: no pesan en la valoración. La presencia de Elliott empuja hacia recompras, no hacia una venta [6, 8, 20].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comparables crecieron un 2,0 % en 2025 y un 2,6 % en el 1S26, con el 2T26 en +3,5 % [1, 2]. En 2026 se fija un 3,0 % publicado (perímetro de DIG Airgas +1,7 %, divisa negativa y +3-4 % comparable; la empresa espera un segundo semestre similar o algo mejor) [2]. Después, 5 % en 2027-2028, el centro del objetivo de BEYOND (5 % ±1) [6], con la cartera de 6.000 M que arranca en el 4T26-2028 [2], bajando al 3 % en 2034-2035. El consenso de 2026 (28.200 M) está un 1,6 % por encima del nuestro (27.748 M) [18].</w:t>
      </w:r>
    </w:p>
    <w:p>
      <w:pPr>
        <w:keepNext/>
        <w:spacing w:after="100"/>
      </w:pPr>
      <w:r>
        <w:rPr>
          <w:b/>
          <w:bCs/>
        </w:rPr>
        <w:t xml:space="preserve">Márgenes.</w:t>
      </w:r>
    </w:p>
    <w:p>
      <w:pPr>
        <w:spacing w:after="100"/>
      </w:pPr>
      <w:r>
        <w:t xml:space="preserve">Margen EBITDA recurrente del 30,2 % en 2025 (8.145 M) [1]. El DCF usa ese margen menos 0,8 puntos, porque Air Liquide registra cada año entre 140 M y 570 M de gastos «no recurrentes» [1, 3]. Se proyecta 30,4 % en 2026 (guía: +100 pb de margen operativo), 31,2 % en 2027 (+100 pb de guía, de los que tomamos 80) y 32,4 % desde 2030. Eso supone ≈+270 pb de margen operativo entre 2025 y 2030, por debajo de los +400-600 pb del plan BEYOND [6]: no damos el plan por hecho.</w:t>
      </w:r>
    </w:p>
    <w:p>
      <w:pPr>
        <w:keepNext/>
        <w:spacing w:after="100"/>
      </w:pPr>
      <w:r>
        <w:rPr>
          <w:b/>
          <w:bCs/>
        </w:rPr>
        <w:t xml:space="preserve">Inversión y circulante.</w:t>
      </w:r>
    </w:p>
    <w:p>
      <w:pPr>
        <w:spacing w:after="100"/>
      </w:pPr>
      <w:r>
        <w:t xml:space="preserve">Capex industrial del 14,3 % de las ventas en 2025 (3.843 M) [1]; se proyecta 14,0-14,5 % en 2026-2029 por la cartera de 6.000 M y baja al 11,5 % en 2035, por encima de la amortización (10 %). La amortización sube del 9,5 % al 9,7 % por la de los intangibles de DIG Airgas [2]. Circulante del 11 % de las ventas desde 2026 por el fin del factoring (7,4 % en 2025). Tipo impositivo del 26 % (26,4 % en el 1S26) [2]. La compra de DIG Airgas ya está pagada y en la deuda del puente.</w:t>
      </w:r>
    </w:p>
    <w:p>
      <w:pPr>
        <w:keepNext/>
        <w:spacing w:after="100"/>
      </w:pPr>
      <w:r>
        <w:rPr>
          <w:b/>
          <w:bCs/>
        </w:rPr>
        <w:t xml:space="preserve">Coste del capital.</w:t>
      </w:r>
    </w:p>
    <w:p>
      <w:pPr>
        <w:spacing w:after="100"/>
      </w:pPr>
      <w:r>
        <w:t xml:space="preserve">Tasa libre: Bund a 10 años, 3,51 % el 14-oct-26 [25]; los flujos van en EUR. Beta de 0,85: entre la mensual de cinco años frente al CAC 40 (0,83) y la ajustada (0,89) [22]. Prima de mercado del 5,5 %, sin prima adicional (el 80 % de las ventas está fuera de Francia). Coste de la deuda antes de impuestos del 3,5 % (coste medio de la deuda neta del 3,0 % en el 1S26 y emisiones recientes al 2,9-3,5 %) [2]. Peso de la deuda del 12 % a valor de mercado. WACC del 7,51 %. Con la prima implícita del mercado (4,20 %) [26], el coste de los fondos propios baja a ≈7,1 %.</w:t>
      </w:r>
    </w:p>
    <w:p>
      <w:pPr>
        <w:keepNext/>
        <w:spacing w:after="100"/>
      </w:pPr>
      <w:r>
        <w:rPr>
          <w:b/>
          <w:bCs/>
        </w:rPr>
        <w:t xml:space="preserve">Valor terminal.</w:t>
      </w:r>
    </w:p>
    <w:p>
      <w:pPr>
        <w:spacing w:after="100"/>
      </w:pPr>
      <w:r>
        <w:t xml:space="preserve">Gordon con un 2,5 % de crecimiento en EUR (≈2 % de inflación y ≈0,5 % real), por debajo de la tasa libre menos medio punto (3,0 %). El múltiplo de salida de referencia es 14x el EBITDA, entre las compras del sector (10-13x) y el múltiplo actual (15,0x) [8, 20].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151,20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13.839 M (25 %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(ROIC 11,2 %)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 (histórico: 18,0 %)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 (hoy: 28,1 %)</w:t>
            </w:r>
          </w:p>
        </w:tc>
      </w:tr>
    </w:tbl>
    <w:p>
      <w:pPr>
        <w:spacing w:after="160" w:before="0"/>
      </w:pPr>
    </w:p>
    <w:p>
      <w:pPr>
        <w:spacing w:after="100"/>
      </w:pPr>
      <w:r>
        <w:t xml:space="preserve">La proyección reinvierte el 25 % del NOPAT. Con el ROIC del último ejercicio (11,2 %), eso financia un crecimiento del 2,8 % anual, frente al 3,9 % de ingresos proyectado. Supone que el capital nuevo rinde un 17,1 %, frente a un ROIC incremental histórico del 18,0 %; la cuota de mercado pasaría al 25,3 % desde el 28,1 %.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y 1S26: +2,6 % comparable con +4,2 % de precio en Industrial Merchant, +1,7 % de perímetro (DIG Airgas menos el biogás) y divisa negativa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completo de DIG Airgas, arranques de la cartera (transición energética en Europa y electrónica en Asia) y precio en línea con la historia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Arranques de la cartera de 6.000 M y electrónica;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industrial normal y electrónica;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 en el centro del objetivo de BEYOND (5 % ±1) [6].</w:t>
            </w:r>
          </w:p>
        </w:tc>
      </w:tr>
    </w:tbl>
    <w:p>
      <w:pPr>
        <w:spacing w:after="160" w:before="0"/>
      </w:pPr>
    </w:p>
    <w:p>
      <w:pPr>
        <w:spacing w:after="100"/>
      </w:pPr>
      <w:r>
        <w:t xml:space="preserve">El crecimiento proyectado (3,9 % de media) es financiable: la reinversión (25 % del NOPAT) al ROIC actual (11,2 %) financia un 2,8 % anual, y de nuestro crecimiento ≈2 puntos son precio, que no consume capital; el volumen medio (≈2,3 %) queda por debajo. El capital nuevo rendiría un 17,1 %, por debajo del ROIC incremental histórico (18 %), y la cuota bajaría del 28,1 % al 25,3 %: la proyección es conservadora frente al mercado. El foso (contratos de 15-20 años, densidad local) y el poder de precios demostrado (+4 % en Industrial Merchant en 2025-2026) lo sostienen [1, 2]. Veredicto: sí.</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(base: 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 (base: 32,4 %)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 (WACC: 7,5 %)</w:t>
            </w:r>
          </w:p>
        </w:tc>
      </w:tr>
    </w:tbl>
    <w:p>
      <w:pPr>
        <w:spacing w:after="160" w:before="0"/>
      </w:pPr>
    </w:p>
    <w:p>
      <w:pPr>
        <w:spacing w:after="100"/>
      </w:pPr>
      <w:r>
        <w:t xml:space="preserve">El DCF da 114,10 EUR por acción, un 33 % por debajo del precio, con un WACC del 7,51 % y el 69 % del valor en el terminal. El DCF inverso es la lectura central: para justificar 170,34 EUR con nuestro margen, el precio pide un crecimiento de las ventas del 9,1 % anual en 2027-2035, más del doble de nuestro caso base (4,0 %) y casi el doble del objetivo de BEYOND (5 % ±1); o, con nuestro crecimiento, aceptar una rentabilidad del 6,1 %, por debajo de nuestro WACC. Hay dos matices. El margen: si se cumple BEYOND (+400-600 pb hasta 2030), el margen EBITDA llegaría al 34-36 % y el valor subiría ≈15-25 % (estimación propia), aún por debajo del precio. Y la caja: el capex del 14 % de las ventas deprime el flujo libre de hoy (rentabilidad del 1,1 %) para volumen contratado a 15-20 años. El mercado paga a Air Liquide, como a Linde, como un bono de crecimiento seguro, no por su caja.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industria europea y china sigue débil, el helio y la electrónica se frenan y el plan de eficiencias no basta: crecimiento 2 puntos menor y margen 1 punto más bajo, como en 2023-2024 con el volumen plano.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6.000 M arranca en 2026-2028, el precio sigue a la inflación y el margen operativo sube ≈+100 pb en 2026 y +80 pb en 2027; la recompra de 4.000 M reduce las acciones ≈2,5 % de media en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cumple el ritmo de BEYOND: electrónica para IA y transición energética empujan el volumen y el margen sube más: crecimiento 1 punto mayor y margen 0,6 puntos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EUR) · precio actual 170,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109,88 EUR (-35,5 %).</w:t>
      </w:r>
    </w:p>
    <w:p>
      <w:pPr>
        <w:spacing w:after="100"/>
      </w:pPr>
      <w:r>
        <w:t xml:space="preserve">En valor intrínseco los tres escenarios quedan por debajo del precio (82,75, 114,10 y 128,56 EUR), así que la asimetría del DCF no aporta. La que importa es la del objetivo a 12 meses: el bajista pierde un 20,8 % (PER de 19,3x, el base × 0,80, sobre 6,82 EUR de BPA) y el alcista gana un 23,2 % (26,3x, la mediana de los comparables, sobre 7,85 EUR); asimetría de 0,93x. Con las probabilidades 25/50/25, la ponderada queda por debajo del 15 % que pide la regla de compra.</w:t>
      </w:r>
    </w:p>
    <w:p>
      <w:pPr>
        <w:pStyle w:val="Heading1"/>
      </w:pPr>
      <w:r>
        <w:t xml:space="preserve">22. Suma de partes</w:t>
      </w:r>
    </w:p>
    <w:p>
      <w:pPr>
        <w:pStyle w:val="Confianza"/>
        <w:spacing w:after="100"/>
      </w:pPr>
      <w:r>
        <w:t xml:space="preserve">Confianza: Media</w:t>
      </w:r>
    </w:p>
    <w:p>
      <w:pPr>
        <w:spacing w:after="100"/>
      </w:pPr>
      <w:r>
        <w:t xml:space="preserve">No aplica: las regiones de Gases y Servicios tienen el mismo perfil, y Sanidad y Electrónica no se publican con resultado propio; Ingeniería pesa el 3 % de las ventas.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EUR) · precio actual 170,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130,56 EUR (-23,4 % sobre 170,34).</w:t>
      </w:r>
    </w:p>
    <w:p>
      <w:pPr>
        <w:spacing w:after="100"/>
      </w:pPr>
      <w:r>
        <w:t xml:space="preserve">Pesos: DCF 50 %, comparables 25 % y escenarios 25 %; transacciones y suma de partes, 0 (las compras con múltiplo son antiguas y Air Liquide no es objetivo de compra verosímil). El DCF es el método más fiable para un negocio de contratos largos, pero con la tasa libre al 3,5 % y el capex del 14 % da un valor muy inferior al precio; los comparables por PER (mediana de 26,3x) y por EV/EBITDA se acercan más porque todo el sector cotiza caro frente a su caja. La dispersión entre métodos es grande y casi todos quedan por debajo de la cotización: el precio descuenta una mejora de margen que el DCF solo recoge en parte.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(24.8x) a mitad de camino hacia abajo, hacia la mediana de 5 años (23.4x)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r>
    </w:tbl>
    <w:p>
      <w:pPr>
        <w:spacing w:after="160" w:before="0"/>
      </w:pPr>
    </w:p>
    <w:p>
      <w:pPr>
        <w:spacing w:after="100"/>
      </w:pPr>
      <w:r>
        <w:rPr>
          <w:b/>
          <w:bCs/>
        </w:rPr>
        <w:t xml:space="preserve">Objetivo a 12 meses (ponderado):</w:t>
      </w:r>
      <w:r>
        <w:t xml:space="preserve"> 174,54 EUR · rentabilidad +4,4 % (base +7,7 %) · señal Mantener.</w:t>
      </w:r>
    </w:p>
    <w:p>
      <w:pPr>
        <w:keepNext/>
        <w:spacing w:after="100"/>
      </w:pPr>
      <w:r>
        <w:rPr>
          <w:b/>
          <w:bCs/>
        </w:rPr>
        <w:t xml:space="preserve">Frente al consenso (solo contraste).</w:t>
      </w:r>
    </w:p>
    <w:p>
      <w:pPr>
        <w:spacing w:after="100"/>
      </w:pPr>
      <w:r>
        <w:t xml:space="preserve">Nuestro BPA de 2026e (6,23 EUR) queda un 2,7 % por debajo del consenso (6,40) y el de 2027e (6,86) un 4,5 % por debajo (7,18) [18]. La diferencia sale del margen: tomamos 80 de los 100 pb de mejora prometidos para 2027 y no damos por hecho el plan BEYOND; sí contamos la recompra anunciada. El precio base (≈180 EUR) queda un 9 % por debajo del objetivo medio de los analistas (197,83 EUR): ellos aplican ≈26-27x a un BPA mayor; nosotros, el PER a mitad de camino hacia la mediana histórica (≈24x).</w:t>
      </w:r>
    </w:p>
    <w:p>
      <w:pPr>
        <w:keepNext/>
        <w:spacing w:after="100"/>
      </w:pPr>
      <w:r>
        <w:rPr>
          <w:b/>
          <w:bCs/>
        </w:rPr>
        <w:t xml:space="preserve">Del valor intrínseco al objetivo a 12 meses.</w:t>
      </w:r>
    </w:p>
    <w:p>
      <w:pPr>
        <w:spacing w:after="100"/>
      </w:pPr>
      <w:r>
        <w:t xml:space="preserve">El valor intrínseco queda muy por debajo del precio y del objetivo a 12 meses: el sector entero cotiza por encima de su DCF con tipos al 3,5 %. No hay catalizador que cierre esa distancia en un año; al contrario, la recompra, Elliott y el plan BEYOND sostienen el múltiplo. Por eso la recomendación sigue al objetivo a 12 meses, con el valor intrínseco como aviso de que no hay margen de seguridad. La tesis de valor es a varios años y depende de que el margen operativo llegue al 25-27 % en 2030.</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el crecimiento comparable se mantiene en ≥3 % y de la recuperación del helio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la recompra de 4.000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Reduce ≈3,6 % las acciones hasta 2028; Elliott pide empezar ya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+100 pb de margen en 2026 y del objetivo de 2027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Arranques de la cartera de 6.000 M (electrónica en Asia, transición energética en Europa)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contratado que sostiene el 5 % de crecimiento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Primavera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Elecciones presidenciales en Francia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fiscal (el recargo de 2025 costó 49,9 M) y de prima de riesgo francesa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alto con tipos al 3,5 %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si el PER adelantado vuelve a su mínimo de cinco años (20,9x)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recurrente que crece ≈8-10 % al año y recompra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22x sin cambio en el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BEYOND sin el margen prometido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Eficiencias récord (631 M en 2025, 299 M en el 1S26)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2026 por debajo del 21,5 %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industrial débil en Europa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del objetivo a 12 meses (−20,8 %)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con pagos mínimos; sanidad y electrónica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Industrias negativa en EMEA dos trimestres más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recompra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Limitado: deuda neta de ≈1,7x el EBITDA, ≈2,2x con la recompra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medio de la deuda del 3 %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2,5x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 y política francesa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por cada recargo como el de 2025 (49,9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80 % de las ventas fuera de Francia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recargos sobre grandes empresas en el presupuesto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Electrónica cíclica y concentrada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si Electrónica cae un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Contratos largos de gases portadores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Recortes de inversión de SK hynix, TSMC o Samsung</w:t>
            </w:r>
          </w:p>
        </w:tc>
      </w:tr>
    </w:tbl>
    <w:p>
      <w:pPr>
        <w:spacing w:after="160" w:before="0"/>
      </w:pPr>
    </w:p>
    <w:p>
      <w:pPr>
        <w:pStyle w:val="Heading2"/>
      </w:pPr>
      <w:r>
        <w:t xml:space="preserve">Pre-mortem</w:t>
      </w:r>
    </w:p>
    <w:p>
      <w:pPr>
        <w:spacing w:after="100"/>
      </w:pPr>
      <w:r>
        <w:t xml:space="preserve">Octubre de 2029: la acción ha perdido un 40 %. La historia más probable no es un desastre operativo sino un cambio de múltiplo combinado con un plan que se queda corto. El margen operativo subió hasta el 22 % en 2027 y se paró: los costes de energía y personal en Europa crecieron más que el precio, y el cierre de plantas químicas restó volumen de Grandes Industrias. El BPA recurrente creció al 6 % y no al 10 % de BEYOND, y parte del crecimiento vino de la recompra con deuda. Elliott vendió tras la recompra. Con el Bund en el 3,5-4 % y la prima francesa al alza tras las elecciones, el mercado dejó de pagar 25x por un 6 % de crecimiento y el PER bajó a ≈17x, el de Nippon Sanso. Los indicadores que lo habrían anticipado: un margen de 2026 por debajo de +100 pb y una guía de 2027 sin la mejora prometida.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La electricidad es el gran coste de las plantas de separación de aire y la producción de hidrógeno gris emite CO₂: el grupo redujo sus emisiones un 13 % frente a 2020 y su intensidad de carbono un 46 % desde 2015, y contrata electricidad renovable a largo plazo (dos PPA nuevos en Secunda, Sudáfrica, en 2026) [1, 2]. A la vez vende hidrógeno, captura de carbono y gases para descarbonizar a terceros. La seguridad laboral entra en el variable del consejero delegado [15].</w:t>
      </w:r>
    </w:p>
    <w:p>
      <w:pPr>
        <w:pStyle w:val="Heading2"/>
      </w:pPr>
      <w:r>
        <w:t xml:space="preserve">Controversias</w:t>
      </w:r>
    </w:p>
    <w:p>
      <w:pPr>
        <w:spacing w:after="100"/>
      </w:pPr>
      <w:r>
        <w:t xml:space="preserve">Salida de Rusia en 2022 con deterioros. No se han encontrado sanciones ni litigios relevantes en 2024-2026 en los documentos leídos (comunicado de 2025 e informe semestral) [1,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qué base se miden los +400-600 pb de BEYOND y cuánto viene de eficiencias, de precio y de mezcla (electrónica)?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BPA y el del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de la recompra de 4.000 M y nivel máximo de deuda neta / EBITDA que aceptan?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BPA de 2027-2028 y el riesgo financiero.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 Airgas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y qué rendimiento sobre el capital esperan de DIG Airgas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≈3.000 M, el 8 % del capital invertido.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hay gastos no recurrentes todos los años (140-570 M) y cuándo terminan las reestructuraciones europeas?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recurrente los excluye; el accionista los paga.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Elliott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participación tiene Elliott y qué ha pedido además de la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forzar cambios de cartera (venta de Sanidad u otros negocios).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Helio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vuelve la fuente de helio cortada por el conflicto de Oriente Medio y cuánto restó al volumen del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parte del volumen débil de Industrial Merchant.</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Air Liquide: hilos «Plan Beyond» y «Journée investisseur»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celebran la recompra de 4.000 M y el plan a 2030; algunos temen que sustituya a las acciones gratuitas y otros preferirían más inversión [27,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 sobre la participación de Elliott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Recelo ante el activista («Air Liquide decide») y la sospecha de que la recompra es su concesión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hilos de la caída del 5 al 8 de octubre y de la política francesa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bajó tras el día del inversor pese a buenas cifras; unos lo atribuyen al riesgo político francés (presidenciales), otros recuerdan que más del 80 % de las ventas está fuera de Francia, y varios dicen haber reforzado [30,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(titulares y análisis de AIQUY)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recientes centrados en la expansión del margen y en el retorno al accionista que añade Elliott; uno de julio critica que la calidad no se paga en bolsa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de 4.000 M y plan BEYOND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es real y anunciada (≈3,6 % del capital al precio de hoy) y la incluimos en el BPA de 2028e; el objetivo de margen (+400-600 pb a 2030) no lo damos por hecho: el caso base sube ≈2,6 puntos de margen operativo hasta 2030.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Elliott en el capital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cifra de participación publicada; su efecto visible es la recompra y la presión por cerrar la distancia de margen con Linde (≈7 puntos).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político francés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pesa poco en las ventas, pero el recargo fiscal de 2025 costó 49,9 M: el riesgo es fiscal, no de demanda.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Comparación con Linde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cotiza a ≈26x y Air Liquide a ≈25x el BPA del año que viene; el foro espera cerrar la distancia de múltiplo, pero la de margen es la que la justifica.</w:t>
            </w:r>
          </w:p>
        </w:tc>
      </w:tr>
    </w:tbl>
    <w:p>
      <w:pPr>
        <w:spacing w:after="160" w:before="0"/>
      </w:pPr>
    </w:p>
    <w:p>
      <w:pPr>
        <w:spacing w:after="100"/>
      </w:pPr>
      <w:r>
        <w:t xml:space="preserve">El sentimiento del particular francés es positivo y mejora tras el plan BEYOND, en línea con el consenso de analistas (19 de 20 recomiendan comprar). No hay euforia: la caída tras el día del inversor y el miedo a la política francesa moderan el tono. El foro no aporta un riesgo que el informe no recoja; sí confirma que el mercado ya cuenta con la recompra y con el margen del plan, lo que limita la sorpresa positiva a 12 meses.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32 (12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17,1 % frente a un ROIC de 11,2 % y un incremental histórico de 18,0 %: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25,3 % en 2035e frente al 28,1 %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11,0 % frente a 7,4 % real: genera una variación de circulante de 1.062 M en el primer año. Converge de forma gradual. Explicación: El salto del 7,4 % al 11 % de las ventas es real: en el 1S26 Air Liquide terminó sus programas de factoring y los clientes subieron 1.042 M [2]. El factoring era financiación fuera de balance; al acabar, la caja de 2026 lo devuelve y la deuda neta lo recoge. Por eso el circulante se fija en el 11 % desde 2026 en vez de converger.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-9,0 %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de la deuda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1S26, nota 13: solo movimientos del semestre; 2) comunicado de 2025: sin calendario; 3) documento de registro 2025: no se localizó el PDF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no lo cita; 2) comunicado de 2025: no lo cita; 3) búsqueda no hecha por el presupuesto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trimestrales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la empresa publica solo ventas trimestrales; 2) informe semestral: resultados por semestre; 3) no hay otra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2025: no las cita; 2) informe semestral: no las cita; 3) búsqueda no hecha por el presupuesto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 histórico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Vyansa: solo 2025 y 2032; 2) Market Research Future: solo previsión; 3) informe de Linde del repo: tampoco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12 meses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BDIF de la AMF: no probada por el presupuesto de tiempo; 2) informe semestral: no las recoge; 3) Stock Analysis: solo % de insiders (0,15 %)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remuneración de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de la junta de 2026: solo ese año; 2) web de la junta: no se buscó el PDF de años anteriores;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derechos de voto dobles y métricas del plan a largo plazo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PDF no localizado (404); 2) convocatoria de la junta: no lo dice; 3) información de remuneración: no detalla las condiciones del plan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consenso y estimaciones de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y Zonebourse: 403; 2) Stock Analysis: 2028 solo de pago; 3) búsqueda: BPA 2028e de 7,59 en un extracto, no verificable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n.d.; 2) registro de la AMF: no consultado por tiempo;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403; 2) API de Stocktwits para AIQUY: 404; 3) Zonebourse: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With a record performance and confident in its transformation dynamic, Air Liquide confirms its growth outlook (comunicado de resultados de 2025 con cuentas)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Liquide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https://it.airliquide.com/statics/2026-03/2025 con una performance record e fiduciosa nella sua dinamica di trasformazione Air Liquide conferma le sue prospettive di crescita.pdf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Half 2026 Financial Report (informe semestral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Liquide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https://www.airliquide.com/sites/airliquide.com/files/2026-07/air-liquide-first-half-2026-financial-report.pdf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2024 (ESEF, estados financieros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https://filings.xbrl.org/969500MMPQVHK671GT54/2024-12-31/ESEF/FR/0/airliquide-2024-12-31-fr/reports/airliquide-2024-12-31-fr.xhtml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2022 (ESEF, estados financieros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https://filings.xbrl.org/969500MMPQVHK671GT54/2022-12-31/ESEF/FR/0/airliquide-2022-12-31-fr/reports/airliquide-2022-12-31-fr.xhtml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 (ESEF, estados financieros 2020-2021)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https://filings.xbrl.org/969500MMPQVHK671GT54/2021-12-31/ESEF/FR/0/airliquide-2021-12-31AR/reports/airliquide-2021-12-31AR.xhtml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lancia buyback da 4 miliardi di euro e punta a incrementare i margini nel piano 2030 (plan BEYOND)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https://www.teleborsa.it/News/2026/10/05/air-liquide-lancia-buyback-da-4-miliardi-di-euro-e-punta-a-incrementare-i-margini-nel-piano-2030-25.html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(biografías de Benoît Potier y François Jackow)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https://www.airliquide.com/group/board-directors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and Airgas: assessing the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https://www.gasworld.com/story/air-liquide-and-airgas-assessing-the-acquisition/2080652.article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gases market worldwide to surpass USD 150.43 billion by 2032 (Vyansa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https://www.bolsamania.com/nota-de-prensa/mercados/industrial-gases-market-worldwide-to-surpass-usd-15043-billion-by-2032-driven-by-steady-industrial-demand-says-vyansa-intelligence--22082582.html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Gases Market (105.800 M USD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https://www.marketresearchfuture.com/de/reports/industrial-gases-market-6508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estadísticas (ventas y margen operativo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https://stockanalysis.com/stocks/lin/statistics/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Products: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https://stockanalysis.com/stocks/apd/statistics/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Nippon Sanso Holdings (TYO:4091):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https://stockanalysis.com/quote/tyo/4091/statistics/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 S.p.A. (BIT:SOL):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https://stockanalysis.com/quote/bit/SOL/statistics/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on the remuneration of the Company Officers (feb-2026)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https://www.airliquide.com/sites/airliquide.com/files/2026-03/afep-medef-remunerations-feb-2026-uk.pdf.pdf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Annual General Meeting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https://www.airliquide.com/sites/airliquide.com/files/2026-05/2026-annual-general-meeting-voting-results.pdf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Annual Report 2025: estructura del accionariado (33 % particulares, 54 % institucionales extranjeros, 13 % franceses)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https://airliquide.publispeak.com/integrated-annual-report-2025/article/18/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(EPA:AI) Stock Forecast &amp; Price Targets (estimaciones, recomendaciones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https://stockanalysis.com/quote/epa/AI/forecast/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consenso de MarketScreener (objetivo medio 197,72 EUR, 20 analistas, 1-sep-26), citado por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https://in.marketscreener.com/quote/stock/AIR-LIQUIDE-4605/valuation-dividend/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Products presentation to Airgas shareholders (tabla de transacciones precedentes)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Airgas / SEC (DEFA14A)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https://www.sec.gov/Archives/edgar/data/0000804212/000119312510205153/ddefa14a.htm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(EPA:AI) Statistics &amp; Valuation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https://stockanalysis.com/quote/epa/AI/statistics/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(AI.PA, ^FCHI, EXV7.DE), hasta 2026-10-14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https://query2.finance.yahoo.com/v8/finance/chart/AI.PA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(STO:ATCO.A):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https://stockanalysis.com/quote/sto/ATCO.A/statistics/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(14-oct-2026: USD 1,1195; JPY 177,39; SEK 11,158)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alemana, vencimiento residual de 10 años (3,51 % el 14-oct-26)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https://api.statistiken.bundesbank.de/rest/data/BBSIS/D.I.ZST.ZI.EUR.S1311.B.A604.R10XX.R.A.A._Z._Z.A?format=csv&amp;lastNObservations=5&amp;lang=en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Air Liquide: «Plan Beyond»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https://www.boursorama.com/bourse/forum/1rPAI/detail/468522951/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Air Liquide: «Journée investisseur»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https://www.boursorama.com/bourse/forum/1rPAI/detail/468522780/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Air Liquide: «Exposition significative d’Eliott»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https://www.boursorama.com/bourse/forum/1rPAI/detail/468528825/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Air Liquide: «Certains ont profité pour dégager…»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https://www.boursorama.com/bourse/forum/1rPAI/detail/468526749/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Air Liquide: «C'est le craque!» y «Pessimisme à quelques mois de la présidentielle»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https://www.boursorama.com/bourse/forum/1rPAI/detail/468538682/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canal de AIQUY (titulares y análisis, feb-oct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https://seekingalpha.com/api/sa/combined/AIQUY.xml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88,3 %</w:t>
      </w:r>
      <w:r>
        <w:t xml:space="preserve"> · Secciones con menos del 60 % de campos cubiertos: </w:t>
      </w:r>
      <w:r>
        <w:rPr>
          <w:b/>
          <w:bCs/>
        </w:rPr>
        <w:t xml:space="preserve">ninguna</w:t>
      </w:r>
      <w:r>
        <w:t xml:space="preserve"> · Generado el 14 oct 2026.</w:t>
      </w:r>
    </w:p>
    <w:p>
      <w:pPr>
        <w:pStyle w:val="Nota"/>
        <w:spacing w:after="100"/>
      </w:pPr>
      <w:r>
        <w:t xml:space="preserve">Análisis hecho desde la nube. Esta vez la red sí dejó descargar documentos: las cuentas de 2020-2024 salen del XBRL ESEF del regulador (filings.xbrl.org), las de 2025 del comunicado de resultados con estados completos y las del 1S26 del informe semestral, leídos enteros; el precio, los cierres anuales y la beta, de Yahoo Finance (bolsa.mjs); el consenso y los comparables, de Stock Analysis (14-oct-26). No se pudo abrir el documento de registro de 2025 (vencimientos de deuda, rating, derechos de voto, plan a largo plazo) ni MarketScreener. Cotiza solo en Euronext París, en EUR; NIIF-UE, cuenta por naturaleza (coste_ventas = compras). Precio: cierre del 14-oct-26 (170,34 EUR). BPA, DPA y acciones en acciones de hoy: los publicados se dividen entre 1,1 por cada atribución gratuita de 1 acción por 10 (jun-2022, jun-2024 y jun-2026). Segmentos solo de 2024-2025 (la empresa fusionó GM&amp;T e Ingeniería en 2025). El BPA del objetivo a 12 meses y el PER histórico están en base recurrente de la empresa (sin partidas no recurrentes). Ficha sectorial de gases en notas/ficha-sector-gases-industriales.md.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L'Air Liquide S.A. (AI)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170,34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(140,78 – 182,26)</c:v>
                </c:pt>
                <c:pt idx="1">
                  <c:v>Precio objetivo de los analistas (162,00 – 216,00)</c:v>
                </c:pt>
                <c:pt idx="2">
                  <c:v>Comparables: PER NTM (142,09 – 194,76)</c:v>
                </c:pt>
                <c:pt idx="3">
                  <c:v>Transacciones precedentes (EV/EBITDA) (105,15 – 125,13)</c:v>
                </c:pt>
                <c:pt idx="4">
                  <c:v>DCF (WACC y g ± 0,5) (93,47 – 144,87)</c:v>
                </c:pt>
                <c:pt idx="5">
                  <c:v>Escenarios (bajista – alcista) (82,75 – 128,56)</c:v>
                </c:pt>
                <c:pt idx="6">
                  <c:v>DCF con la prima implícita del mercado (4,2 %)</c:v>
                </c:pt>
                <c:pt idx="7">
                  <c:v>Precio actual (170,34)</c:v>
                </c:pt>
              </c:strCache>
            </c:strRef>
          </c:cat>
          <c:val>
            <c:numRef>
              <c:f>Hoja1!$B$2:$B$9</c:f>
              <c:numCache>
                <c:formatCode>#,##0</c:formatCode>
                <c:ptCount val="8"/>
                <c:pt idx="0">
                  <c:v>140.78</c:v>
                </c:pt>
                <c:pt idx="1">
                  <c:v>162</c:v>
                </c:pt>
                <c:pt idx="2">
                  <c:v>142.09</c:v>
                </c:pt>
                <c:pt idx="3">
                  <c:v>105.15</c:v>
                </c:pt>
                <c:pt idx="4">
                  <c:v>93.47</c:v>
                </c:pt>
                <c:pt idx="5">
                  <c:v>82.75</c:v>
                </c:pt>
                <c:pt idx="6">
                  <c:v>129.4</c:v>
                </c:pt>
                <c:pt idx="7">
                  <c:v>169.49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(140,78 – 182,26)</c:v>
                </c:pt>
                <c:pt idx="1">
                  <c:v>Precio objetivo de los analistas (162,00 – 216,00)</c:v>
                </c:pt>
                <c:pt idx="2">
                  <c:v>Comparables: PER NTM (142,09 – 194,76)</c:v>
                </c:pt>
                <c:pt idx="3">
                  <c:v>Transacciones precedentes (EV/EBITDA) (105,15 – 125,13)</c:v>
                </c:pt>
                <c:pt idx="4">
                  <c:v>DCF (WACC y g ± 0,5) (93,47 – 144,87)</c:v>
                </c:pt>
                <c:pt idx="5">
                  <c:v>Escenarios (bajista – alcista) (82,75 – 128,56)</c:v>
                </c:pt>
                <c:pt idx="6">
                  <c:v>DCF con la prima implícita del mercado (4,2 %)</c:v>
                </c:pt>
                <c:pt idx="7">
                  <c:v>Precio actual (170,34)</c:v>
                </c:pt>
              </c:strCache>
            </c:strRef>
          </c:cat>
          <c:val>
            <c:numRef>
              <c:f>Hoja1!$C$2:$C$9</c:f>
              <c:numCache>
                <c:formatCode>#,##0</c:formatCode>
                <c:ptCount val="8"/>
                <c:pt idx="0">
                  <c:v>41.47999999999999</c:v>
                </c:pt>
                <c:pt idx="1">
                  <c:v>54</c:v>
                </c:pt>
                <c:pt idx="2">
                  <c:v>52.66999999999999</c:v>
                </c:pt>
                <c:pt idx="3">
                  <c:v>19.97999999999999</c:v>
                </c:pt>
                <c:pt idx="4">
                  <c:v>51.400000000000006</c:v>
                </c:pt>
                <c:pt idx="5">
                  <c:v>45.81</c:v>
                </c:pt>
                <c:pt idx="6">
                  <c:v>46.00999999999999</c:v>
                </c:pt>
                <c:pt idx="7">
                  <c:v>1.6999999999999886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Gases y Servicios · Américas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10321</c:v>
                </c:pt>
                <c:pt idx="1">
                  <c:v>10351</c:v>
                </c:pt>
              </c:numCache>
            </c:numRef>
          </c:val>
        </c:ser>
        <c:ser>
          <c:idx val="1"/>
          <c:order val="1"/>
          <c:tx>
            <c:strRef>
              <c:f>Hoja1!$C$1</c:f>
              <c:strCache>
                <c:ptCount val="1"/>
                <c:pt idx="0">
                  <c:v>Gases y Servicios · EMEA</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10186</c:v>
                </c:pt>
                <c:pt idx="1">
                  <c:v>10616</c:v>
                </c:pt>
              </c:numCache>
            </c:numRef>
          </c:val>
        </c:ser>
        <c:ser>
          <c:idx val="2"/>
          <c:order val="2"/>
          <c:tx>
            <c:strRef>
              <c:f>Hoja1!$D$1</c:f>
              <c:strCache>
                <c:ptCount val="1"/>
                <c:pt idx="0">
                  <c:v>Gases y Servicios · Asia-Pacífico</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5303</c:v>
                </c:pt>
                <c:pt idx="1">
                  <c:v>5118</c:v>
                </c:pt>
              </c:numCache>
            </c:numRef>
          </c:val>
        </c:ser>
        <c:ser>
          <c:idx val="3"/>
          <c:order val="3"/>
          <c:tx>
            <c:strRef>
              <c:f>Hoja1!$E$1</c:f>
              <c:strCache>
                <c:ptCount val="1"/>
                <c:pt idx="0">
                  <c:v>Ingeniería y Tecnologías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1248</c:v>
                </c:pt>
                <c:pt idx="1">
                  <c:v>855</c:v>
                </c:pt>
              </c:numCache>
            </c:numRef>
          </c:val>
        </c:ser>
        <c:ser>
          <c:idx val="4"/>
          <c:order val="4"/>
          <c:tx>
            <c:strRef>
              <c:f>Hoja1!$F$1</c:f>
              <c:strCache>
                <c:ptCount val="1"/>
                <c:pt idx="0">
                  <c:v>Otros (I+D y holding)</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Gases y Servicios · Américas</c:v>
                </c:pt>
                <c:pt idx="1">
                  <c:v>Gases y Servicios · EMEA</c:v>
                </c:pt>
                <c:pt idx="2">
                  <c:v>Gases y Servicios · Asia-Pacífico</c:v>
                </c:pt>
                <c:pt idx="3">
                  <c:v>Ingeniería y Tecnologías</c:v>
                </c:pt>
                <c:pt idx="4">
                  <c:v>Otros (I+D y holding)</c:v>
                </c:pt>
              </c:strCache>
            </c:strRef>
          </c:cat>
          <c:val>
            <c:numRef>
              <c:f>Hoja1!$B$2:$B$6</c:f>
              <c:numCache>
                <c:formatCode>General</c:formatCode>
                <c:ptCount val="5"/>
                <c:pt idx="0">
                  <c:v>38.4</c:v>
                </c:pt>
                <c:pt idx="1">
                  <c:v>39.4</c:v>
                </c:pt>
                <c:pt idx="2">
                  <c:v>19</c:v>
                </c:pt>
                <c:pt idx="3">
                  <c:v>3.2</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Américas</c:v>
                </c:pt>
                <c:pt idx="1">
                  <c:v>Europa, Oriente Medio y África</c:v>
                </c:pt>
                <c:pt idx="2">
                  <c:v>Asia-Pacífico</c:v>
                </c:pt>
                <c:pt idx="3">
                  <c:v>Ingeniería (sin reparto geográfico)</c:v>
                </c:pt>
              </c:strCache>
            </c:strRef>
          </c:cat>
          <c:val>
            <c:numRef>
              <c:f>Hoja1!$B$2:$B$5</c:f>
              <c:numCache>
                <c:formatCode>0"%"</c:formatCode>
                <c:ptCount val="4"/>
                <c:pt idx="0">
                  <c:v>38.4</c:v>
                </c:pt>
                <c:pt idx="1">
                  <c:v>39.4</c:v>
                </c:pt>
                <c:pt idx="2">
                  <c:v>19</c:v>
                </c:pt>
                <c:pt idx="3">
                  <c:v>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2032e</c:v>
                </c:pt>
              </c:strCache>
            </c:strRef>
          </c:cat>
          <c:val>
            <c:numRef>
              <c:f>Hoja1!$B$2:$B$3</c:f>
              <c:numCache>
                <c:formatCode>#,##0</c:formatCode>
                <c:ptCount val="2"/>
                <c:pt idx="0">
                  <c:v>95760</c:v>
                </c:pt>
                <c:pt idx="1">
                  <c:v>134370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1</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Air Liquide</c:v>
                </c:pt>
                <c:pt idx="1">
                  <c:v>Linde</c:v>
                </c:pt>
                <c:pt idx="2">
                  <c:v>Air Products</c:v>
                </c:pt>
                <c:pt idx="3">
                  <c:v>Nippon Sanso</c:v>
                </c:pt>
                <c:pt idx="4">
                  <c:v>SOL</c:v>
                </c:pt>
                <c:pt idx="5">
                  <c:v>Messer</c:v>
                </c:pt>
              </c:strCache>
            </c:strRef>
          </c:cat>
          <c:val>
            <c:numRef>
              <c:f>Hoja1!$B$2:$B$7</c:f>
              <c:numCache>
                <c:formatCode>0.0"%"</c:formatCode>
                <c:ptCount val="6"/>
                <c:pt idx="0">
                  <c:v>20.7</c:v>
                </c:pt>
                <c:pt idx="1">
                  <c:v>28.2</c:v>
                </c:pt>
                <c:pt idx="2">
                  <c:v>24.7</c:v>
                </c:pt>
                <c:pt idx="3">
                  <c:v>14.3</c:v>
                </c:pt>
                <c:pt idx="4">
                  <c:v>15.1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2</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20485.2</c:v>
                </c:pt>
                <c:pt idx="1">
                  <c:v>23334.8</c:v>
                </c:pt>
                <c:pt idx="2">
                  <c:v>29934</c:v>
                </c:pt>
                <c:pt idx="3">
                  <c:v>27607.6</c:v>
                </c:pt>
                <c:pt idx="4">
                  <c:v>27057.8</c:v>
                </c:pt>
                <c:pt idx="5">
                  <c:v>26940.2</c:v>
                </c:pt>
                <c:pt idx="6">
                  <c:v>27748</c:v>
                </c:pt>
                <c:pt idx="7">
                  <c:v>29136</c:v>
                </c:pt>
                <c:pt idx="8">
                  <c:v>30593</c:v>
                </c:pt>
                <c:pt idx="9">
                  <c:v>31969</c:v>
                </c:pt>
                <c:pt idx="10">
                  <c:v>33408</c:v>
                </c:pt>
                <c:pt idx="11">
                  <c:v>34744</c:v>
                </c:pt>
                <c:pt idx="12">
                  <c:v>35960</c:v>
                </c:pt>
                <c:pt idx="13">
                  <c:v>37219</c:v>
                </c:pt>
                <c:pt idx="14">
                  <c:v>38335</c:v>
                </c:pt>
                <c:pt idx="15">
                  <c:v>39486</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5927.5</c:v>
                </c:pt>
                <c:pt idx="1">
                  <c:v>6332.8</c:v>
                </c:pt>
                <c:pt idx="2">
                  <c:v>7327.7</c:v>
                </c:pt>
                <c:pt idx="3">
                  <c:v>7550</c:v>
                </c:pt>
                <c:pt idx="4">
                  <c:v>7896.5</c:v>
                </c:pt>
                <c:pt idx="5">
                  <c:v>8145.099999999999</c:v>
                </c:pt>
                <c:pt idx="6">
                  <c:v>8436</c:v>
                </c:pt>
                <c:pt idx="7">
                  <c:v>9090</c:v>
                </c:pt>
                <c:pt idx="8">
                  <c:v>9698</c:v>
                </c:pt>
                <c:pt idx="9">
                  <c:v>10262</c:v>
                </c:pt>
                <c:pt idx="10">
                  <c:v>10824</c:v>
                </c:pt>
                <c:pt idx="11">
                  <c:v>11257</c:v>
                </c:pt>
                <c:pt idx="12">
                  <c:v>11651</c:v>
                </c:pt>
                <c:pt idx="13">
                  <c:v>12059</c:v>
                </c:pt>
                <c:pt idx="14">
                  <c:v>12421</c:v>
                </c:pt>
                <c:pt idx="15">
                  <c:v>12793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64.9</c:v>
                </c:pt>
                <c:pt idx="1">
                  <c:v>59.8</c:v>
                </c:pt>
                <c:pt idx="2">
                  <c:v>53.9</c:v>
                </c:pt>
                <c:pt idx="3">
                  <c:v>59.6</c:v>
                </c:pt>
                <c:pt idx="4">
                  <c:v>63</c:v>
                </c:pt>
                <c:pt idx="5">
                  <c:v>64.2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28.9</c:v>
                </c:pt>
                <c:pt idx="1">
                  <c:v>27.1</c:v>
                </c:pt>
                <c:pt idx="2">
                  <c:v>24.5</c:v>
                </c:pt>
                <c:pt idx="3">
                  <c:v>27.3</c:v>
                </c:pt>
                <c:pt idx="4">
                  <c:v>29.2</c:v>
                </c:pt>
                <c:pt idx="5">
                  <c:v>30.2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18.5</c:v>
                </c:pt>
                <c:pt idx="1">
                  <c:v>17.8</c:v>
                </c:pt>
                <c:pt idx="2">
                  <c:v>16.2</c:v>
                </c:pt>
                <c:pt idx="3">
                  <c:v>18.4</c:v>
                </c:pt>
                <c:pt idx="4">
                  <c:v>19.9</c:v>
                </c:pt>
                <c:pt idx="5">
                  <c:v>20.7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11.9</c:v>
                </c:pt>
                <c:pt idx="1">
                  <c:v>11</c:v>
                </c:pt>
                <c:pt idx="2">
                  <c:v>9.2</c:v>
                </c:pt>
                <c:pt idx="3">
                  <c:v>11.1</c:v>
                </c:pt>
                <c:pt idx="4">
                  <c:v>12.2</c:v>
                </c:pt>
                <c:pt idx="5">
                  <c:v>13.1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5.7</c:v>
                </c:pt>
                <c:pt idx="1">
                  <c:v>-0.5</c:v>
                </c:pt>
                <c:pt idx="2">
                  <c:v>-2.4</c:v>
                </c:pt>
                <c:pt idx="3">
                  <c:v>-4.3</c:v>
                </c:pt>
                <c:pt idx="4">
                  <c:v>-3.5</c:v>
                </c:pt>
                <c:pt idx="5">
                  <c:v>5.2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0">
                  <c:v>1.7</c:v>
                </c:pt>
                <c:pt idx="1">
                  <c:v>1.9</c:v>
                </c:pt>
                <c:pt idx="2">
                  <c:v>1.9</c:v>
                </c:pt>
                <c:pt idx="3">
                  <c:v>2.5</c:v>
                </c:pt>
                <c:pt idx="4">
                  <c:v>1.9</c:v>
                </c:pt>
                <c:pt idx="5">
                  <c:v>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39</c:v>
                </c:pt>
                <c:pt idx="1">
                  <c:v>42</c:v>
                </c:pt>
                <c:pt idx="2">
                  <c:v>37</c:v>
                </c:pt>
                <c:pt idx="3">
                  <c:v>40</c:v>
                </c:pt>
                <c:pt idx="4">
                  <c:v>40</c:v>
                </c:pt>
                <c:pt idx="5">
                  <c:v>39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35</c:v>
                </c:pt>
                <c:pt idx="1">
                  <c:v>34</c:v>
                </c:pt>
                <c:pt idx="2">
                  <c:v>32</c:v>
                </c:pt>
                <c:pt idx="3">
                  <c:v>37</c:v>
                </c:pt>
                <c:pt idx="4">
                  <c:v>42</c:v>
                </c:pt>
                <c:pt idx="5">
                  <c:v>41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61</c:v>
                </c:pt>
                <c:pt idx="1">
                  <c:v>72</c:v>
                </c:pt>
                <c:pt idx="2">
                  <c:v>61</c:v>
                </c:pt>
                <c:pt idx="3">
                  <c:v>60</c:v>
                </c:pt>
                <c:pt idx="4">
                  <c:v>63</c:v>
                </c:pt>
                <c:pt idx="5">
                  <c:v>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2038.6000000000001</c:v>
                </c:pt>
                <c:pt idx="1">
                  <c:v>2174.5999999999995</c:v>
                </c:pt>
                <c:pt idx="2">
                  <c:v>2018.4000000000003</c:v>
                </c:pt>
                <c:pt idx="3">
                  <c:v>2367.2</c:v>
                </c:pt>
                <c:pt idx="4">
                  <c:v>2294.5</c:v>
                </c:pt>
                <c:pt idx="5">
                  <c:v>2214.2999999999997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2435.1</c:v>
                </c:pt>
                <c:pt idx="1">
                  <c:v>2572.2</c:v>
                </c:pt>
                <c:pt idx="2">
                  <c:v>2758.8</c:v>
                </c:pt>
                <c:pt idx="3">
                  <c:v>3078</c:v>
                </c:pt>
                <c:pt idx="4">
                  <c:v>3306.1</c:v>
                </c:pt>
                <c:pt idx="5">
                  <c:v>3517.9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9.7</c:v>
                </c:pt>
                <c:pt idx="1">
                  <c:v>9.6</c:v>
                </c:pt>
                <c:pt idx="2">
                  <c:v>10.4</c:v>
                </c:pt>
                <c:pt idx="3">
                  <c:v>10.8</c:v>
                </c:pt>
                <c:pt idx="4">
                  <c:v>11.1</c:v>
                </c:pt>
                <c:pt idx="5">
                  <c:v>11.2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7.5</c:v>
                </c:pt>
                <c:pt idx="1">
                  <c:v>7.5</c:v>
                </c:pt>
                <c:pt idx="2">
                  <c:v>7.5</c:v>
                </c:pt>
                <c:pt idx="3">
                  <c:v>7.5</c:v>
                </c:pt>
                <c:pt idx="4">
                  <c:v>7.5</c:v>
                </c:pt>
                <c:pt idx="5">
                  <c:v>7.5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13.1</c:v>
                </c:pt>
                <c:pt idx="1">
                  <c:v>12.9</c:v>
                </c:pt>
                <c:pt idx="2">
                  <c:v>12.2</c:v>
                </c:pt>
                <c:pt idx="3">
                  <c:v>12.8</c:v>
                </c:pt>
                <c:pt idx="4">
                  <c:v>12.9</c:v>
                </c:pt>
                <c:pt idx="5">
                  <c:v>13.3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1.99</c:v>
                </c:pt>
                <c:pt idx="1">
                  <c:v>1.85</c:v>
                </c:pt>
                <c:pt idx="2">
                  <c:v>1.57</c:v>
                </c:pt>
                <c:pt idx="3">
                  <c:v>1.39</c:v>
                </c:pt>
                <c:pt idx="4">
                  <c:v>1.33</c:v>
                </c:pt>
                <c:pt idx="5">
                  <c:v>1.19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129.1</c:v>
                </c:pt>
                <c:pt idx="1">
                  <c:v>659.8</c:v>
                </c:pt>
                <c:pt idx="2">
                  <c:v>135.8</c:v>
                </c:pt>
                <c:pt idx="3">
                  <c:v>103</c:v>
                </c:pt>
                <c:pt idx="4">
                  <c:v>269</c:v>
                </c:pt>
                <c:pt idx="5">
                  <c:v>254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1307.9</c:v>
                </c:pt>
                <c:pt idx="1">
                  <c:v>1334.8</c:v>
                </c:pt>
                <c:pt idx="2">
                  <c:v>1410.5</c:v>
                </c:pt>
                <c:pt idx="3">
                  <c:v>1581.2</c:v>
                </c:pt>
                <c:pt idx="4">
                  <c:v>1718.1</c:v>
                </c:pt>
                <c:pt idx="5">
                  <c:v>1955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49.9</c:v>
                </c:pt>
                <c:pt idx="1">
                  <c:v>40.1</c:v>
                </c:pt>
                <c:pt idx="2">
                  <c:v>191.5</c:v>
                </c:pt>
                <c:pt idx="3">
                  <c:v>81.9</c:v>
                </c:pt>
                <c:pt idx="4">
                  <c:v>230.8</c:v>
                </c:pt>
                <c:pt idx="5">
                  <c:v>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4</c:v>
                </c:pt>
                <c:pt idx="1">
                  <c:v>1</c:v>
                </c:pt>
                <c:pt idx="2">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Accionistas individuales (≈970.000)</c:v>
                </c:pt>
                <c:pt idx="1">
                  <c:v>Inversores institucionales extranjeros</c:v>
                </c:pt>
                <c:pt idx="2">
                  <c:v>Inversores institucionales franceses</c:v>
                </c:pt>
              </c:strCache>
            </c:strRef>
          </c:cat>
          <c:val>
            <c:numRef>
              <c:f>Hoja1!$B$2:$B$4</c:f>
              <c:numCache>
                <c:formatCode>0.0"%"</c:formatCode>
                <c:ptCount val="3"/>
                <c:pt idx="0">
                  <c:v>33</c:v>
                </c:pt>
                <c:pt idx="1">
                  <c:v>54</c:v>
                </c:pt>
                <c:pt idx="2">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9.4</c:v>
                </c:pt>
                <c:pt idx="2">
                  <c:v>3.2</c:v>
                </c:pt>
                <c:pt idx="3">
                  <c:v>28</c:v>
                </c:pt>
                <c:pt idx="4">
                  <c:v>6.4</c:v>
                </c:pt>
                <c:pt idx="5">
                  <c:v>14.2</c:v>
                </c:pt>
                <c:pt idx="6">
                  <c:v>-5</c:v>
                </c:pt>
                <c:pt idx="7">
                  <c:v>33</c:v>
                </c:pt>
                <c:pt idx="8">
                  <c:v>-2</c:v>
                </c:pt>
                <c:pt idx="9">
                  <c:v>2.1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12.8</c:v>
                </c:pt>
                <c:pt idx="1">
                  <c:v>13.4</c:v>
                </c:pt>
                <c:pt idx="2">
                  <c:v>11.1</c:v>
                </c:pt>
                <c:pt idx="3">
                  <c:v>13.7</c:v>
                </c:pt>
                <c:pt idx="4">
                  <c:v>12.9</c:v>
                </c:pt>
                <c:pt idx="5">
                  <c:v>12.6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12.9</c:v>
                </c:pt>
                <c:pt idx="1">
                  <c:v>12.9</c:v>
                </c:pt>
                <c:pt idx="2">
                  <c:v>12.9</c:v>
                </c:pt>
                <c:pt idx="3">
                  <c:v>12.9</c:v>
                </c:pt>
                <c:pt idx="4">
                  <c:v>12.9</c:v>
                </c:pt>
                <c:pt idx="5">
                  <c:v>12.9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DIG Airgas (Corea del Sur)</c:v>
                </c:pt>
                <c:pt idx="1">
                  <c:v>Airgas</c:v>
                </c:pt>
                <c:pt idx="2">
                  <c:v>Negocio de gases de BOC (EE. UU.)</c:v>
                </c:pt>
                <c:pt idx="3">
                  <c:v>BOC Group</c:v>
                </c:pt>
                <c:pt idx="4">
                  <c:v>Messer Griesheim (parte)</c:v>
                </c:pt>
              </c:strCache>
            </c:strRef>
          </c:cat>
          <c:val>
            <c:numRef>
              <c:f>Hoja1!$B$2:$B$6</c:f>
              <c:numCache>
                <c:formatCode>0.0"x"</c:formatCode>
                <c:ptCount val="5"/>
                <c:pt idx="1">
                  <c:v>13.4</c:v>
                </c:pt>
                <c:pt idx="2">
                  <c:v>9.7</c:v>
                </c:pt>
                <c:pt idx="3">
                  <c:v>10.9</c:v>
                </c:pt>
                <c:pt idx="4">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1996</c:v>
                </c:pt>
                <c:pt idx="1">
                  <c:v>3084</c:v>
                </c:pt>
                <c:pt idx="2">
                  <c:v>3360</c:v>
                </c:pt>
                <c:pt idx="3">
                  <c:v>3622</c:v>
                </c:pt>
                <c:pt idx="4">
                  <c:v>4034</c:v>
                </c:pt>
                <c:pt idx="5">
                  <c:v>4396</c:v>
                </c:pt>
                <c:pt idx="6">
                  <c:v>4748</c:v>
                </c:pt>
                <c:pt idx="7">
                  <c:v>5100</c:v>
                </c:pt>
                <c:pt idx="8">
                  <c:v>5465</c:v>
                </c:pt>
                <c:pt idx="9">
                  <c:v>5826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27985</c:v>
                </c:pt>
                <c:pt idx="1">
                  <c:v>61108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170,34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82.75</c:v>
                </c:pt>
                <c:pt idx="1">
                  <c:v>114.1</c:v>
                </c:pt>
                <c:pt idx="2">
                  <c:v>128.56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170,34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(140,78 – 182,26)</c:v>
                </c:pt>
                <c:pt idx="1">
                  <c:v>Precio objetivo de los analistas (162,00 – 216,00)</c:v>
                </c:pt>
                <c:pt idx="2">
                  <c:v>Comparables: PER NTM (142,09 – 194,76)</c:v>
                </c:pt>
                <c:pt idx="3">
                  <c:v>Transacciones precedentes (EV/EBITDA) (105,15 – 125,13)</c:v>
                </c:pt>
                <c:pt idx="4">
                  <c:v>DCF (WACC y g ± 0,5) (93,47 – 144,87)</c:v>
                </c:pt>
                <c:pt idx="5">
                  <c:v>Escenarios (bajista – alcista) (82,75 – 128,56)</c:v>
                </c:pt>
                <c:pt idx="6">
                  <c:v>DCF con la prima implícita del mercado (4,2 %)</c:v>
                </c:pt>
                <c:pt idx="7">
                  <c:v>Precio actual (170,34)</c:v>
                </c:pt>
              </c:strCache>
            </c:strRef>
          </c:cat>
          <c:val>
            <c:numRef>
              <c:f>Hoja1!$B$2:$B$9</c:f>
              <c:numCache>
                <c:formatCode>#,##0</c:formatCode>
                <c:ptCount val="8"/>
                <c:pt idx="0">
                  <c:v>140.78</c:v>
                </c:pt>
                <c:pt idx="1">
                  <c:v>162</c:v>
                </c:pt>
                <c:pt idx="2">
                  <c:v>142.09</c:v>
                </c:pt>
                <c:pt idx="3">
                  <c:v>105.15</c:v>
                </c:pt>
                <c:pt idx="4">
                  <c:v>93.47</c:v>
                </c:pt>
                <c:pt idx="5">
                  <c:v>82.75</c:v>
                </c:pt>
                <c:pt idx="6">
                  <c:v>129.4</c:v>
                </c:pt>
                <c:pt idx="7">
                  <c:v>169.49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(140,78 – 182,26)</c:v>
                </c:pt>
                <c:pt idx="1">
                  <c:v>Precio objetivo de los analistas (162,00 – 216,00)</c:v>
                </c:pt>
                <c:pt idx="2">
                  <c:v>Comparables: PER NTM (142,09 – 194,76)</c:v>
                </c:pt>
                <c:pt idx="3">
                  <c:v>Transacciones precedentes (EV/EBITDA) (105,15 – 125,13)</c:v>
                </c:pt>
                <c:pt idx="4">
                  <c:v>DCF (WACC y g ± 0,5) (93,47 – 144,87)</c:v>
                </c:pt>
                <c:pt idx="5">
                  <c:v>Escenarios (bajista – alcista) (82,75 – 128,56)</c:v>
                </c:pt>
                <c:pt idx="6">
                  <c:v>DCF con la prima implícita del mercado (4,2 %)</c:v>
                </c:pt>
                <c:pt idx="7">
                  <c:v>Precio actual (170,34)</c:v>
                </c:pt>
              </c:strCache>
            </c:strRef>
          </c:cat>
          <c:val>
            <c:numRef>
              <c:f>Hoja1!$C$2:$C$9</c:f>
              <c:numCache>
                <c:formatCode>#,##0</c:formatCode>
                <c:ptCount val="8"/>
                <c:pt idx="0">
                  <c:v>41.47999999999999</c:v>
                </c:pt>
                <c:pt idx="1">
                  <c:v>54</c:v>
                </c:pt>
                <c:pt idx="2">
                  <c:v>52.66999999999999</c:v>
                </c:pt>
                <c:pt idx="3">
                  <c:v>19.97999999999999</c:v>
                </c:pt>
                <c:pt idx="4">
                  <c:v>51.400000000000006</c:v>
                </c:pt>
                <c:pt idx="5">
                  <c:v>45.81</c:v>
                </c:pt>
                <c:pt idx="6">
                  <c:v>46.00999999999999</c:v>
                </c:pt>
                <c:pt idx="7">
                  <c:v>1.6999999999999886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