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Alcon Inc.</w:t>
      </w:r>
    </w:p>
    <w:p>
      <w:pPr>
        <w:spacing w:after="60"/>
        <w:rPr>
          <w:color w:val="52514E"/>
          <w:sz w:val="22"/>
          <w:szCs w:val="22"/>
        </w:rPr>
      </w:pPr>
      <w:r>
        <w:rPr>
          <w:color w:val="52514E"/>
          <w:sz w:val="22"/>
          <w:szCs w:val="22"/>
        </w:rPr>
        <w:t xml:space="preserve">ALC · SIX Swiss Exchange (y NYSE en USD) · ISIN CH0432492467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64,75 USD (52,34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81,60 USD (65,97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+26,5 % (base +21,6 %)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69,63 USD (56,29 CHF) · mercado 78,20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31.792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Alcon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 / CH0432492467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(y NYSE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Ginebra (Suiza); operaciones en Fort Worth (EE. UU.) · 1945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www.alcon.com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64,75 (30 sep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31.792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35.175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81,60 USD (65,97 CHF)</w:t>
      </w:r>
      <w:r>
        <w:t xml:space="preserve"> frente a 64,75 (52,34 CHF) · Rentabilidad a 12 meses </w:t>
      </w:r>
      <w:r>
        <w:rPr>
          <w:b/>
          <w:bCs/>
        </w:rPr>
        <w:t xml:space="preserve">+26,5 % (base +21,6 %)</w:t>
      </w:r>
      <w:r>
        <w:t xml:space="preserve"> · Valor intrínseco 69,63 USD (56,29 CHF) · con la prima implícita del mercado: 78,20 (63,22 CHF) (+20,8 %) · Alcista / bajista +11,2 % / -16,0 %</w:t>
      </w:r>
    </w:p>
    <w:p>
      <w:pPr>
        <w:spacing w:after="100"/>
      </w:pPr>
      <w:r>
        <w:rPr>
          <w:b/>
        </w:rPr>
        <w:t xml:space="preserve">La recomendación y por qué.</w:t>
      </w:r>
      <w:r>
        <w:t xml:space="preserve"> Mantener, con convicción baja. Con nuestro BPA core y la regla de múltiplos v3, el objetivo a 12 meses es de 89,84 USD (72,63 CHF) frente a 64,75 USD (52,34 CHF) del último cierre fechado (30-sep-2026): +39,3 % ponderado y +36,7 % en el base, por encima del objetivo medio de los analistas (85,24 USD) [29, 33]. La regla dice Comprar, pero no la seguimos: los datos de núcleo tienen confianza baja (sin el 20-F completo ni el cierre de octubre), el valor intrínseco (69,63 USD) apenas supera el precio (+7,5 %) y la calidad no pasa el filtro (ROIC del 4,6 % frente a un WACC del 9,08 %). La convicción es baja porque las dos reglas del valor intrínseco discrepan (absoluta Mantener, relativa Comprar) y porque la tesis es de múltiplo; subiría si el 3T26 (10-nov) confirma la guía con un precio por debajo de 69,63 USD.</w:t>
      </w:r>
    </w:p>
    <w:p>
      <w:pPr>
        <w:spacing w:after="100"/>
      </w:pPr>
      <w:r>
        <w:rPr>
          <w:b/>
        </w:rPr>
        <w:t xml:space="preserve">El negocio.</w:t>
      </w:r>
      <w:r>
        <w:t xml:space="preserve"> Alcon es el n.º 1 mundial en cirugía oftalmológica y en lentes de contacto, con unos 10.400 M USD de ingresos, tres cuartas partes recurrentes, y un margen EBITDA del 25,7 % [2, 3]. El foso es amplio (base instalada de equipos, marcas, aprobaciones), pero el ROIC contable (4,6 %) queda por debajo del WACC por los 17.500 M de fondo de comercio e intangibles de la escisión de Novartis; el ROIC incremental (22,1 %) muestra que crecer cuesta poco capital. Sostenibilidad: «En parte». Las pruebas pasan (reinversión casi nula, cuota final del 27,4 % frente al 28,0 % actual), pero el poder de precios solo está probado en lentes y consumibles: los implantables crecieron un 0,4 % en 2025 [2].</w:t>
      </w:r>
    </w:p>
    <w:p>
      <w:pPr>
        <w:spacing w:after="100"/>
      </w:pPr>
      <w:r>
        <w:rPr>
          <w:b/>
        </w:rPr>
        <w:t xml:space="preserve">Finanzas.</w:t>
      </w:r>
      <w:r>
        <w:t xml:space="preserve"> Ventas de 8.291 a 10.401 M entre 2021 y 2025 y flujo libre de 581 a 1.733 M, con el capex del 8 % al 5 % de las ventas [12]. La deuda neta es de 3.382 M, 1,3 veces el EBITDA. El BPA core quedó plano en 2025 (3,07 USD) y sube un 13 % en el primer semestre de 2026, con la guía elevada dos veces a +12-15 % [1]. El cargo de PowerVision (≈287 M después de impuestos) dejó el BPA publicado del 2T26 en cero.</w:t>
      </w:r>
    </w:p>
    <w:p>
      <w:pPr>
        <w:spacing w:after="100"/>
      </w:pPr>
      <w:r>
        <w:rPr>
          <w:b/>
        </w:rPr>
        <w:t xml:space="preserve">Equipo y gobierno.</w:t>
      </w:r>
      <w:r>
        <w:t xml:space="preserve"> Mismo consejero delegado y presidente desde 2019, capital disperso y una acción, un voto. Resta la asignación de capital en compras: PowerVision terminó en deterioro y STAAR y LENSAR fracasaron en 2026 [20, 21]. Suma la recompra de 1.500 M en tres años [17].</w:t>
      </w:r>
    </w:p>
    <w:p>
      <w:pPr>
        <w:spacing w:after="100"/>
      </w:pPr>
      <w:r>
        <w:rPr>
          <w:b/>
        </w:rPr>
        <w:t xml:space="preserve">Valoración.</w:t>
      </w:r>
      <w:r>
        <w:t xml:space="preserve"> El DCF da 65,37 USD con un WACC del 9,08 %; el DCF inverso dice que el precio descuenta un 4,3 % de crecimiento anual, por debajo del 4,5 % de nuestro base y del 5,0 % previsto para su mercado. Con la prima implícita del mercado, el valor sube a 78,20 USD. Lo barato es el múltiplo: 16,7 veces nuestro BPA de 2027e, frente a una mediana de 25,6 veces en 2020-2025 y 21,3 en los comparables. Nuestro BPA coincide con el consenso (3,87 USD en 2027e) [32].</w:t>
      </w:r>
    </w:p>
    <w:p>
      <w:pPr>
        <w:spacing w:after="100"/>
      </w:pPr>
      <w:r>
        <w:rPr>
          <w:b/>
        </w:rPr>
        <w:t xml:space="preserve">Riesgos y catalizadores.</w:t>
      </w:r>
      <w:r>
        <w:t xml:space="preserve"> El riesgo principal es la pérdida de cuota en lentes intraoculares avanzadas frente a J&amp;J y RxSight: el escenario bajista del DCF resta un 16 % y el bajista a 12 meses (64,85 USD) deja la acción plana. Le siguen el mercado de cataratas flojo y los aranceles. Los foros comparten ese miedo y el tono empeora: la acción cayó un 10 % en septiembre pese a la guía. Catalizadores: el 3T26 (10-nov) y la guía de 2027 (febrero).</w:t>
      </w:r>
    </w:p>
    <w:p>
      <w:pPr>
        <w:spacing w:after="100"/>
      </w:pPr>
      <w:r>
        <w:rPr>
          <w:b/>
        </w:rPr>
        <w:t xml:space="preserve">Qué cambiaría la decisión.</w:t>
      </w:r>
      <w:r>
        <w:t xml:space="preserve"> Compraríamos por debajo de 69,63 USD (56,29 CHF) con el precio, las acciones y la deuda confirmados con fuente primaria; venderíamos por encima de 100,20 USD (81,00 CHF). Bajaríamos el objetivo si los implantables caen dos trimestres seguidos o si la guía de margen de 2027 no supera la de 2026.</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81,60 USD (65,97 CHF)</w:t>
      </w:r>
      <w:r>
        <w:t xml:space="preserve"> (rentabilidad +26,5 % (base +21,6 %)) · Valor intrínseco: 69,63 USD (56,29 CHF) (+7,5 % sobre 64,75) · con la prima implícita del mercado: 78,20 (63,22 CHF) (+20,8 %)</w:t>
      </w:r>
    </w:p>
    <w:p>
      <w:pPr>
        <w:spacing w:after="100"/>
      </w:pPr>
      <w:r>
        <w:t xml:space="preserve">Alcon es el mayor fabricante de productos para el ojo: lentes intraoculares, consumibles y equipos de quirófano, lentes de contacto y colirios, con unos 10.400 M USD de ingresos en 2025, tres cuartas partes recurrentes, y un flujo libre de 1.733 M [2]. Crece con el envejecimiento y la miopía, en un mercado de unos 37.000 M que la empresa ve crecer a un dígito medio [3].</w:t>
      </w:r>
    </w:p>
    <w:p>
      <w:pPr>
        <w:spacing w:after="100"/>
      </w:pPr>
      <w:r>
        <w:t xml:space="preserve">El precio descuenta un crecimiento del 4,3 % anual con nuestros márgenes y una rentabilidad del 9,1 %, igual que nuestro WACC: el DCF (65,37 USD) dice que está bien valorada. Pero cotiza a 16,7 veces nuestro BPA core de 2027e, el múltiplo más bajo desde la escisión, frente a 25,6 veces de mediana y 21,3 de los comparables.</w:t>
      </w:r>
    </w:p>
    <w:p>
      <w:pPr>
        <w:spacing w:after="100"/>
      </w:pPr>
      <w:r>
        <w:t xml:space="preserve">Para invertir hay que creer que los implantables dejan de perder terreno y que el BPA crece un 11-12 % anual con la recompra, como dice la guía; entonces el múltiplo se recupera. Si los implantables siguen planos, el múltiplo bajo está justificado.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 USD (65,97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3,93 = 57,77 · 18,4x × 4,26 = 78,38 · 24,8x × 4,51 = 111,85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 /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85,24 (nuestro base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69,63 USD (56,29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(CHF al tipo de 1,2370 USD por CHF)</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64,75 USD (52,34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9,1 %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78,20 USD (63,22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69,63 (56,29 CHF)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69,63 y 91,04 (56,29 y 73,60 CHF)</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91,04 (73,60 CHF)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+39,3 %, base +36,7 % y valor intrínseco de 69,63 USD por encima del precio de 64,75), pero nos apartamos por tres razones que la valoración no recoge. Primera, la confianza de los datos de núcleo es baja: el precio es el último cierre fechado que encontramos (30-sep), las acciones son estimación propia y el balance sale de agregadores, no del 20-F leído (decisión del usuario: confianza baja no compra). Segunda, el valor intrínseco solo supera al precio en un 7,5 % y la regla absoluta da Mantener: la compra depende de que el múltiplo se recupere, no del valor. Tercera, la calidad no pasa nuestro filtro: ROIC del 4,6 % frente a un WACC del 9,08 %. Pasaría a Comprar si se confirma con fuente primaria un precio por debajo de 69,63 USD y las acciones y la deuda a septiembre, y si el 3T26 confirma la guía.</w:t>
      </w:r>
    </w:p>
    <w:p>
      <w:pPr>
        <w:pStyle w:val="Heading2"/>
      </w:pPr>
      <w:r>
        <w:t xml:space="preserve">Qué cambiaría la recomendación</w:t>
      </w:r>
    </w:p>
    <w:p>
      <w:pPr>
        <w:pStyle w:val="ListParagraph"/>
        <w:numPr>
          <w:ilvl w:val="0"/>
          <w:numId w:val="2"/>
        </w:numPr>
        <w:spacing w:after="60"/>
      </w:pPr>
      <w:r>
        <w:t xml:space="preserve">Con el precio, las acciones y la deuda confirmados con fuente primaria y el precio por debajo de 69,63 USD, pasaríamos a Comprar.</w:t>
      </w:r>
    </w:p>
    <w:p>
      <w:pPr>
        <w:pStyle w:val="ListParagraph"/>
        <w:numPr>
          <w:ilvl w:val="0"/>
          <w:numId w:val="2"/>
        </w:numPr>
        <w:spacing w:after="60"/>
      </w:pPr>
      <w:r>
        <w:t xml:space="preserve">Si el 3T26 (10-nov) rebaja la guía de BPA core por debajo del +12 %, bajaríamos el objetivo.</w:t>
      </w:r>
    </w:p>
    <w:p>
      <w:pPr>
        <w:pStyle w:val="ListParagraph"/>
        <w:numPr>
          <w:ilvl w:val="0"/>
          <w:numId w:val="2"/>
        </w:numPr>
        <w:spacing w:after="60"/>
      </w:pPr>
      <w:r>
        <w:t xml:space="preserve">Si los implantables caen dos trimestres seguidos, rebajaríamos el escenario base.</w:t>
      </w:r>
    </w:p>
    <w:p>
      <w:pPr>
        <w:pStyle w:val="ListParagraph"/>
        <w:numPr>
          <w:ilvl w:val="0"/>
          <w:numId w:val="2"/>
        </w:numPr>
        <w:spacing w:after="60"/>
      </w:pPr>
      <w:r>
        <w:t xml:space="preserve">Por encima de 100,20 USD (81,00 CHF),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Alcon ha perdido su motor de crecimiento en cirugía: implantables planos, PowerVision abandonada y compras frustradas. El precio pide un 4,3 % de crecimiento anual y paga 16,7 veces el beneficio core de 2027e.</w:t>
      </w:r>
    </w:p>
    <w:p>
      <w:pPr>
        <w:keepNext/>
        <w:spacing w:after="100"/>
      </w:pPr>
      <w:r>
        <w:rPr>
          <w:b/>
          <w:bCs/>
        </w:rPr>
        <w:t xml:space="preserve">Lo que creemos nosotros.</w:t>
      </w:r>
    </w:p>
    <w:p>
      <w:pPr>
        <w:spacing w:after="100"/>
      </w:pPr>
      <w:r>
        <w:t xml:space="preserve">El BPA core crecerá un 11-12 % anual hasta 2028 (4,26 USD en 2028e) con ventas al 6-7 %, margen al alza y recompras; nuestro BPA coincide con el consenso. El múltiplo debería recuperar parte del terreno perdido si se cumple la guía.</w:t>
      </w:r>
    </w:p>
    <w:p>
      <w:pPr>
        <w:keepNext/>
        <w:spacing w:after="100"/>
      </w:pPr>
      <w:r>
        <w:rPr>
          <w:b/>
          <w:bCs/>
        </w:rPr>
        <w:t xml:space="preserve">Por qué podemos tener razón.</w:t>
      </w:r>
    </w:p>
    <w:p>
      <w:pPr>
        <w:spacing w:after="100"/>
      </w:pPr>
      <w:r>
        <w:t xml:space="preserve">La guía de 2026 se ha subido dos veces y el BPA del primer semestre creció un 13 %. Pero nuestra visión no es distinta de la del consenso en beneficios; solo en el múltiplo. Con datos de confianza baja, no basta para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 en mínimos</w:t>
      </w:r>
      <w:r>
        <w:t xml:space="preserve">: 16,7 veces el BPA core de 2027e frente a 25,6 de mediana histórica.</w:t>
      </w:r>
    </w:p>
    <w:p>
      <w:pPr>
        <w:pStyle w:val="ListParagraph"/>
        <w:numPr>
          <w:ilvl w:val="0"/>
          <w:numId w:val="2"/>
        </w:numPr>
        <w:spacing w:after="60"/>
      </w:pPr>
      <w:r>
        <w:rPr>
          <w:b/>
        </w:rPr>
        <w:t xml:space="preserve">Guía al alza</w:t>
      </w:r>
      <w:r>
        <w:t xml:space="preserve">: BPA core de 2026 entre +12 % y +15 % a tipo constante, subida dos veces.</w:t>
      </w:r>
    </w:p>
    <w:p>
      <w:pPr>
        <w:pStyle w:val="ListParagraph"/>
        <w:numPr>
          <w:ilvl w:val="0"/>
          <w:numId w:val="2"/>
        </w:numPr>
        <w:spacing w:after="60"/>
      </w:pPr>
      <w:r>
        <w:rPr>
          <w:b/>
        </w:rPr>
        <w:t xml:space="preserve">Flujo libre creciente</w:t>
      </w:r>
      <w:r>
        <w:t xml:space="preserve">: de 581 M en 2022 a 1.733 M en 2025.</w:t>
      </w:r>
    </w:p>
    <w:p>
      <w:pPr>
        <w:pStyle w:val="ListParagraph"/>
        <w:numPr>
          <w:ilvl w:val="0"/>
          <w:numId w:val="2"/>
        </w:numPr>
        <w:spacing w:after="60"/>
      </w:pPr>
      <w:r>
        <w:rPr>
          <w:b/>
        </w:rPr>
        <w:t xml:space="preserve">Recompra de 1.500 M</w:t>
      </w:r>
      <w:r>
        <w:t xml:space="preserve"> en tres años, ≈5 % del capital.</w:t>
      </w:r>
    </w:p>
    <w:p>
      <w:pPr>
        <w:pStyle w:val="Heading2"/>
      </w:pPr>
      <w:r>
        <w:t xml:space="preserve">En contra</w:t>
      </w:r>
    </w:p>
    <w:p>
      <w:pPr>
        <w:pStyle w:val="ListParagraph"/>
        <w:numPr>
          <w:ilvl w:val="0"/>
          <w:numId w:val="2"/>
        </w:numPr>
        <w:spacing w:after="60"/>
      </w:pPr>
      <w:r>
        <w:rPr>
          <w:b/>
        </w:rPr>
        <w:t xml:space="preserve">ROIC del 4,6 %</w:t>
      </w:r>
      <w:r>
        <w:t xml:space="preserve">, por debajo del WACC del 9,08 %.</w:t>
      </w:r>
    </w:p>
    <w:p>
      <w:pPr>
        <w:pStyle w:val="ListParagraph"/>
        <w:numPr>
          <w:ilvl w:val="0"/>
          <w:numId w:val="2"/>
        </w:numPr>
        <w:spacing w:after="60"/>
      </w:pPr>
      <w:r>
        <w:rPr>
          <w:b/>
        </w:rPr>
        <w:t xml:space="preserve">Implantables planos</w:t>
      </w:r>
      <w:r>
        <w:t xml:space="preserve"> en 2025 (+0,4 %) frente a J&amp;J y RxSight.</w:t>
      </w:r>
    </w:p>
    <w:p>
      <w:pPr>
        <w:pStyle w:val="ListParagraph"/>
        <w:numPr>
          <w:ilvl w:val="0"/>
          <w:numId w:val="2"/>
        </w:numPr>
        <w:spacing w:after="60"/>
      </w:pPr>
      <w:r>
        <w:rPr>
          <w:b/>
        </w:rPr>
        <w:t xml:space="preserve">Compras fallidas</w:t>
      </w:r>
      <w:r>
        <w:t xml:space="preserve">: PowerVision (≈402 M de cargo), STAAR y LENSAR.</w:t>
      </w:r>
    </w:p>
    <w:p>
      <w:pPr>
        <w:pStyle w:val="ListParagraph"/>
        <w:numPr>
          <w:ilvl w:val="0"/>
          <w:numId w:val="2"/>
        </w:numPr>
        <w:spacing w:after="60"/>
      </w:pPr>
      <w:r>
        <w:rPr>
          <w:b/>
        </w:rPr>
        <w:t xml:space="preserve">Valor intrínseco justo</w:t>
      </w:r>
      <w:r>
        <w:t xml:space="preserve">: 69,63 USD, solo un 7,5 % sobre el precio.</w:t>
      </w:r>
    </w:p>
    <w:p>
      <w:pPr>
        <w:pStyle w:val="ListParagraph"/>
        <w:numPr>
          <w:ilvl w:val="0"/>
          <w:numId w:val="2"/>
        </w:numPr>
        <w:spacing w:after="60"/>
      </w:pPr>
      <w:r>
        <w:rPr>
          <w:b/>
        </w:rPr>
        <w:t xml:space="preserve">Datos de confianza baja</w:t>
      </w:r>
      <w:r>
        <w:t xml:space="preserve">: precio del 30-sep y acciones estimadas.</w:t>
      </w:r>
    </w:p>
    <w:p>
      <w:pPr>
        <w:pStyle w:val="Heading2"/>
      </w:pPr>
      <w:r>
        <w:t xml:space="preserve">Qué tiene que pasar para que la tesis funcione</w:t>
      </w:r>
    </w:p>
    <w:p>
      <w:pPr>
        <w:spacing w:after="100"/>
      </w:pPr>
      <w:r>
        <w:t xml:space="preserve">La tesis depende de que el BPA core crezca al ritmo de la guía (+12-15 % en 2026) sin que los implantables sigan perdiendo cuota. La señal de que no se cumple: un 3T26 con implantables por debajo del 2 % de crecimiento o una guía de 2027 con el margen operativo core estancado.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implantables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lentes intraoculares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USD en 1S26 (+13 %)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Supuesto de margen del DCF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 la recompra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32,7x / 17,1x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Alcon nació en 1945 en Fort Worth (Texas) como farmacia y se especializó en oftalmología. Nestlé la compró en 1977 y la sacó a bolsa en 2002; Novartis la adquirió por etapas entre 2008 y 2011 y la fusionó con CIBA Vision (lentes de contacto). Tras años de pérdida de cuota dentro de Novartis, David Endicott la reorganizó desde 2016 y en abril de 2019 Novartis la escindió: cotiza en la bolsa suiza (SIX) y en Nueva York, con sede en Ginebra y operaciones en Fort Worth [3, 19]. Desde entonces ha sumado compras de complemento (Ivantis en 2021, Aerie en 2022) y ha fracasado en dos en 2025-2026 (STAAR y LENSAR)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Fort Worth (Texas).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compra Alcon.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completa la compra y la fusiona con CIBA Vision.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Novartis y salida a bolsa en SIX y NYSE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Unity VCS (plataforma de cirugía de catarata y retina) y Tryptyr; acuerda comprar STAAR y LENSAR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Abandona STAAR (enero) y LENSAR (marzo, oposición de la FTC); da de baja PowerVision [20,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Alcon es el mayor fabricante mundial de productos para el ojo. Cirugía (5.751 M USD en 2025, el 56 % de las ventas netas) vende lentes intraoculares para catarata (1.782 M), consumibles de quirófano (3.028 M) y equipos (941 M) a hospitales, centros de cirugía ambulatoria y oftalmólogos; Visión (4.568 M, el 44 %) vende lentes de contacto (2.770 M) y productos de salud ocular (1.798 M) a ópticos, cadenas, distribuidores y farmacias [2]. Fabrica en EE. UU., Suiza, Singapur, Irlanda, Alemania e Indonesia y vende en más de 140 países [3].</w:t>
      </w:r>
    </w:p>
    <w:p>
      <w:pPr>
        <w:pStyle w:val="Heading2"/>
      </w:pPr>
      <w:r>
        <w:t xml:space="preserve">Cómo gana dinero</w:t>
      </w:r>
    </w:p>
    <w:p>
      <w:pPr>
        <w:spacing w:after="100"/>
      </w:pPr>
      <w:r>
        <w:t xml:space="preserve">Cerca de tres cuartas partes de las ventas son recurrentes: consumibles que se gastan en cada cirugía, lentes que se reponen cada día o cada mes y colirios. Los equipos (941 M en 2025) siembran la base instalada que después consume [2]. El margen depende de la mezcla (las lentes intraoculares avanzadas para presbicia y astigmatismo se pagan varias veces más que las monofocales; las lentes de contacto tóricas y multifocales llevan prima), de las subidas de precio anuales en lentes y de los costes de fabricación y aranceles [2, 3]. El margen operativo core fue del 19,8 % en 2025 y la dirección espera subirlo en 2026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Cirugía (Surgical)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Visión (Vision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Cirugía (Surgical)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Visión (Vision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r>
    </w:tbl>
    <w:p>
      <w:pPr>
        <w:spacing w:after="160" w:before="0"/>
      </w:pPr>
    </w:p>
    <w:p>
      <w:pPr>
        <w:pStyle w:val="Heading2"/>
      </w:pPr>
      <w:r>
        <w:t xml:space="preserve">Clientes, recurrencia y poder de precios</w:t>
      </w:r>
    </w:p>
    <w:p>
      <w:pPr>
        <w:spacing w:after="100"/>
      </w:pPr>
      <w:r>
        <w:t xml:space="preserve">Ningún cliente es determinante: en Cirugía compra el hospital o el cirujano, y el volumen depende del número de cataratas, ligado al envejecimiento; en Visión, ópticos y cadenas, con concentración creciente de grandes cuentas [3]. El poder de precios es real pero desigual: en lentes de contacto Alcon atribuye el crecimiento de 2025 a precio e innovación [2], mientras que en lentes intraoculares la competencia de J&amp;J y de RxSight presiona la cuota de las avanzadas y el mercado de cataratas estuvo flojo en 2025-2026 [22, 23].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implantables (lentes intraoculares)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1.775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1.782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Plano por el lanzamiento de PanOptix Pro en EE. UU., mercado de cataratas flojo y competencia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consumibles quirúrgicos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2.861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3.028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ligados al número de cirugías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equipos y otros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886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941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Unity VCS; en el 2T26 los equipos Unity crecieron un 25 % [2,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lentes de contacto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2.609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2.770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 innovación (Precision7, Total30)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salud ocular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1.705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1.798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Tryptyr (ojo seco) en 2025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 20,7 %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19,8 %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y costes de lanzamiento; guía 2026 de +90 a +190 pb tras el 2T26 [1, 14].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productos oftalmológicos en el que opera Alcon (cirugía de catarata, retina, glaucoma y refractiva; lentes de contacto; salud ocular), a precio de fabricante y mundial. Alcon lo estima en unos 37.000 M USD en 2025, frente a 35.000 M en 2024 y 25.000 M en 2019 [3, 18, 19]. No hemos encontrado una segunda estimación independiente del mismo perímetro; para las lentes de contacto, el informe de Cooper del repositorio usa unos 10.300 M USD en 2025 (Global Market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37.000 M USD en 2025 (estimación de Alcon)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número de cataratas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proyecta un crecimiento de un dígito medio del mercado en 2025-2030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lentes intraoculares avanzadas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mundial de lentes avanzadas del 17 % en el 1T26, +130 pb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y paso a lentes diarias de silicona hidrogel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+6,2 % en 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lentes intraoculares (J&amp;J, RxSight)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Implantables planos en 2025 (+0,4 %) y rebaja de BNP Paribas a neutral por la presión en lentes intraoculares hasta 2027 [2,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Impacto en coste de ventas de 40-90 M USD en 2026 según la guía del 2T26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(J&amp;J, Bausch + Lomb, Cooper, Zeiss) que compiten en innovación; presión en lentes intraoculares avanzadas [2,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y grupos de compra en cirugía; cadenas ópticas en lentes; el cirujano prescribe y es fiel a su plataforma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su mayoría; dependencia de componentes y aranceles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de la FDA, base instalada de equipos y formación de cirujanos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Gafas y cirugía refractiva frente a lentes; la catarata no tiene alternativa a la cirugía [3].</w:t>
            </w:r>
          </w:p>
        </w:tc>
      </w:tr>
    </w:tbl>
    <w:p>
      <w:pPr>
        <w:spacing w:after="160" w:before="0"/>
      </w:pPr>
    </w:p>
    <w:p>
      <w:pPr>
        <w:pStyle w:val="Heading2"/>
      </w:pPr>
      <w:r>
        <w:t xml:space="preserve">Ciclo</w:t>
      </w:r>
    </w:p>
    <w:p>
      <w:pPr>
        <w:spacing w:after="100"/>
      </w:pPr>
      <w:r>
        <w:t xml:space="preserve">Mercado poco cíclico: la catarata se opera tarde o temprano. En 2020 las ventas de Alcon cayeron un 8 % por el cierre de quirófanos y el margen core bajó al 11,7 % (17,2 % en 2019), para rebotar en 2021 [6]. En 2025-2026 el mercado de cataratas de EE. UU. está flojo y Alcon crece con lanzamientos [25].</w:t>
      </w:r>
    </w:p>
    <w:p>
      <w:pPr>
        <w:pStyle w:val="Heading2"/>
      </w:pPr>
      <w:r>
        <w:t xml:space="preserve">Regulación</w:t>
      </w:r>
    </w:p>
    <w:p>
      <w:pPr>
        <w:spacing w:after="100"/>
      </w:pPr>
      <w:r>
        <w:t xml:space="preserve">Productos sanitarios y fármacos regulados por la FDA y por el MDR europeo. La FTC bloqueó en la práctica la compra de LENSAR en 2026, señal de que las compras en cirugía ocular tendrán escrutinio antimonopolio [21]. Los aranceles de EE. UU. elevan el coste de ventas; Alcon espera un reembolso de unos 60 M USD en el 3T26 [25].</w:t>
      </w:r>
    </w:p>
    <w:p>
      <w:pPr>
        <w:pStyle w:val="Heading2"/>
      </w:pPr>
      <w:r>
        <w:t xml:space="preserve">Tendencias y disrupción</w:t>
      </w:r>
    </w:p>
    <w:p>
      <w:pPr>
        <w:spacing w:after="100"/>
      </w:pPr>
      <w:r>
        <w:t xml:space="preserve">Las plataformas integradas de quirófano (Unity VCS) y las lentes intraoculares avanzadas y ajustables (RxSight, con su lente ajustable por luz) son el frente tecnológico; Alcon pagó 60 M USD a RxSight [23]. En lentes, el paso a diarias y a reutilizables prémium favorece a los grandes; las marcas blancas y los fabricantes asiáticos presionan las gamas básicas [2].</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cirugía oftalmológica y en visión por ventas de 2025, según la propia empresa [3]; cuota de unos 28 % del mercado de 37.000 M que estima (estimación propia: 10.319 M de ventas netas entre 37.000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lentes de contacto (Acuvue) y en lentes intraoculares (Tecnis); no publica margen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 (CooperVision)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ventas planas en el 3T de su ejercicio 2026 (informe del repositorio, 9-oct-2026).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cirugía y fármacos; muy endeudada (5,3 veces el EBITDA).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RxSight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Lente intraocular ajustable por luz; competidor en lentes avanzadas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Formación de cirujanos en sus plataformas.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instalada de equipos arrastra consumibles en cada cirugía y el usuario de lentes repone la marca adaptada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(PanOptix, Dailies, Systane) y aprobaciones de la FDA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lentes diarias.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los dos segmentos; red comercial en 140 países [1].</w:t>
            </w:r>
          </w:p>
        </w:tc>
      </w:tr>
    </w:tbl>
    <w:p>
      <w:pPr>
        <w:spacing w:after="160" w:before="0"/>
      </w:pPr>
    </w:p>
    <w:p>
      <w:pPr>
        <w:pStyle w:val="Heading2"/>
      </w:pPr>
      <w:r>
        <w:t xml:space="preserve">Amenazas</w:t>
      </w:r>
    </w:p>
    <w:p>
      <w:pPr>
        <w:spacing w:after="100"/>
      </w:pPr>
      <w:r>
        <w:t xml:space="preserve">La amenaza principal es la pérdida de cuota en lentes intraoculares avanzadas frente a J&amp;J y a la lente ajustable de RxSight: los implantables crecieron un 0,4 % en 2025 y un analista rebajó la acción por ello [2, 22]. Probabilidad media. En lentes de contacto, las marcas blancas presionan las gamas básicas. El fracaso de PowerVision y de las compras de STAAR y LENSAR deja a Alcon sin varias de las palancas que había elegido para crecer en refractiva [20, 21, 25].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5,8 %</w:t>
      </w:r>
      <w:r>
        <w:t xml:space="preserve">, EBITDA </w:t>
      </w:r>
      <w:r>
        <w:rPr>
          <w:b/>
          <w:bCs/>
        </w:rPr>
        <w:t xml:space="preserve">10,4 %</w:t>
      </w:r>
      <w:r>
        <w:t xml:space="preserve">, BPA </w:t>
      </w:r>
      <w:r>
        <w:rPr>
          <w:b/>
          <w:bCs/>
        </w:rPr>
        <w:t xml:space="preserve">27,0 %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crecieron de 8.291 M USD en 2021 a 10.401 M en 2025, todo orgánico salvo compras pequeñas (Ivantis, Aerie) [2, 11]. El EBITDA pasó de 1.799 a 2.677 M y el margen del 21,7 % al 25,7 %, por mezcla (lentes intraoculares avanzadas, lentes de contacto prémium), subidas de precio y apalancamiento operativo [12]. 2025 fue un año de pausa: ventas +5 %, BPA core plano (3,07 USD) y margen operativo core del 19,8 % (−90 pb) por aranceles, costes de lanzamiento y un mercado de cataratas flojo [2, 14]. En el primer semestre de 2026 el BPA core subió un 13 % (1,69 USD) y la guía del año se elevó dos veces [1].</w:t>
      </w:r>
    </w:p>
    <w:p>
      <w:pPr>
        <w:pStyle w:val="Heading2"/>
      </w:pPr>
      <w:r>
        <w:t xml:space="preserve">Ajustes y partidas no recurrentes</w:t>
      </w:r>
    </w:p>
    <w:p>
      <w:pPr>
        <w:spacing w:after="100"/>
      </w:pPr>
      <w:r>
        <w:t xml:space="preserve">Alcon gestiona con cifras core, que excluyen la amortización de intangibles de compras (696 M en 2025, 667 M en 2024), deterioros, costes de adquisición e integración y otras partidas; en 2025 el resultado operativo core fue de 2.039 M frente a 1.360 M publicado, y el BPA core de 3,07 USD frente a 1,98 [2]. Las partidas de integración y reestructuración se repiten casi cada año (58 M en 2025; programa de eficiencia de 150 M de coste en 2026), así que tratamos parte de ellas como recurrentes en el DCF, que parte del EBITDA publicado [14]. El cargo de PowerVision (≈287 M después de impuestos en el 2T26) es no recurrente y no está en el EBITDA de 2025 [1].</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(10-ago) la dirección subió por segunda vez la guía de 2026: BPA core de +12 % a +15 % a tipo constante (antes +10 % a +13 %, y +9 % a +12 % en febrero) y margen operativo core de +90 a +190 pb, con las ventas en +5 % a +7 % a tipo constante [1, 14, 15]. El mensaje cambió de tono frente al 4T25, cuando el BPA core del año quedó plano (3,07 USD) y la guía se apoyaba en lanzamientos: ahora la dirección presume de que Unity VCS creció un 25 % en equipos con precios medios mejores de lo previsto y de que la cuota de lentes intraoculares avanzadas sigue subiendo [15, 16]. El trimestre llevó un cargo no monetario de unos 287 M USD después de impuestos por abandonar los programas de PowerVision (lente acomodativa), que dejó el BPA publicado en 0,00 USD [1]. Los analistas preguntaron sobre todo por la debilidad del mercado de cataratas y por la competencia en lentes intraoculares; la dirección no cuantificó cuánto del margen depende del reembolso de aranceles (unos 60 M USD esperados en el 3T26) [1, 15, 17]. También anunció una recompra de hasta 1.500 M USD en tres años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financiera bruta se mantiene estable en unos 4.600-4.700 M desde 2022 y la caja oscila entre 1.000 y 1.700 M; la deuda neta (3.382 M a junio de 2026 con la deuda de cierre de 2025) es de 1,3 veces el EBITDA [3, 9]. El circulante pesa: existencias de 2.391 M y clientes de 1.942 M en 2025, unos 42 % de las ventas antes de proveedores, por los equipos y los consumibles en consigna. La holgura permite la recompra de 1.500 M sin subir el apalancamiento.</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4.643</w:t>
      </w:r>
      <w:r>
        <w:t xml:space="preserve">, conversión </w:t>
      </w:r>
      <w:r>
        <w:rPr>
          <w:b/>
          <w:bCs/>
        </w:rPr>
        <w:t xml:space="preserve">126 %</w:t>
      </w:r>
      <w:r>
        <w:t xml:space="preserve"> del beneficio neto; adquisiciones 0, dividendos 296, recompras 676.</w:t>
      </w:r>
    </w:p>
    <w:p>
      <w:pPr>
        <w:spacing w:after="100"/>
      </w:pPr>
      <w:r>
        <w:t xml:space="preserve">La conversión de beneficio en caja mejoró mucho desde 2023: el flujo libre pasó de 581 M USD en 2022 y 730 M en 2023 a 1.604 M en 2024 y 1.733 M en 2025, por un flujo operativo que subió de 1.217 a 2.271 M y un capex que bajó del 7-8 % al 5 % de las ventas (de 700 M en 2021 a 543 M en 2025) al terminar las inversiones en fábricas de lentes de contacto [2, 4, 12]. En el primer semestre de 2026 el flujo libre fue de 693 M (681 M un año antes) [1]. El flujo libre de 2025 (1.733 M) supera al beneficio neto publicado (980 M) porque la amortización de intangibles de compras (696 M) no es caja [2, 3]. El capex de mantenimiento no se publica; estimación propia: unos 400-450 M, cerca de la depreciación de inmovilizado material. Los pagos de arrendamientos (NIIF 16) no se encontraron y son pequeños frente al flujo.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Alcon publica en NIIF y gestiona con cifras core, que excluyen la amortización de intangibles de compras (696 M USD en 2025), deterioros, costes de integración y otras partidas; en 2025 los ajustes sumaron 679 M y el resultado operativo core fue de 2.039 M frente a 1.360 M publicado [2]. La diferencia es casi toda amortización de intangibles que vienen de la separación de Novartis y de compras (Aerie, Ivantis), así que el BPA core es una medida razonable del beneficio de caja, pero esconde los deterioros recurrentes: en el 2T26 se cargaron unos 402 M antes de impuestos (287 M después) por abandonar PowerVision, una lente comprada en 2019 [1, 17]. El tipo impositivo publicado salta mucho (beneficio fiscal en 2023 por la reorganización suiza) [11]. El fondo de comercio (≈8.900-9.300 M) y los intangibles (≈8.600 M) son el 56 % del activo, lo que deprime el ROIC contable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compras de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PowerVision (≈402 M antes de impuestos en 2T26) [1,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Cifras core frente a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de 614-679 M al año, sobre todo amortización de intangibles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22,1 % · </w:t>
      </w:r>
      <w:r>
        <w:rPr>
          <w:b/>
          <w:bCs/>
        </w:rPr>
        <w:t xml:space="preserve">WACC</w:t>
      </w:r>
      <w:r>
        <w:t xml:space="preserve">: 9,1 %.</w:t>
      </w:r>
    </w:p>
    <w:p>
      <w:pPr>
        <w:spacing w:after="100"/>
      </w:pPr>
      <w:r>
        <w:t xml:space="preserve">Con el balance publicado, Alcon no crea valor: el ROIC es del 4,6 % en 2025 frente a un WACC del 9,08 %, porque el capital invertido (≈24.900 M) lleva unos 17.500 M de fondo de comercio e intangibles revalorizados en la escisión de Novartis y en compras [10]. Con el beneficio core (EBIT core de 2.039 M y un 19 % de impuestos, ≈1.650 M de NOPAT) el ROIC sube a ≈6,6 %, todavía por debajo del WACC (estimación propia). Lo que mueve el ROIC es la rotación (0,34 veces), no el margen. El ROIC incremental histórico es alto (22,1 %), porque el crecimiento reciente apenas ha necesitado capital: es la medida más fiel de la economía del negocio, pero el accionista paga por el capital ya invertido. Frente a los comparables, el ROIC de Alcon está a la par de EssilorLuxottica (5,4 %) y Cooper (4,6 %), que tienen el mismo problema de fondo de comercio [42].</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1.355 M USD a 30-jun-2026 (1.527 M a cierre de 2025) y flujo libre de 1.733 M USD en 2025 [2, 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No hemos podido leer las notas de provisiones, litigios y pensiones del 20-F 2025. Alcon tiene planes de pensiones de prestación definida en Suiza y EE. UU. (no cuantificados aquí) y litigios de producto habituales en el sector. Los arrendamientos NIIF 16 están, hasta donde sabemos, dentro de la deuda financiera publicada (4.737 M a cierre de 2025) [3].</w:t>
      </w:r>
    </w:p>
    <w:p>
      <w:pPr>
        <w:pStyle w:val="Heading1"/>
      </w:pPr>
      <w:r>
        <w:t xml:space="preserve">12. Asignación de capital</w:t>
      </w:r>
    </w:p>
    <w:p>
      <w:pPr>
        <w:pStyle w:val="Confianza"/>
        <w:spacing w:after="100"/>
      </w:pPr>
      <w:r>
        <w:t xml:space="preserve">Confianza: Baja</w:t>
      </w:r>
    </w:p>
    <w:p>
      <w:pPr>
        <w:spacing w:after="100"/>
      </w:pPr>
      <w:r>
        <w:t xml:space="preserve">Dividendo anual modesto (CHF 0,28 por acción pagado en mayo de 2025, 166 M USD) y recompras: completó el programa de 750 M USD en enero de 2026 tras recomprar unos 8,4 millones de acciones por 682 M en 2025, y en agosto de 2026 anunció otro de hasta 1.500 M en tres años financiado con el flujo operativo [1, 3, 17]. La prioridad declarada sigue siendo invertir en lanzamientos y compras de complemento.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STAAR Surgical (lentes fáquicas ICL)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Abandonada en enero de 2026 tras la oposición del primer accionista de STAAR.</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LENSAR (láser de cataratas)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Terminada en marzo de 2026 por la oposición de la FTC; LENSAR se queda el depósito de 10 M.</w:t>
            </w:r>
          </w:p>
        </w:tc>
      </w:tr>
    </w:tbl>
    <w:p>
      <w:pPr>
        <w:spacing w:after="160" w:before="0"/>
      </w:pPr>
    </w:p>
    <w:p>
      <w:pPr>
        <w:spacing w:after="100"/>
      </w:pPr>
      <w:r>
        <w:t xml:space="preserve">La dirección ha sido buena gestora del capital de explotación (el capex bajó del 8 % al 5 % de las ventas y el flujo libre se triplicó entre 2022 y 2025) y mala en las compras grandes: PowerVision (2019) acabó en un deterioro de unos 402 M antes de impuestos en 2026, la compra de STAAR se abandonó tras la oposición de su primer accionista y la de LENSAR la frustró la FTC [1, 17, 20, 21]. La recompra de 1.500 M en tres años (≈5 % del capital al precio actual) es la mejor señal: devuelve el flujo libre en vez de pagar primas por compras [17].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Endicott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Alcon desde antes de la escisión de Novartis (2016) y como cotizada desde 2019. Con él las ventas pasaron de 7.508 M USD en 2019 a 10.401 M en 2025 y el BPA core de 1,89 a 3,07 USD, pero las grandes apuestas de compra (PowerVision, STAAR, LENSAR) han fallado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 Michael Ball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la escisión; antiguo consejero delegado de Alcon y de Hospira. Reelegido en la junta de 2026 por un año [26,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de 3,05-3,15 USD (guía del 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core +9 % a +12 % a tipo constante (febrero), subida a +10-13 % (mayo) y +12-15 %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1,69 USD, +13 % (+10 %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el mismo consejero delegado y el mismo presidente desde la salida a bolsa de 2019. La credibilidad en la guía anual es buena (2025 dentro del rango; 2026 subida dos veces), pero la asignación de capital en compras pesa en contra: PowerVision acabó en un deterioro de unos 402 M antes de impuestos, Alcon se retiró de STAAR y la FTC frustró LENSAR [1, 20, 21]. No hemos encontrado plan de sucesión publicado.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Michael 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Endicott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 Scott Herren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suiza vota cada año el informe de remuneración (consultivo) y los importes máximos del consejo y de la dirección (vinculantes). En 2026 el consejo propuso 4,275 M CHF para el consejo (junta 2026 a junta 2027) y 47,1 M CHF para el comité ejecutivo de 2027, con aumento frente a 2026 [26, 28]. El informe de remuneración de 2025 está en las páginas 72-114 del informe anual; no hemos podido leer las métricas del variable ni la remuneración del consejero delegado [26].</w:t>
      </w:r>
    </w:p>
    <w:p>
      <w:pPr>
        <w:pStyle w:val="Heading2"/>
      </w:pPr>
      <w:r>
        <w:t xml:space="preserve">Operaciones vinculadas, estructura de control y defensas</w:t>
      </w:r>
    </w:p>
    <w:p>
      <w:pPr>
        <w:spacing w:after="100"/>
      </w:pPr>
      <w:r>
        <w:t xml:space="preserve">Capital disperso, sin accionista de control conocido; una acción, un voto (sociedad suiza con acciones nominativas) [26]. La junta del 30-abr-2026 aprobó la gestión del consejo y la dirección con alrededor del 98 % de los votos [27].</w:t>
      </w:r>
    </w:p>
    <w:p>
      <w:pPr>
        <w:pStyle w:val="Heading2"/>
      </w:pPr>
      <w:r>
        <w:t xml:space="preserve">Señales de alerta</w:t>
      </w:r>
    </w:p>
    <w:p>
      <w:pPr>
        <w:pStyle w:val="ListParagraph"/>
        <w:numPr>
          <w:ilvl w:val="0"/>
          <w:numId w:val="2"/>
        </w:numPr>
        <w:spacing w:after="60"/>
      </w:pPr>
      <w:r>
        <w:t xml:space="preserve">Deterioro de PowerVision (≈402 M USD antes de impuestos, 2T26) y dos compras fallidas en 2026: revisar la disciplina de la dirección en compras [1, 20,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(10-ago-2026, segunda subida del año): ventas +5 % a +7 % a tipo constante, margen operativo core +90 a +190 pb y BPA core +12 % a +15 % a tipo constante (antes +10 % a +13 %; +9 % a +12 % en febrero). Aranceles de 40-90 M USD en el coste de ventas, con un reembolso de unos 60 M esperado en el 3T26; programa de eficiencia de 100 M de ahorro anual (50 M en 2026) con un coste de 150 M [1, 14]. No hay plan a medio plazo con cifras en las fuentes consultadas.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MarketBeat (BPA core); Tickflow da 3,44 con 16 analistas antes del 2T26 [32,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62,00 – 107,40</w:t>
            </w:r>
          </w:p>
        </w:tc>
      </w:tr>
    </w:tbl>
    <w:p>
      <w:pPr>
        <w:spacing w:after="160" w:before="0"/>
      </w:pPr>
    </w:p>
    <w:p>
      <w:pPr>
        <w:pStyle w:val="Heading2"/>
      </w:pPr>
      <w:r>
        <w:t xml:space="preserve">Revisiones de estimaciones</w:t>
      </w:r>
    </w:p>
    <w:p>
      <w:pPr>
        <w:spacing w:after="100"/>
      </w:pPr>
      <w:r>
        <w:t xml:space="preserve">Las estimaciones de BPA de 2026 subieron tras el 2T26 por la guía (de unos 3,44 a 3,48 USD) [32, 36]. Los precios objetivo se recortaron en mayo-julio (Barclays, Wells Fargo y Mizuho, de 85 a 80 USD) y algunos subieron tras el 2T26 (Deutsche Bank, Mizuho); BNP Paribas rebajó a neutral con 79 USD por la presión en lentes intraoculares [34]. Una sola fuente gratuita da estimaciones de 2027 y ninguna de 2028.</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La acción en Nueva York cayó de 78,81 USD a cierre de 2025 a 64,75 USD el 30-sep-2026 (−17,8 % en precio), con un −10 % solo en septiembre y un −14 % desde los resultados del 2T26 según un agregador [29, 37, 41]. La caída llega pese a dos subidas de la guía de BPA: el mercado pesa más el mercado de cataratas flojo, la competencia en lentes intraoculares, el deterioro de PowerVision y las compras fallidas. En 2022 ya perdió un 21 % con la subida de tipos [39].</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nuestro BPA core, Alcon cotiza a 16,7 veces el beneficio de 2027e, frente a una mediana de 25,6 veces en los cierres de 2020-2025 medidos igual (precio ÷ BPA core del año siguiente, sin 2019 ni 2021). Es el múltiplo más bajo desde la escisión. Ha cambiado el tipo de interés (el bono de EE. UU. al 5,2 %) y la percepción de crecimiento: los implantables se estancaron en 2025, PowerVision fracasó y la empresa no ha logrado comprar crecimiento en refractiva. El crecimiento del BPA (+12-15 % en 2026) no se ha frenado, así que la caída es de múltiplo, no de beneficio [1, 37, 38].</w:t>
      </w:r>
    </w:p>
    <w:p>
      <w:pPr>
        <w:pStyle w:val="Heading1"/>
      </w:pPr>
      <w:r>
        <w:t xml:space="preserve">18. Comparables cotizados</w:t>
      </w:r>
    </w:p>
    <w:p>
      <w:pPr>
        <w:pStyle w:val="Confianza"/>
        <w:spacing w:after="100"/>
      </w:pPr>
      <w:r>
        <w:t xml:space="preserve">Confianza: Baja</w:t>
      </w:r>
    </w:p>
    <w:p>
      <w:pPr>
        <w:spacing w:after="100"/>
      </w:pPr>
      <w:r>
        <w:t xml:space="preserve">Diez cotizadas de tecnología médica de consumo y oftalmología con datos homogéneos de los informes del repositorio de 8-14 de octubre de 2026: EssilorLuxottica y Hoya (óptica), Cooper y Bausch + Lomb (lentes de contacto y cirugía), Sonova y Demant (audición, mismo modelo de fabricante de consumible prémium), Coloplast y Smith &amp; Nephew (consumibles médicos), Align y Edwards (implantes y dispositivos de pago privado). J&amp;J no cotiza por separado; Zeiss Meditec, RxSight y STAAR quedan fuera por no tener las cifras a la misma fecha [31, 42,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12,3x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21,3x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3,3x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Alcon cotiza a 17,1 veces el beneficio de los próximos 12 meses y 13,1 veces el EBITDA de los últimos 12, frente a una mediana de 21,3 y unas 12,3 veces en los comparables [31, 42, 43]. El PER está por debajo de EssilorLuxottica (23,5x), Sonova (22,8x) y Demant (21,3x), con un crecimiento parecido (6-7 %) y un margen EBITDA similar (25,7 %), y al nivel de Cooper, Smith &amp; Nephew y Align (15-15,3x), que crecen menos. El descuento se explica en parte por el ROIC contable bajo y por las dudas en lentes intraoculares, pero no por el crecimiento. Con el PER de los comparables el valor sale entre 57,94 y 88,99 USD (mediana 80,66); con el EV/EBITDA, entre 50,90 y 81,98 (mediana 60,17), porque Alcon tiene más amortización que la media. Usamos el PER como múltiplo de referencia.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bancos de células; unos 250 M USD de ventas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Colirio para ojo seco; pago inicial de 1.750 M más hasta 750 M por hitos, sobre unos 487 M de ventas de 2022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médica de diagnóstico y cirugía; EBITDA ajustado de 1.340 M [46,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Alcon se retiró en enero de 2026, así que no es un precio pagado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78,37 – 108,14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del sector se pagan a 3,6-6,4 veces las ventas y unas 14 veces el EBITDA en la única con EBITDA publicado (Hologic), por encima de lo que cotiza Alcon. Alcon es demasiado grande (≈32.000 M USD) y sin accionista de control para ser objetivo probable; el bloqueo de LENSAR por la FTC sugiere además que un comprador del sector tendría problemas de competencia. Las transacciones solo sirven de techo de referencia [44, 45, 46, 47, 48].</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Ventas +7 % en 2026e (guía de +5 % a +7 % a tipo constante más un punto de divisa) y +6 % en 2027-28, en línea con el mercado oftalmológico que Alcon estima en un dígito medio y con el crecimiento de 2021-2025 (5,8 % anual), para bajar al 3 % en 2034-35 [1, 3]. El BPA del consenso de 2027 (3,87 USD) es el mismo que el nuestro [32].</w:t>
      </w:r>
    </w:p>
    <w:p>
      <w:pPr>
        <w:keepNext/>
        <w:spacing w:after="100"/>
      </w:pPr>
      <w:r>
        <w:rPr>
          <w:b/>
          <w:bCs/>
        </w:rPr>
        <w:t xml:space="preserve">Márgenes.</w:t>
      </w:r>
    </w:p>
    <w:p>
      <w:pPr>
        <w:spacing w:after="100"/>
      </w:pPr>
      <w:r>
        <w:t xml:space="preserve">Margen EBITDA del 26,7 % en 2026e (25,7 % en 2025), con la guía de +90 a +190 pb en el margen operativo core, y hasta el 28,5 % en 2030e (margen operativo core del 22,4 %), por mezcla, el programa de eficiencia de 100 M y el apalancamiento operativo [1, 14]. Es más alto que el máximo histórico (25,7 %), pero menos que Sonova (26 %) o Cooper (29 %) [42].</w:t>
      </w:r>
    </w:p>
    <w:p>
      <w:pPr>
        <w:keepNext/>
        <w:spacing w:after="100"/>
      </w:pPr>
      <w:r>
        <w:rPr>
          <w:b/>
          <w:bCs/>
        </w:rPr>
        <w:t xml:space="preserve">Inversión y circulante.</w:t>
      </w:r>
    </w:p>
    <w:p>
      <w:pPr>
        <w:spacing w:after="100"/>
      </w:pPr>
      <w:r>
        <w:t xml:space="preserve">Capex del 5,5 % de las ventas (5,2 % en 2025, 7-8 % en 2021-2023) y amortización del 6,5 % al 5,6 %, que incluye la de intangibles de compras (696 M en 2025) que se va agotando [2, 12]. Circulante del 33 % de las ventas.</w:t>
      </w:r>
    </w:p>
    <w:p>
      <w:pPr>
        <w:keepNext/>
        <w:spacing w:after="100"/>
      </w:pPr>
      <w:r>
        <w:rPr>
          <w:b/>
          <w:bCs/>
        </w:rPr>
        <w:t xml:space="preserve">Coste del capital.</w:t>
      </w:r>
    </w:p>
    <w:p>
      <w:pPr>
        <w:spacing w:after="100"/>
      </w:pPr>
      <w:r>
        <w:t xml:space="preserve">Flujos en USD: tasa libre del bono de EE. UU. a 10 años (5,22 %) [40]. Beta de 0,85, estimación propia (no hemos podido calcularla; la de Cooper es de 0,89), prima de mercado del 5,5 %: coste de los recursos propios del 9,9 %. Deuda al 4,5 % antes de impuestos (coste medio ≈4,1 %) con un peso del 13 %. WACC del 9,08 %.</w:t>
      </w:r>
    </w:p>
    <w:p>
      <w:pPr>
        <w:keepNext/>
        <w:spacing w:after="100"/>
      </w:pPr>
      <w:r>
        <w:rPr>
          <w:b/>
          <w:bCs/>
        </w:rPr>
        <w:t xml:space="preserve">Valor terminal.</w:t>
      </w:r>
    </w:p>
    <w:p>
      <w:pPr>
        <w:spacing w:after="100"/>
      </w:pPr>
      <w:r>
        <w:t xml:space="preserve">Gordon al 2,5 % (inflación de EE. UU. más un crecimiento real bajo), por debajo de la tasa libre menos medio punto. El valor terminal es el 57 % del valor, poco para una empresa de este perfil por el WACC alto.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(hoy: 28,0 %)</w:t>
            </w:r>
          </w:p>
        </w:tc>
      </w:tr>
    </w:tbl>
    <w:p>
      <w:pPr>
        <w:spacing w:after="160" w:before="0"/>
      </w:pPr>
    </w:p>
    <w:p>
      <w:pPr>
        <w:spacing w:after="100"/>
      </w:pPr>
      <w:r>
        <w:t xml:space="preserve">La proyección apenas necesita inversión neta de la amortización (reinversión acumulada de 368 M, el 1 % del NOPAT, con un capex bruto medio del 5,5 % de las ventas). En un negocio de activos ligeros, el crecimiento medio del 4,8 % tiene que salir de subir precios y de ganar volumen sin capital nuevo, y la prueba es el poder de precios y la cuota (27,4 % del mercado en 2035e, frente al 28,0 %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Unity VCS, Tryptyr y lentes de contacto; precio por las subidas anuales en lentes; un punto de divisa (dólar débil frente al primer semestre de 2025)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un dígito medio, más la base instalada de Unity que arrastra consumibles [3,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supone cuota estable en lentes intraoculares.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convergente al del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convergente al del mercado.</w:t>
            </w:r>
          </w:p>
        </w:tc>
      </w:tr>
    </w:tbl>
    <w:p>
      <w:pPr>
        <w:spacing w:after="160" w:before="0"/>
      </w:pPr>
    </w:p>
    <w:p>
      <w:pPr>
        <w:spacing w:after="100"/>
      </w:pPr>
      <w:r>
        <w:t xml:space="preserve">Las pruebas cuantitativas pasan: el crecimiento apenas necesita inversión neta (reinversión del 1 % del NOPAT), la cuota implícita en 2035e (27,4 %) es la de hoy (28,0 %) y el ROIC incremental histórico (22,1 %) muestra que crecer cuesta poco capital. La prueba que queda es el poder de precios y la cuota, y ahí el veredicto es «En parte»: lentes de contacto y consumibles lo demuestran (+6 % en 2025), pero los implantables se estancaron (+0,4 %) por la competencia y Alcon ha perdido varias palancas de crecimiento en refractiva (PowerVision, STAAR, LENSAR) [1, 2, 20, 21]. No hay prueba fallida, así que el caso base no se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9,1 %)</w:t>
            </w:r>
          </w:p>
        </w:tc>
      </w:tr>
    </w:tbl>
    <w:p>
      <w:pPr>
        <w:spacing w:after="160" w:before="0"/>
      </w:pPr>
    </w:p>
    <w:p>
      <w:pPr>
        <w:spacing w:after="100"/>
      </w:pPr>
      <w:r>
        <w:t xml:space="preserve">El DCF da 65,37 USD por acción, un 1 % por encima del precio, con un WACC del 9,08 % y el valor terminal en el 57 % del total. El DCF inverso dice que el precio descuenta un crecimiento del 4,3 % en los años no fijos, frente al 4,5 % de nuestro caso base, con nuestros márgenes: el mercado pide algo menos de lo que esperamos, y la rentabilidad implícita es del 9,1 %, igual que nuestro WACC. No es exigente: es lo que Alcon ha hecho en 2021-2025 sin las compras. La lectura cambia con la tasa de descuento: con la prima implícita del mercado (4,2 %) el valor sube bastante, y con un WACC un punto mayor baja más de un 10 %. El DCF dice que Alcon está bien valorada a largo plazo con una tasa de descuento del 9 %; el atractivo está en el múltiplo, que está en mínimos desde 2019, y por eso el objetivo a 12 meses queda muy por encima del valor intrínseco.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cataratas sigue flojo y J&amp;J y RxSight ganan cuota en lentes avanzadas: el crecimiento queda 1,5 puntos por debajo del base y el margen un punto por debajo, como en 2025, cuando el BPA core no creció. Ya le ha pasado: implantables +0,4 %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+6-7 % con la guía y el mercado, margen EBITDA hasta el 28,5 % y recompras de 1.500 M: el BPA core crece un 11-12 % anual hasta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Unity VCS arrastra consumibles y lentes avanzadas y Tryptyr se convierte en un éxito en ojo seco: un punto más de crecimiento y 0,8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6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64,28 USD (-0,7 %).</w:t>
      </w:r>
    </w:p>
    <w:p>
      <w:pPr>
        <w:spacing w:after="100"/>
      </w:pPr>
      <w:r>
        <w:t xml:space="preserve">En el DCF la asimetría es mala (bajista −16 %, alcista +11 %): el valor intrínseco apenas deja margen. A 12 meses es al revés: el bajista (64,85 USD con un PER de 16,5 veces) deja la acción casi donde está y el base (88,18) supone +36,7 %, porque el múltiplo está en mínimos. Compensa a 12 meses si el BPA cumple; a largo plazo, el precio ya paga lo que vale.</w:t>
      </w:r>
    </w:p>
    <w:p>
      <w:pPr>
        <w:pStyle w:val="Heading1"/>
      </w:pPr>
      <w:r>
        <w:t xml:space="preserve">22. Suma de partes</w:t>
      </w:r>
    </w:p>
    <w:p>
      <w:pPr>
        <w:pStyle w:val="Confianza"/>
        <w:spacing w:after="100"/>
      </w:pPr>
      <w:r>
        <w:t xml:space="preserve">Confianza: Baja</w:t>
      </w:r>
    </w:p>
    <w:p>
      <w:pPr>
        <w:spacing w:after="100"/>
      </w:pPr>
      <w:r>
        <w:t xml:space="preserve">No aplica: Cirugía y Visión tienen márgenes y crecimientos parecidos y comparten clientes y tecnología; no hay cifras de resultado por segmento en las fuentes consultadas.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6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69,63 USD (+7,5 % sobre 64,75).</w:t>
      </w:r>
    </w:p>
    <w:p>
      <w:pPr>
        <w:spacing w:after="100"/>
      </w:pPr>
      <w:r>
        <w:t xml:space="preserve">Pesamos el DCF un 40 %, los comparables un 30 % y los escenarios un 30 %; las transacciones, nada, porque Alcon no es objetivo probable. El valor objetivo de la síntesis es de 69,63 USD (+7,5 %). La dispersión es grande: el DCF (65,37) y el EV/EBITDA (60,17 de mediana) quedan cerca del precio, el PER de los comparables (80,66) y las transacciones (87,59) muy por encima. La diferencia sale de la tasa de descuento (9,08 %, alta por el bono de EE. UU. al 5,2 %) frente a los múltiplos de mercado, que implícitamente descuentan menos.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(16.7x) × 1.1 (tope: la mediana de 5 años, 25.6x,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+73,3 %</w:t>
            </w:r>
          </w:p>
        </w:tc>
      </w:tr>
    </w:tbl>
    <w:p>
      <w:pPr>
        <w:spacing w:after="160" w:before="0"/>
      </w:pPr>
    </w:p>
    <w:p>
      <w:pPr>
        <w:spacing w:after="100"/>
      </w:pPr>
      <w:r>
        <w:rPr>
          <w:b/>
          <w:bCs/>
        </w:rPr>
        <w:t xml:space="preserve">Objetivo a 12 meses (ponderado):</w:t>
      </w:r>
      <w:r>
        <w:t xml:space="preserve"> 81,60 USD (65,97 CHF) · rentabilidad +26,5 % (base +21,6 %) · señal Mantener.</w:t>
      </w:r>
    </w:p>
    <w:p>
      <w:pPr>
        <w:spacing w:after="100"/>
      </w:pPr>
      <w:r>
        <w:t xml:space="preserve">Para comparar, con el tope anterior del base (×1,3, 14-oct mediodía): 39,3 % Mantener. Decide la regla vigente (v3 con tope ×1,1; METODO-VIGENTE.md).</w:t>
      </w:r>
    </w:p>
    <w:p>
      <w:pPr>
        <w:keepNext/>
        <w:spacing w:after="100"/>
      </w:pPr>
      <w:r>
        <w:rPr>
          <w:b/>
          <w:bCs/>
        </w:rPr>
        <w:t xml:space="preserve">Frente al consenso (solo contraste).</w:t>
      </w:r>
    </w:p>
    <w:p>
      <w:pPr>
        <w:spacing w:after="100"/>
      </w:pPr>
      <w:r>
        <w:t xml:space="preserve">Nuestro BPA core es el del consenso en 2027e (3,87 USD frente a 3,87) y algo mayor en 2026e (3,49 frente a 3,48) [32]. Nuestro precio base a 12 meses (88,18 USD) está un 3,4 % por encima del objetivo medio de los analistas (85,24, 26 analistas; rango 62-107,4) [33, 34]: la diferencia es pequeña y sale del múltiplo (20,7 veces el BPA de 2028e) y de que miramos un año más adelante.</w:t>
      </w:r>
    </w:p>
    <w:p>
      <w:pPr>
        <w:keepNext/>
        <w:spacing w:after="100"/>
      </w:pPr>
      <w:r>
        <w:rPr>
          <w:b/>
          <w:bCs/>
        </w:rPr>
        <w:t xml:space="preserve">Del valor intrínseco al objetivo a 12 meses.</w:t>
      </w:r>
    </w:p>
    <w:p>
      <w:pPr>
        <w:spacing w:after="100"/>
      </w:pPr>
      <w:r>
        <w:t xml:space="preserve">El objetivo a 12 meses (89,84 USD ponderado) queda un 29 % por encima del valor intrínseco de la síntesis (69,63). La distancia es la tesis: el precio está en el PER más bajo desde la escisión (16,7 veces el beneficio de 2027e) y la regla supone que recupera la mitad de la distancia hasta su mediana (25,6). Para que ocurra hace falta un catalizador: los resultados del 3T26 (10-nov) con la guía cumplida, la recompra y señales de que los implantables vuelven a crecer. Si el múltiplo no se mueve, la rentabilidad es la del BPA (+11-12 % anual). Como el valor intrínseco apenas supera el precio, la tesis es de múltiplo a 12 meses, no de valor a largo plazo.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la guía de BPA core (+12-15 %) y el reembolso de aranceles de ≈60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y de ventas; el consenso espera BPA de 3,87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1.500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del capital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cuota en lentes intraoculares avanzadas (J&amp;J, RxSight)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principal de la tesis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Despliegue de Unity VCS y Tryptyr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Consumibles y salud ocular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lentes intraoculares avanzadas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Unity VCS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Implantables por debajo del 2 % de crecimiento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cataratas de EE. UU.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punto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Demografía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cirugías en las conferencias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coste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Reembolsos y programa de eficiencia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core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o deterioros (PowerVision)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 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como prioridad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&gt;−10 % con un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EE. UU.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del informe con confianza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Cruce con el consenso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al leer el 20-F completo</w:t>
            </w:r>
          </w:p>
        </w:tc>
      </w:tr>
    </w:tbl>
    <w:p>
      <w:pPr>
        <w:spacing w:after="160" w:before="0"/>
      </w:pPr>
    </w:p>
    <w:p>
      <w:pPr>
        <w:pStyle w:val="Heading2"/>
      </w:pPr>
      <w:r>
        <w:t xml:space="preserve">Pre-mortem</w:t>
      </w:r>
    </w:p>
    <w:p>
      <w:pPr>
        <w:spacing w:after="100"/>
      </w:pPr>
      <w:r>
        <w:t xml:space="preserve">Octubre de 2029: la acción ha perdido un 40 %. Lo más probable es que la pérdida de cuota en lentes intraoculares avanzadas, visible ya en 2025 con los implantables planos, se aceleró cuando la lente ajustable de RxSight y la gama de J&amp;J ganaron a los cirujanos de EE. UU.; Alcon, sin PowerVision y sin STAAR, no tuvo producto para responder. El margen operativo core no pasó del 20 %, el BPA creció un 4-5 % y el mercado, que ya pagaba solo 17 veces el beneficio, bajó a 13-14 veces. Para recuperar crecimiento la dirección pagó una compra cara que acabó en otro deterioro. El indicador que lo habría anticipado: los implantables por debajo del 2 % de crecimiento varios trimestres y la cuota de lentes avanzadas que publica la empresa.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calidad y seguridad del producto (retiradas de lentes o equipos), el acceso y precio en sistemas públicos y los aranceles y la cadena de suministro. No hemos encontrado calificaciones ESG fechadas en la búsqueda.</w:t>
      </w:r>
    </w:p>
    <w:p>
      <w:pPr>
        <w:pStyle w:val="Heading2"/>
      </w:pPr>
      <w:r>
        <w:t xml:space="preserve">Controversias</w:t>
      </w:r>
    </w:p>
    <w:p>
      <w:pPr>
        <w:spacing w:after="100"/>
      </w:pPr>
      <w:r>
        <w:t xml:space="preserve">No hemos encontrado sanciones relevantes en los últimos tres años en la búsqueda. La FTC se opuso a la compra de LENSAR (2026) [21].</w:t>
      </w:r>
    </w:p>
    <w:p>
      <w:pPr>
        <w:pStyle w:val="Heading1"/>
      </w:pPr>
      <w:r>
        <w:t xml:space="preserve">27. Preguntas abiertas para la dirección y la due diligence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Lentes intraoculares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en lentes avanzadas en EE. UU. y cuánto se ha perdido frente a RxSight y J&amp;J desde 2024?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mejora de margen de 2026 es el reembolso de aranceles y qué parte es estructural?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base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STAAR y LENSAR, ¿qué tamaño de compra se plantea y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asignación de capital es el punto débil del equipo.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Unity VCS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equipos instalados y qué arrastre de consumibles por equipo?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escenario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core se espera con el impuesto mínimo global?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el BPA un 1,2 %.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número de acciones y la deuda a 30-sep-2026?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Confirmar los datos de núcleo con fuente primaria para poder pasar a Comprar.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narrativa alcista sostiene que el mercado infravalora la adopción de Unity VCS y PanOptix Pro y un ciclo de renovación de diez años de la base instalada; otra bajista cita competencia, presión de precios y obstáculos regulatorios [50,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(puntos alcistas y bajistas)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puntos bajistas que más se repiten son la competencia intensa en lentes intraoculares, con riesgo de perder cuota, y la rebaja del margen EBIT core esperado a medio plazo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y AWP (comentarios de analistas y lectores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el tono fue bueno: crecimiento fuerte, menos miedo a no cumplir la guía y la recompra de 1.500 M; pero se subraya que el mercado de cataratas sigue flojo [17,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GuruFocus y Barchart (resúmenes de la conferencia y avance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Destacan ventas fuertes con «giros estratégicos» por el abandono de programas de lentes intraoculares, y preguntan si Visión aguanta tras años de competencia y presión de precios en lentes de contacto [54, 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lentes intraoculares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implantables +0,4 % en 2025 frente a +4 % de Cirugía y el abandono de PowerVision en 2026; es el riesgo principal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Unity VCS y ciclo de renovación de equipos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por el 2T26 (equipos Unity +25 %), pero los equipos son menos del 10 % de las ventas; el efecto en consumibles tardará.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guía al alza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guía de BPA core subida dos veces (+12 % a +15 %) y recompra de 1.500 M en tres años; la acción, sin embargo, cayó un 10 % en septiembre.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nuestro BPA, la acción cotiza a unas 17 veces el beneficio core de 2027, frente a 23-28 veces en sus cierres de 2022-2025.</w:t>
            </w:r>
          </w:p>
        </w:tc>
      </w:tr>
    </w:tbl>
    <w:p>
      <w:pPr>
        <w:spacing w:after="160" w:before="0"/>
      </w:pPr>
    </w:p>
    <w:p>
      <w:pPr>
        <w:spacing w:after="100"/>
      </w:pPr>
      <w:r>
        <w:t xml:space="preserve">No hay euforia ni capitulación: el debate de particulares es escaso (Alcon es poco comentada en foros abiertos; Reddit y Stocktwits no se pudieron leer) y se divide entre quienes ven el ciclo de Unity y la recompra y quienes temen la pérdida de cuota en lentes intraoculares. El riesgo que señalan los foros es el mismo que el informe considera principal, así que no aporta uno nuevo. La caída de septiembre sin noticia identificable sugiere que el sentimiento empeora pese a la guía, en contra del consenso de analistas (15 de 19 recomiendan comprar). Es una señal débil, de una muestra pequeña.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21 controles correctos y 5 explicados. Fuentes: 55 (19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-17,1 %: explica la causa (créditos fiscales, regularizaciones, mezcla de países) y no lo proyectes en el DCF. Explicación: Beneficio fiscal de 2023 (impuestos de −142 M) por la reorganización fiscal suiza; no se proyecta: el DCF usa el 19 %, el tipo core implícito de 2025 [11].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27,4 % en 2035e frente al 28,0 %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41,7 % real: genera una variación de circulante de -660 M en el primer año. Converge de forma gradual. Explicación: El 41,7 % real de 2025 no resta proveedores (no encontrados para 2025); con los de 2024 (773 M) el circulante es de unos 34 %, cerca del 33 % del supuesto.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Decisión del usuario: con confianza baja no se compra. Hay que confirmar con fuente primaria el cierre de octubre, las acciones en circulación y la deuda a 30-sep-2026 (20-F e informe del 3T26); la síntesis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2026-09-30, 10 sesiones antes del corte (2026-10-14): con un precio viejo no se cierra un Comprar. Último cierre: node herramientas/precios.mjs &lt;ticker&gt;; luego herramientas/apuntar-12m.mjs --precios. Explicación: Sin acceso a cotizaciones: el último cierre fechado es el del 30-sep-2026 (64,75 USD) [29]. La capitalización del 8-oct implica unos 62 USD [31]: a ese precio la rentabilidad a 12 meses sería unos 4 puntos mayor. Por eso, y por la confianza baja, la recomendación queda en Mantener hasta confirmar el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31.792, publicada 30.517: revisa acciones y precio. Explicación: La publicada (30.517 M, 8-oct) es posterior al precio usado (30-sep) y la acción siguió cayendo; las acciones (491 M) son estimación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por búsqueda: no devolvió la nota de ingresos por país; 2) comunicado del 4T25: solo segmentos; 3) agregadores: no publican el reparto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BAI e impuestos 2021; gastos generales e intereses 2025; dividendo por acción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 y 2025 por búsqueda: no devolvió esas líneas; 2) comunicados de resultados: solo cabeceras; 3) Stock Analysis y Chartmill: series incompletas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y clientes 2021-2023; inmovilizado, fondo de comercio, circulante y proveedores 2025;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2023-2025 por búsqueda; 2) informe intermedio del 2T26; 3) Stock Analysis y Fintel: solo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operativo 2021; dividendos 2021-2023; recompras 2024; adquisiciones; pagos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2021 por búsqueda: solo el primer semestre; 2) MarketScreener y VCP Scanner: solo capex y flujo libre; 3) comunicados anuales: solo cabeceras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y EBITDA trimestrales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6-K por búsqueda: solo cifras redondeadas en miles de millones; 2) Zacks y Earnings Whispers; 3) Quartr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solo la estimación propia de Alcon; 2) búsqueda de informes de mercado de oftalmología; 3) informe de Cooper del repositorio: solo lentes de contacto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J&amp;J Vision, Bausch + Lomb, Zeiss Meditec y RxSight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2025; 2) informes del repositorio; 3) agregadores: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 y Sustainalytics por búsqueda; 3) no se gastaron más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votos de remuneración,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invitación y acta de la junta 2026 por búsqueda: solo propuestas y aprobación de la gestión; 2) folleto Say on Pay: solo presupuestos; 3) SIX (participaciones) y Form 144 no accesibles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resto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comunicados de resultados; 3) no comprobado: no se ponen nombres sin verificar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13-oct-2026, rango de 52 semanas,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WebFetch no funcionan en este entorno; 2) búsqueda de cotización de SIX y NYSE de octubre: solo páginas sin fecha; 3) AAII: último cierre fechado del 30-sep-2026 (64,75 USD); la capitalización de Stock Analysis del 8-oct (30.517 M) implica unos 62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posición corta e índices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no funciona; 2) búsqueda de estadísticas: sin fecha; 3) informe de Cooper (beta de COO 0,89) usado solo como referencia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del consenso y BPA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abre con WebFetch); 2) MarketBeat y Tickflow: solo BPA; 3) Stock Analysis: solo objetivo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Seeking Alpha y foros suizos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Alcon: ninguno de los últimos tres meses; 2) búsqueda en alemán de foros suizos y Stocktwits: solo noticias; 3) WebFetch de las API de Stocktwits y del RSS de Seeking Alpha: no disponible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intermedio del 2T26 por búsqueda: no devolvió el número de acciones; 2) Stock Analysis: solo capitalización; 3) estimación propia: 495 M de 2025 menos las recompras del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comunicado de resultados del 2T26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https://www.sec.gov/Archives/edgar/data/0001167379/000116737926000030/q22026pressrelease.htm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comunicado de resultados del 4T25 y del año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https://www.sec.gov/Archives/edgar/data/1167379/000116737926000013/q42025pressrelease.htm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https://www.sec.gov/Archives/edgar/data/1167379/000116737926000014/alc-20251231.htm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año 2024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https://www.sec.gov/Archives/edgar/data/1167379/000116737925000007/q42024pressrelease.htm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año 2022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https://www.sec.gov/Archives/edgar/data/1167379/000116737923000010/q42022pressrelease.htm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año 2020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https://www.sec.gov/Archives/edgar/data/1167379/000116737921000006/q42020pressrelease.htm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2021 (amortizaciones y depreciación)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https://www.sec.gov/Archives/edgar/data/1167379/000116737922000011/alc-20211231.htm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1T26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https://www.sec.gov/Archives/edgar/data/0001167379/000116737926000022/q12026pressrelease.htm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informe financiero intermedio a 30-jun-2026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https://www.sec.gov/Archives/edgar/data/0001167379/000116737926000030/alc-20260630_d2.htm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balance anual y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EBITDA, capex y flujo libre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https://www.marketscreener.com/quote/stock/ALCON-INC-56976364/finances/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estados financieros 2018-2025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https://m.macrotrends.net/stocks/charts/ALC/alcon/financial-statements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Q4 2025 earnings summary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https://quartr.com/events/alcon-inc-alc-q4-2025_oqgqRJ5Y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Alcon tops Q2 2026 estimates and lifts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https://www.investing.com/news/transcripts/earnings-call-transcript-alcon-tops-q2-2026-estimates-and-lifts-outlook-93CH-4851789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https://www.fool.com/earnings/call-transcripts/2026/02/25/alcon-alc-q4-2025-earnings-call-transcript/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Alcon-Aktien nach Zahlen gesucht (AWP)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https://www.vermoegenszentrum.ch/boersen-und-maerkte/news/alcon-aktien-nach-zahlen-gesucht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2024 (mercado de 35.000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https://www.sec.gov/Archives/edgar/data/1167379/000116737925000008/alc-20241231.htm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2020 (mercado de 25.000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https://www.sec.gov/Archives/edgar/data/1167379/000116737921000007/alc-20201231.htm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walks away from STAAR Surgical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https://eyesmart.com.au/newsarticle/7411-alcon-walks-away-from-staar-surgical-acquisition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After Failed Merger with Alcon: LENSAR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https://www.mddionline.com/ma/life-after-failed-merger-with-alcon-lensar-must-get-back-to-sustained-growth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Analyst stuft auf Neutral ab – Wettbewerbsdruck in IOLs belastet Ausblick bis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https://goldesel.de/aktien/news/alcon-analyst-stuft-auf-neutral-ab-wettbewerbsdruck-in-iols-belastet-ausblick-bis-2027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Aktie: 60 Millionen Dollar an RxSight gezahlt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https://www.boerse-express.com/news/articles/alcon-aktie-60-millionen-dollar-an-rxsight-gezahlt-936236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https://www.fool.com/earnings/call-transcripts/2026/05/06/alcon-alc-q1-2026-earnings-call-transcript/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https://quartr.com/events/alcon-inc-alc-q2-2026_oqgqTGpN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invitación a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https://www.sec.gov/Archives/edgar/data/1167379/000116737926000019/a2026alconagminvite.htm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acta de la junta general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https://s1.q4cdn.com/963204942/files/doc_events/2026/05/Alcon-Inc-2026-AGM-Minutes-Executed-2026-04-30-19619407-15.pdf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folleto Say on Pay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https://s1.q4cdn.com/963204942/files/doc_events/2026/Apr/30/2026-Say-on-Pay-Brochure.pdf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Alcon Inc.'s (ALC) Stock Is Down (cierre de 64,75 USD 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https://www.aaii.com/investingideas/article/476526-why-alcon-inc8217s-alc-stock-is-down-1072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to USD exchange rate (1 CHF = 1,2370 USD,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https://www.ofx.com/en-us/exchange-rates/chf-to-usd/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Cooper Companies del repositorio (Alcon: capitalización de 30.517 M USD; Bausch + Lomb, EssilorLuxottica, Align)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https://www.marketbeat.com/stocks/NYSE/ALC/forecast/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stock price and forecast (objetivo medio de 85,24 USD, 26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Stock Forecast and Price Target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https://walnutinvest.com/stocks/alc/forecast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Kursziel (15 comprar, 2 mantener, 2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https://aktien.guide/kursziel/Alcon-CH0432492467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https://www.tickflow.io/stock/ALC/forecast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https://www.macrotrends.net/stocks/charts/ALC/alcon/stock-price-history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 Price History (cierres mensuales sin ajustar)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https://www.digrin.com/stocks/detail/ALC/price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 returns (rentabilidad total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https://chartrow.com/quote/alc/returns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en el 5,21-5,24 %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Earnings Date (próximos resultados el 10-nov-2026)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https://unusualwhales.com/stock/ALC/earnings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EssilorLuxottica del repositorio (Hoya, Sonova, Demant, Cooper)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Straumann del repositorio (Coloplast, Smith &amp; Nephew, Edwards)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https://www.marketscreener.com/quote/stock/COLOPLAST-A-S-1412980/finances/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 for $1.6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for up to $79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to acquire STAAR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https://www.sec.gov/Archives/edgar/data/718937/000119312525173090/d30729dex991.htm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Unity VCS and LumiThera will drive global eye care transformation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https://simplywall.st/community/narratives/ch/healthcare/vtx-alc/alcon-shares/x695eizm-unity-vcs-and-lumithera-will-drive-global-eye-care-transformation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Unity VCS and Precision7 launches will strengthen position in eye care market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https://simplywall.st/narratives/unity-vcs-and-precision7-launches-will-strengthen-position-in-eye-care-market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price target, bull and bear points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https://www.tipranks.com/stocks/gb:0a0d/price-target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übertrifft Markterwartungen und erhöht Jahresziele – die Einschätzung von Experten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https://www.cash.ch/news/top-news/alcon-ubertrifft-markterwartungen-und-erhoht-jahresziele-die-einschatzung-von-experten-959964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Q2 2026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https://www.gurufocus.com/news/9025789/alcon-inc-alc-q2-2026-earnings-call-highlights-strong-sales-growth-and-strategic-pivots-amid-pipeline-challenges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Alcon's Vision Care Momentum Faces Its First Real 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https://www.barchart.com/story/news/3727138/alcon-s-vision-care-momentum-faces-its-first-real-test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83,9 %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la empresa, SIX y los proveedores de datos no se pudieron abrir, y las herramientas descargar.mjs y bolsa.mjs no funcionan aquí. Las cifras salen de los extractos de búsqueda de los comunicados 6-K, del 20-F y de agregadores (Stock Analysis, MarketScreener, Macrotrends), con la URL como fuente; lo que no cuadró está en null y en los huecos. La confianza de los datos de núcleo es baja. Cuentas en USD con NIIF; ejercicio natural. La acción cotiza en CHF en SIX (línea principal) y en USD en NYSE: el precio del informe es el último cierre fechado encontrado en NYSE (64,75 USD el 30-sep-2026) [29], convertido a CHF con 1,237 USD por franco (OFX, 4-sep-2026) [30]; la capitalización de Stock Analysis del 8-oct (30.517 M USD) implica unos 62 USD [31]. Las acciones (491 M) son estimación propia: 495 M diluidas de 2025 menos las recompras del primer semestre de 2026. El EBITDA histórico es el de MarketScreener (resultado operativo publicado más amortizaciones), que cuadra con las cuentas en 2021 (EBIT 580 M + amortizaciones 1.219 M) [7, 12]. El BPA del objetivo a 12 meses, el PER histórico y los comparables están en base core (sin amortización de intangibles de compras, deterioros ni integración). Los arrendamientos NIIF 16 no se han podido separar de la deuda financiera publicada.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Alcon Inc. (ALC)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Hoja1!$B$2:$B$8</c:f>
              <c:numCache>
                <c:formatCode>#,##0</c:formatCode>
                <c:ptCount val="7"/>
                <c:pt idx="0">
                  <c:v>62</c:v>
                </c:pt>
                <c:pt idx="1">
                  <c:v>57.94</c:v>
                </c:pt>
                <c:pt idx="2">
                  <c:v>78.37</c:v>
                </c:pt>
                <c:pt idx="3">
                  <c:v>57.65</c:v>
                </c:pt>
                <c:pt idx="4">
                  <c:v>54.41</c:v>
                </c:pt>
                <c:pt idx="5">
                  <c:v>70.84</c:v>
                </c:pt>
                <c:pt idx="6">
                  <c:v>64.43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Hoja1!$C$2:$C$8</c:f>
              <c:numCache>
                <c:formatCode>#,##0</c:formatCode>
                <c:ptCount val="7"/>
                <c:pt idx="0">
                  <c:v>45.400000000000006</c:v>
                </c:pt>
                <c:pt idx="1">
                  <c:v>31.049999999999997</c:v>
                </c:pt>
                <c:pt idx="2">
                  <c:v>29.769999999999996</c:v>
                </c:pt>
                <c:pt idx="3">
                  <c:v>18.119999999999997</c:v>
                </c:pt>
                <c:pt idx="4">
                  <c:v>17.560000000000002</c:v>
                </c:pt>
                <c:pt idx="5">
                  <c:v>15.259999999999991</c:v>
                </c:pt>
                <c:pt idx="6">
                  <c:v>0.6399999999999864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Cirugía (Surgical)</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5522</c:v>
                </c:pt>
                <c:pt idx="1">
                  <c:v>5751</c:v>
                </c:pt>
              </c:numCache>
            </c:numRef>
          </c:val>
        </c:ser>
        <c:ser>
          <c:idx val="1"/>
          <c:order val="1"/>
          <c:tx>
            <c:strRef>
              <c:f>Hoja1!$C$1</c:f>
              <c:strCache>
                <c:ptCount val="1"/>
                <c:pt idx="0">
                  <c:v>Visión (Vision Care)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4314</c:v>
                </c:pt>
                <c:pt idx="1">
                  <c:v>4568</c:v>
                </c:pt>
              </c:numCache>
            </c:numRef>
          </c:val>
        </c:ser>
        <c:ser>
          <c:idx val="2"/>
          <c:order val="2"/>
          <c:tx>
            <c:strRef>
              <c:f>Hoja1!$D$1</c:f>
              <c:strCache>
                <c:ptCount val="1"/>
                <c:pt idx="0">
                  <c:v>Otros ingresos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75</c:v>
                </c:pt>
                <c:pt idx="1">
                  <c:v>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Cirugía (Surgical)</c:v>
                </c:pt>
                <c:pt idx="1">
                  <c:v>Visión (Vision Care)</c:v>
                </c:pt>
                <c:pt idx="2">
                  <c:v>Otros ingresos</c:v>
                </c:pt>
              </c:strCache>
            </c:strRef>
          </c:cat>
          <c:val>
            <c:numRef>
              <c:f>Hoja1!$B$2:$B$4</c:f>
              <c:numCache>
                <c:formatCode>General</c:formatCode>
                <c:ptCount val="3"/>
                <c:pt idx="0">
                  <c:v>55.3</c:v>
                </c:pt>
                <c:pt idx="1">
                  <c:v>43.9</c:v>
                </c:pt>
                <c:pt idx="2">
                  <c:v>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2019</c:v>
                </c:pt>
                <c:pt idx="1">
                  <c:v>2024</c:v>
                </c:pt>
                <c:pt idx="2">
                  <c:v>2025</c:v>
                </c:pt>
                <c:pt idx="3">
                  <c:v>2030e</c:v>
                </c:pt>
              </c:strCache>
            </c:strRef>
          </c:cat>
          <c:val>
            <c:numRef>
              <c:f>Hoja1!$B$2:$B$5</c:f>
              <c:numCache>
                <c:formatCode>#,##0</c:formatCode>
                <c:ptCount val="4"/>
                <c:pt idx="0">
                  <c:v>25000</c:v>
                </c:pt>
                <c:pt idx="1">
                  <c:v>35000</c:v>
                </c:pt>
                <c:pt idx="2">
                  <c:v>37000</c:v>
                </c:pt>
                <c:pt idx="3">
                  <c:v>47000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Alcon</c:v>
                </c:pt>
                <c:pt idx="1">
                  <c:v>Johnson &amp; Johnson Vision</c:v>
                </c:pt>
                <c:pt idx="2">
                  <c:v>Cooper Companies (CooperVision)</c:v>
                </c:pt>
                <c:pt idx="3">
                  <c:v>Bausch + Lomb</c:v>
                </c:pt>
                <c:pt idx="4">
                  <c:v>RxSight</c:v>
                </c:pt>
              </c:strCache>
            </c:strRef>
          </c:cat>
          <c:val>
            <c:numRef>
              <c:f>Hoja1!$B$2:$B$6</c:f>
              <c:numCache>
                <c:formatCode>0.0"%"</c:formatCode>
                <c:ptCount val="5"/>
                <c:pt idx="0">
                  <c:v>13.1</c:v>
                </c:pt>
                <c:pt idx="2">
                  <c:v>26.6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8291</c:v>
                </c:pt>
                <c:pt idx="1">
                  <c:v>8717</c:v>
                </c:pt>
                <c:pt idx="2">
                  <c:v>9555</c:v>
                </c:pt>
                <c:pt idx="3">
                  <c:v>9911</c:v>
                </c:pt>
                <c:pt idx="4">
                  <c:v>10401</c:v>
                </c:pt>
                <c:pt idx="5">
                  <c:v>11129</c:v>
                </c:pt>
                <c:pt idx="6">
                  <c:v>11797</c:v>
                </c:pt>
                <c:pt idx="7">
                  <c:v>12505</c:v>
                </c:pt>
                <c:pt idx="8">
                  <c:v>13192</c:v>
                </c:pt>
                <c:pt idx="9">
                  <c:v>13852</c:v>
                </c:pt>
                <c:pt idx="10">
                  <c:v>14475</c:v>
                </c:pt>
                <c:pt idx="11">
                  <c:v>15054</c:v>
                </c:pt>
                <c:pt idx="12">
                  <c:v>15581</c:v>
                </c:pt>
                <c:pt idx="13">
                  <c:v>16049</c:v>
                </c:pt>
                <c:pt idx="14">
                  <c:v>16530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1799</c:v>
                </c:pt>
                <c:pt idx="1">
                  <c:v>1795</c:v>
                </c:pt>
                <c:pt idx="2">
                  <c:v>2325</c:v>
                </c:pt>
                <c:pt idx="3">
                  <c:v>2502</c:v>
                </c:pt>
                <c:pt idx="4">
                  <c:v>2677</c:v>
                </c:pt>
                <c:pt idx="5">
                  <c:v>2971</c:v>
                </c:pt>
                <c:pt idx="6">
                  <c:v>3221</c:v>
                </c:pt>
                <c:pt idx="7">
                  <c:v>3476</c:v>
                </c:pt>
                <c:pt idx="8">
                  <c:v>3720</c:v>
                </c:pt>
                <c:pt idx="9">
                  <c:v>3948</c:v>
                </c:pt>
                <c:pt idx="10">
                  <c:v>4125</c:v>
                </c:pt>
                <c:pt idx="11">
                  <c:v>4290</c:v>
                </c:pt>
                <c:pt idx="12">
                  <c:v>4441</c:v>
                </c:pt>
                <c:pt idx="13">
                  <c:v>4574</c:v>
                </c:pt>
                <c:pt idx="14">
                  <c:v>4711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56.6</c:v>
                </c:pt>
                <c:pt idx="1">
                  <c:v>55.2</c:v>
                </c:pt>
                <c:pt idx="2">
                  <c:v>54.9</c:v>
                </c:pt>
                <c:pt idx="3">
                  <c:v>55.6</c:v>
                </c:pt>
                <c:pt idx="4">
                  <c:v>55.7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21.7</c:v>
                </c:pt>
                <c:pt idx="1">
                  <c:v>20.6</c:v>
                </c:pt>
                <c:pt idx="2">
                  <c:v>24.3</c:v>
                </c:pt>
                <c:pt idx="3">
                  <c:v>25.2</c:v>
                </c:pt>
                <c:pt idx="4">
                  <c:v>25.7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c:v>
                </c:pt>
                <c:pt idx="1">
                  <c:v>7.7</c:v>
                </c:pt>
                <c:pt idx="2">
                  <c:v>10.9</c:v>
                </c:pt>
                <c:pt idx="3">
                  <c:v>14.3</c:v>
                </c:pt>
                <c:pt idx="4">
                  <c:v>13.1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4.5</c:v>
                </c:pt>
                <c:pt idx="1">
                  <c:v>3.8</c:v>
                </c:pt>
                <c:pt idx="2">
                  <c:v>10.2</c:v>
                </c:pt>
                <c:pt idx="3">
                  <c:v>10.3</c:v>
                </c:pt>
                <c:pt idx="4">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9</c:v>
                </c:pt>
                <c:pt idx="5">
                  <c:v>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3">
                  <c:v>7</c:v>
                </c:pt>
                <c:pt idx="5">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64</c:v>
                </c:pt>
                <c:pt idx="4">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3">
                  <c:v>188</c:v>
                </c:pt>
                <c:pt idx="4">
                  <c:v>189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92</c:v>
                </c:pt>
                <c:pt idx="1">
                  <c:v>80</c:v>
                </c:pt>
                <c:pt idx="2">
                  <c:v>69</c:v>
                </c:pt>
                <c:pt idx="3">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581</c:v>
                </c:pt>
                <c:pt idx="2">
                  <c:v>730</c:v>
                </c:pt>
                <c:pt idx="3">
                  <c:v>1604</c:v>
                </c:pt>
                <c:pt idx="4">
                  <c:v>1728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376</c:v>
                </c:pt>
                <c:pt idx="1">
                  <c:v>335</c:v>
                </c:pt>
                <c:pt idx="2">
                  <c:v>974</c:v>
                </c:pt>
                <c:pt idx="3">
                  <c:v>1018</c:v>
                </c:pt>
                <c:pt idx="4">
                  <c:v>980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c:v>
                </c:pt>
                <c:pt idx="1">
                  <c:v>2.2</c:v>
                </c:pt>
                <c:pt idx="2">
                  <c:v>4.4</c:v>
                </c:pt>
                <c:pt idx="3">
                  <c:v>4.7</c:v>
                </c:pt>
                <c:pt idx="4">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c:v>
                </c:pt>
                <c:pt idx="1">
                  <c:v>1.7</c:v>
                </c:pt>
                <c:pt idx="2">
                  <c:v>4.8</c:v>
                </c:pt>
                <c:pt idx="3">
                  <c:v>4.8</c:v>
                </c:pt>
                <c:pt idx="4">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1.33</c:v>
                </c:pt>
                <c:pt idx="1">
                  <c:v>1.98</c:v>
                </c:pt>
                <c:pt idx="2">
                  <c:v>1.57</c:v>
                </c:pt>
                <c:pt idx="3">
                  <c:v>1.19</c:v>
                </c:pt>
                <c:pt idx="4">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3">
                  <c:v>130</c:v>
                </c:pt>
                <c:pt idx="4">
                  <c:v>166</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4">
                  <c:v>676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16.6</c:v>
                </c:pt>
                <c:pt idx="1">
                  <c:v>32.2</c:v>
                </c:pt>
                <c:pt idx="2">
                  <c:v>-21.1</c:v>
                </c:pt>
                <c:pt idx="3">
                  <c:v>14.3</c:v>
                </c:pt>
                <c:pt idx="4">
                  <c:v>9</c:v>
                </c:pt>
                <c:pt idx="5">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25</c:v>
                </c:pt>
                <c:pt idx="1">
                  <c:v>20.8</c:v>
                </c:pt>
                <c:pt idx="2">
                  <c:v>18.2</c:v>
                </c:pt>
                <c:pt idx="3">
                  <c:v>18</c:v>
                </c:pt>
                <c:pt idx="4">
                  <c:v>15.8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18.1</c:v>
                </c:pt>
                <c:pt idx="1">
                  <c:v>18.1</c:v>
                </c:pt>
                <c:pt idx="2">
                  <c:v>18.1</c:v>
                </c:pt>
                <c:pt idx="3">
                  <c:v>18.1</c:v>
                </c:pt>
                <c:pt idx="4">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Alcon</c:v>
                </c:pt>
                <c:pt idx="1">
                  <c:v>EssilorLuxottica</c:v>
                </c:pt>
                <c:pt idx="2">
                  <c:v>Hoya</c:v>
                </c:pt>
                <c:pt idx="3">
                  <c:v>Cooper Companies</c:v>
                </c:pt>
                <c:pt idx="4">
                  <c:v>Bausch + Lomb</c:v>
                </c:pt>
                <c:pt idx="5">
                  <c:v>Sonova</c:v>
                </c:pt>
                <c:pt idx="6">
                  <c:v>Demant</c:v>
                </c:pt>
                <c:pt idx="7">
                  <c:v>Coloplast</c:v>
                </c:pt>
                <c:pt idx="8">
                  <c:v>Smith &amp; Nephew</c:v>
                </c:pt>
                <c:pt idx="9">
                  <c:v>Align Technology</c:v>
                </c:pt>
                <c:pt idx="10">
                  <c:v>Edwards Lifesciences</c:v>
                </c:pt>
              </c:strCache>
            </c:strRef>
          </c:cat>
          <c:val>
            <c:numRef>
              <c:f>Hoja1!$B$2:$B$12</c:f>
              <c:numCache>
                <c:formatCode>0.0"x"</c:formatCode>
                <c:ptCount val="11"/>
                <c:pt idx="1">
                  <c:v>9.7</c:v>
                </c:pt>
                <c:pt idx="3">
                  <c:v>10.3</c:v>
                </c:pt>
                <c:pt idx="4">
                  <c:v>9.5</c:v>
                </c:pt>
                <c:pt idx="5">
                  <c:v>14.5</c:v>
                </c:pt>
                <c:pt idx="6">
                  <c:v>13</c:v>
                </c:pt>
                <c:pt idx="7">
                  <c:v>13.3</c:v>
                </c:pt>
                <c:pt idx="8">
                  <c:v>8.2</c:v>
                </c:pt>
                <c:pt idx="9">
                  <c:v>7.4</c:v>
                </c:pt>
                <c:pt idx="10">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9.7</c:v>
                </c:pt>
              </c:numCache>
            </c:numRef>
          </c:yVal>
          <c:smooth val="0"/>
        </c:ser>
        <c:ser>
          <c:idx val="1"/>
          <c:order val="1"/>
          <c:tx>
            <c:strRef>
              <c:f>Hoja1!$A$3</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3.2</c:v>
                </c:pt>
              </c:numCache>
            </c:numRef>
          </c:xVal>
          <c:yVal>
            <c:numRef>
              <c:f>Hoja1!$C$3</c:f>
              <c:numCache>
                <c:formatCode>0.0"x"</c:formatCode>
                <c:ptCount val="1"/>
                <c:pt idx="0">
                  <c:v>10.3</c:v>
                </c:pt>
              </c:numCache>
            </c:numRef>
          </c:yVal>
          <c:smooth val="0"/>
        </c:ser>
        <c:ser>
          <c:idx val="2"/>
          <c:order val="2"/>
          <c:tx>
            <c:strRef>
              <c:f>Hoja1!$A$4</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6.3</c:v>
                </c:pt>
              </c:numCache>
            </c:numRef>
          </c:xVal>
          <c:yVal>
            <c:numRef>
              <c:f>Hoja1!$C$4</c:f>
              <c:numCache>
                <c:formatCode>0.0"x"</c:formatCode>
                <c:ptCount val="1"/>
                <c:pt idx="0">
                  <c:v>9.5</c:v>
                </c:pt>
              </c:numCache>
            </c:numRef>
          </c:yVal>
          <c:smooth val="0"/>
        </c:ser>
        <c:ser>
          <c:idx val="3"/>
          <c:order val="3"/>
          <c:tx>
            <c:strRef>
              <c:f>Hoja1!$A$5</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14.5</c:v>
                </c:pt>
              </c:numCache>
            </c:numRef>
          </c:yVal>
          <c:smooth val="0"/>
        </c:ser>
        <c:ser>
          <c:idx val="4"/>
          <c:order val="4"/>
          <c:tx>
            <c:strRef>
              <c:f>Hoja1!$A$6</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9.8</c:v>
                </c:pt>
              </c:numCache>
            </c:numRef>
          </c:xVal>
          <c:yVal>
            <c:numRef>
              <c:f>Hoja1!$C$6</c:f>
              <c:numCache>
                <c:formatCode>0.0"x"</c:formatCode>
                <c:ptCount val="1"/>
                <c:pt idx="0">
                  <c:v>13</c:v>
                </c:pt>
              </c:numCache>
            </c:numRef>
          </c:yVal>
          <c:smooth val="0"/>
        </c:ser>
        <c:ser>
          <c:idx val="5"/>
          <c:order val="5"/>
          <c:tx>
            <c:strRef>
              <c:f>Hoja1!$A$7</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7.6</c:v>
                </c:pt>
              </c:numCache>
            </c:numRef>
          </c:xVal>
          <c:yVal>
            <c:numRef>
              <c:f>Hoja1!$C$7</c:f>
              <c:numCache>
                <c:formatCode>0.0"x"</c:formatCode>
                <c:ptCount val="1"/>
                <c:pt idx="0">
                  <c:v>13.3</c:v>
                </c:pt>
              </c:numCache>
            </c:numRef>
          </c:yVal>
          <c:smooth val="0"/>
        </c:ser>
        <c:ser>
          <c:idx val="6"/>
          <c:order val="6"/>
          <c:tx>
            <c:strRef>
              <c:f>Hoja1!$A$8</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5.1</c:v>
                </c:pt>
              </c:numCache>
            </c:numRef>
          </c:xVal>
          <c:yVal>
            <c:numRef>
              <c:f>Hoja1!$C$8</c:f>
              <c:numCache>
                <c:formatCode>0.0"x"</c:formatCode>
                <c:ptCount val="1"/>
                <c:pt idx="0">
                  <c:v>8.2</c:v>
                </c:pt>
              </c:numCache>
            </c:numRef>
          </c:yVal>
          <c:smooth val="0"/>
        </c:ser>
        <c:ser>
          <c:idx val="7"/>
          <c:order val="7"/>
          <c:tx>
            <c:strRef>
              <c:f>Hoja1!$A$9</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3.6</c:v>
                </c:pt>
              </c:numCache>
            </c:numRef>
          </c:xVal>
          <c:yVal>
            <c:numRef>
              <c:f>Hoja1!$C$9</c:f>
              <c:numCache>
                <c:formatCode>0.0"x"</c:formatCode>
                <c:ptCount val="1"/>
                <c:pt idx="0">
                  <c:v>7.4</c:v>
                </c:pt>
              </c:numCache>
            </c:numRef>
          </c:yVal>
          <c:smooth val="0"/>
        </c:ser>
        <c:ser>
          <c:idx val="8"/>
          <c:order val="8"/>
          <c:tx>
            <c:strRef>
              <c:f>Hoja1!$A$10</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10.5</c:v>
                </c:pt>
              </c:numCache>
            </c:numRef>
          </c:xVal>
          <c:yVal>
            <c:numRef>
              <c:f>Hoja1!$C$10</c:f>
              <c:numCache>
                <c:formatCode>0.0"x"</c:formatCode>
                <c:ptCount val="1"/>
                <c:pt idx="0">
                  <c:v>19.4</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Generate Life Sciences</c:v>
                </c:pt>
                <c:pt idx="1">
                  <c:v>Xiidra (Novartis)</c:v>
                </c:pt>
                <c:pt idx="2">
                  <c:v>Hologic</c:v>
                </c:pt>
                <c:pt idx="3">
                  <c:v>STAAR Surgical</c:v>
                </c:pt>
              </c:strCache>
            </c:strRef>
          </c:cat>
          <c:val>
            <c:numRef>
              <c:f>Hoja1!$B$2:$B$5</c:f>
              <c:numCache>
                <c:formatCode>0.0"x"</c:formatCode>
                <c:ptCount val="4"/>
                <c:pt idx="2">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2593</c:v>
                </c:pt>
                <c:pt idx="1">
                  <c:v>1885</c:v>
                </c:pt>
                <c:pt idx="2">
                  <c:v>2047</c:v>
                </c:pt>
                <c:pt idx="3">
                  <c:v>2219</c:v>
                </c:pt>
                <c:pt idx="4">
                  <c:v>2381</c:v>
                </c:pt>
                <c:pt idx="5">
                  <c:v>2505</c:v>
                </c:pt>
                <c:pt idx="6">
                  <c:v>2625</c:v>
                </c:pt>
                <c:pt idx="7">
                  <c:v>2738</c:v>
                </c:pt>
                <c:pt idx="8">
                  <c:v>2842</c:v>
                </c:pt>
                <c:pt idx="9">
                  <c:v>2907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15156</c:v>
                </c:pt>
                <c:pt idx="1">
                  <c:v>20323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64,75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54.41</c:v>
                </c:pt>
                <c:pt idx="1">
                  <c:v>65.37</c:v>
                </c:pt>
                <c:pt idx="2">
                  <c:v>71.97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Hoja1!$B$2:$B$8</c:f>
              <c:numCache>
                <c:formatCode>#,##0</c:formatCode>
                <c:ptCount val="7"/>
                <c:pt idx="0">
                  <c:v>62</c:v>
                </c:pt>
                <c:pt idx="1">
                  <c:v>57.94</c:v>
                </c:pt>
                <c:pt idx="2">
                  <c:v>78.37</c:v>
                </c:pt>
                <c:pt idx="3">
                  <c:v>57.65</c:v>
                </c:pt>
                <c:pt idx="4">
                  <c:v>54.41</c:v>
                </c:pt>
                <c:pt idx="5">
                  <c:v>70.84</c:v>
                </c:pt>
                <c:pt idx="6">
                  <c:v>64.43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Hoja1!$C$2:$C$8</c:f>
              <c:numCache>
                <c:formatCode>#,##0</c:formatCode>
                <c:ptCount val="7"/>
                <c:pt idx="0">
                  <c:v>45.400000000000006</c:v>
                </c:pt>
                <c:pt idx="1">
                  <c:v>31.049999999999997</c:v>
                </c:pt>
                <c:pt idx="2">
                  <c:v>29.769999999999996</c:v>
                </c:pt>
                <c:pt idx="3">
                  <c:v>18.119999999999997</c:v>
                </c:pt>
                <c:pt idx="4">
                  <c:v>17.560000000000002</c:v>
                </c:pt>
                <c:pt idx="5">
                  <c:v>15.259999999999991</c:v>
                </c:pt>
                <c:pt idx="6">
                  <c:v>0.6399999999999864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