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ASML Holding N.V.</w:t>
      </w:r>
    </w:p>
    <w:p>
      <w:pPr>
        <w:spacing w:after="60"/>
        <w:rPr>
          <w:color w:val="52514E"/>
          <w:sz w:val="22"/>
          <w:szCs w:val="22"/>
        </w:rPr>
      </w:pPr>
      <w:r>
        <w:rPr>
          <w:color w:val="52514E"/>
          <w:sz w:val="22"/>
          <w:szCs w:val="22"/>
        </w:rPr>
        <w:t xml:space="preserve">ASML.AS · Euronext Ámsterdam (también Nasdaq, ASML) · ISIN NL0010273215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1.509,60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1.767,12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+17,6 % (base +23,0 %)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1.082,19 EUR · mercado 1.258,65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578.932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ASML Holding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ASML.AS / NL0010273215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 (también Nasdaq, ASML)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Veldhoven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www.asml.com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1.509,60 (13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578.932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569.317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1.767,12 EUR</w:t>
      </w:r>
      <w:r>
        <w:t xml:space="preserve"> frente a 1.509,60 · Rentabilidad a 12 meses </w:t>
      </w:r>
      <w:r>
        <w:rPr>
          <w:b/>
          <w:bCs/>
        </w:rPr>
        <w:t xml:space="preserve">+17,6 % (base +23,0 %)</w:t>
      </w:r>
      <w:r>
        <w:t xml:space="preserve"> · Valor intrínseco 1.082,19 EUR · con la prima implícita del mercado: 1.258,65 (-16,6 %) · Alcista / bajista -14,5 % / -63,7 %</w:t>
      </w:r>
    </w:p>
    <w:p>
      <w:pPr>
        <w:spacing w:after="100"/>
      </w:pPr>
      <w:r>
        <w:rPr>
          <w:b/>
        </w:rPr>
        <w:t xml:space="preserve">La recomendación y por qué.</w:t>
      </w:r>
      <w:r>
        <w:t xml:space="preserve"> Mantener, con convicción media. Con nuestro BPA y la regla común de múltiplos, el objetivo a 12 meses es de 1.751,37 EUR frente a 1.509,60 EUR de cierre del 13 de octubre: +16,5 % ponderado y +18,0 % en el caso base, con dividendo. Pasa los dos umbrales de rentabilidad (15 % y 12 %), pero no el tercero: el valor intrínseco (1.082,19 EUR) queda un 28,3 % por debajo del precio. El objetivo medio de los analistas (2.045 EUR) queda por encima de nuestro base. La convicción es media porque las dos reglas del valor intrínseco coinciden y estamos lejos de sus umbrales; subiría si el precio bajase de 1.082 EUR o si la guía de 2027 (27 de enero) mostrase ventas por encima de 58.000 M, y bajaría si los clientes empezasen a aplazar entregas.</w:t>
      </w:r>
    </w:p>
    <w:p>
      <w:pPr>
        <w:spacing w:after="100"/>
      </w:pPr>
      <w:r>
        <w:rPr>
          <w:b/>
        </w:rPr>
        <w:t xml:space="preserve">El negocio.</w:t>
      </w:r>
      <w:r>
        <w:t xml:space="preserve"> ASML es el único fabricante de máquinas EUV y tiene más del 90 % del valor de la litografía [25]. El ROIC de 2025 (89 %) supera al WACC (10,1 %) en casi 79 puntos, porque los clientes adelantan el dinero de las máquinas. La calidad sostiene el crecimiento que proyectamos (veredicto «Sí»): crecer un 11,5 % al año casi no exige capital y el margen bruto pasó del 51,3 % de 2024 al 57,5 % del 3T26 sin bajar precios [3, 11].</w:t>
      </w:r>
    </w:p>
    <w:p>
      <w:pPr>
        <w:spacing w:after="100"/>
      </w:pPr>
      <w:r>
        <w:rPr>
          <w:b/>
        </w:rPr>
        <w:t xml:space="preserve">Sector y ciclo.</w:t>
      </w:r>
      <w:r>
        <w:t xml:space="preserve"> El ciclo está en plena expansión: SEMI prevé que el equipo de fabricación crezca un 23 % en 2026, un 21,8 % en 2027 y un 14,1 % en 2028 [24]. ASML dice que la oferta de 2027-2028 no cubrirá la demanda aun con un 30 % más de capacidad al año [19]. Es lo que hace la tesis fuerte a un año y frágil a cinco: los ciclos de semiconductores siempre han tenido años de caída.</w:t>
      </w:r>
    </w:p>
    <w:p>
      <w:pPr>
        <w:spacing w:after="100"/>
      </w:pPr>
      <w:r>
        <w:rPr>
          <w:b/>
        </w:rPr>
        <w:t xml:space="preserve">Finanzas.</w:t>
      </w:r>
      <w:r>
        <w:t xml:space="preserve"> Las ventas de 2026 subirán a 44.000-45.000 M (+36 %) con un margen bruto del 56 % [11]. El 3T26 batió las previsiones (BPA de 12,95 EUR frente a 10,68 esperados), aunque 1,33 EUR vienen de revalorizar Mistral AI [12, 16]. Caja neta de unos 9.600 M; recompras de hasta 12.000 M en 2026-2028 [13, 15].</w:t>
      </w:r>
    </w:p>
    <w:p>
      <w:pPr>
        <w:spacing w:after="100"/>
      </w:pPr>
      <w:r>
        <w:rPr>
          <w:b/>
        </w:rPr>
        <w:t xml:space="preserve">Valoración.</w:t>
      </w:r>
      <w:r>
        <w:t xml:space="preserve"> El DCF da 924,14 EUR (1.163,84 EUR con la prima implícita del mercado) y los comparables, 1.596,03 EUR. El precio descuenta un crecimiento anual del 15,2 % hasta 2035 frente al 8,7 % de nuestro base, o una rentabilidad implícita del 7,2 %, por debajo de nuestro WACC (10,1 %) y del 8,5 % que pide hoy el mercado. Ahí discrepamos del mercado: no en el negocio, sino en cuánto dura el ciclo. A 12 meses, en cambio, el mercado paga un PER y no un DCF: a 28,5 veces nuestro BPA de 2027 (por debajo de su mediana de 34,9x), el beneficio que crece un 25 % al año sostiene la cotización.</w:t>
      </w:r>
    </w:p>
    <w:p>
      <w:pPr>
        <w:spacing w:after="100"/>
      </w:pPr>
      <w:r>
        <w:rPr>
          <w:b/>
        </w:rPr>
        <w:t xml:space="preserve">Riesgos y catalizadores.</w:t>
      </w:r>
      <w:r>
        <w:t xml:space="preserve"> El mayor riesgo es una pausa de la inversión en IA como la de la memoria en 2023: el bajista a 12 meses pierde un 15,4 % y sobre el DCF, un 64 %. El segundo es la compresión del múltiplo desde unas 30 veces. El tercero, que los controles de exportación lleguen al servicio en China (≈ 20 % de las ventas) [19]. Catalizador con fecha: la guía de 2027 el 27 de enero. Los foros no son eufóricos: discuten la valoración y la acción cayó el día del récord.</w:t>
      </w:r>
    </w:p>
    <w:p>
      <w:pPr>
        <w:spacing w:after="100"/>
      </w:pPr>
      <w:r>
        <w:rPr>
          <w:b/>
        </w:rPr>
        <w:t xml:space="preserve">Qué cambiaría la decisión.</w:t>
      </w:r>
      <w:r>
        <w:t xml:space="preserve"> Compraríamos por debajo de 1.082 EUR, donde el valor intrínseco cubre el precio; venderíamos por encima de 1.954 EUR. Pasaríamos a Vender si la guía de 2027 apunta a crecer menos de un 10 % o si el margen bruto del 4T26 baja del 54 %.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1.767,12 EUR</w:t>
      </w:r>
      <w:r>
        <w:t xml:space="preserve"> (rentabilidad +17,6 % (base +23,0 %)) · Valor intrínseco: 1.082,19 EUR (-28,3 % sobre 1.509,60) · con la prima implícita del mercado: 1.258,65 (-16,6 %)</w:t>
      </w:r>
    </w:p>
    <w:p>
      <w:pPr>
        <w:spacing w:after="100"/>
      </w:pPr>
      <w:r>
        <w:t xml:space="preserve">ASML es un monopolio: el único fabricante de máquinas EUV, sin las que no se fabrican los chips de IA, de 2 nm ni la memoria HBM. Vendió 32.667 M EUR en 2025 con un margen operativo del 34,6 % y venderá 44.000-45.000 M en 2026 con un margen bruto del 56 %, y su ROIC (89 %) multiplica por nueve el coste de capital [2, 11].</w:t>
      </w:r>
    </w:p>
    <w:p>
      <w:pPr>
        <w:spacing w:after="100"/>
      </w:pPr>
      <w:r>
        <w:t xml:space="preserve">El precio, 1.509,60 EUR, descuenta un crecimiento anual de las ventas del 15,2 % de 2027 a 2035 con márgenes del 46 %, frente al 8,7 % de nuestro base; o una rentabilidad anual del 7,2 %, menor que su WACC. Cotiza a 30,7 veces el BPA de los próximos 12 meses, en línea con el resto de fabricantes de equipos (32,5x) [35].</w:t>
      </w:r>
    </w:p>
    <w:p>
      <w:pPr>
        <w:spacing w:after="100"/>
      </w:pPr>
      <w:r>
        <w:t xml:space="preserve">El mercado acierta en el negocio y en el corto plazo: la capacidad de 2027-2028 está vendida y el beneficio puede crecer un 25 % al año hasta 2028. Se equivoca, creemos, al pagar ese crecimiento como si el ciclo no fuera a tener caídas. Para invertir hay que creer que la inversión en IA no se frena en cinco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1.767,12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 × 52,48 = 1.243,78 · 29,7x × 62,25 = 1.848,83 · 34,2x × 68,65 = 2.347,83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2.045,00 (nuestro base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-63,7 %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10,1 %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 frente a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1.082,19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1.082,19 y 1.971,79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1.971,79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1.082 EUR (el valor intrínseco cubre el precio): Comprar.</w:t>
      </w:r>
    </w:p>
    <w:p>
      <w:pPr>
        <w:pStyle w:val="ListParagraph"/>
        <w:numPr>
          <w:ilvl w:val="0"/>
          <w:numId w:val="2"/>
        </w:numPr>
        <w:spacing w:after="60"/>
      </w:pPr>
      <w:r>
        <w:t xml:space="preserve">Guía de 2027 (27-ene-2027) con crecimiento inferior al 10 %: Vender.</w:t>
      </w:r>
    </w:p>
    <w:p>
      <w:pPr>
        <w:pStyle w:val="ListParagraph"/>
        <w:numPr>
          <w:ilvl w:val="0"/>
          <w:numId w:val="2"/>
        </w:numPr>
        <w:spacing w:after="60"/>
      </w:pPr>
      <w:r>
        <w:t xml:space="preserve">Margen bruto del 4T26 por debajo del 54 % (guía del 57 %): revisar a la baja.</w:t>
      </w:r>
    </w:p>
    <w:p>
      <w:pPr>
        <w:pStyle w:val="ListParagraph"/>
        <w:numPr>
          <w:ilvl w:val="0"/>
          <w:numId w:val="2"/>
        </w:numPr>
        <w:spacing w:after="60"/>
      </w:pPr>
      <w:r>
        <w:t xml:space="preserve">Cartera de pedidos a fin de 2026 por debajo de 38.800 M: Vender.</w:t>
      </w:r>
    </w:p>
    <w:p>
      <w:pPr>
        <w:pStyle w:val="ListParagraph"/>
        <w:numPr>
          <w:ilvl w:val="0"/>
          <w:numId w:val="2"/>
        </w:numPr>
        <w:spacing w:after="60"/>
      </w:pPr>
      <w:r>
        <w:t xml:space="preserve">Nuevos controles que prohíban el servicio a la base instalada china: revisar.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el precio pide un crecimiento anual del 15,2 % hasta 2035, unas ventas de unos 159.000 M en 2035 (93.000 M en nuestro base) sin años de caída, y un PER cercano a 30 veces que se mantiene.</w:t>
      </w:r>
    </w:p>
    <w:p>
      <w:pPr>
        <w:keepNext/>
        <w:spacing w:after="100"/>
      </w:pPr>
      <w:r>
        <w:rPr>
          <w:b/>
          <w:bCs/>
        </w:rPr>
        <w:t xml:space="preserve">Lo que creemos nosotros.</w:t>
      </w:r>
    </w:p>
    <w:p>
      <w:pPr>
        <w:spacing w:after="100"/>
      </w:pPr>
      <w:r>
        <w:t xml:space="preserve">El negocio es mejor que nunca y 2027-2028 pueden superar nuestro base, pero a largo plazo crece al 8-9 % con una pausa del ciclo, como en 2009, 2019 y 2023-2024. Eso vale 924-1.164 EUR, no 1.500.</w:t>
      </w:r>
    </w:p>
    <w:p>
      <w:pPr>
        <w:keepNext/>
        <w:spacing w:after="100"/>
      </w:pPr>
      <w:r>
        <w:rPr>
          <w:b/>
          <w:bCs/>
        </w:rPr>
        <w:t xml:space="preserve">Por qué podemos tener razón.</w:t>
      </w:r>
    </w:p>
    <w:p>
      <w:pPr>
        <w:spacing w:after="100"/>
      </w:pPr>
      <w:r>
        <w:t xml:space="preserve">Los ciclos de equipos de semiconductores nunca han durado diez años: los doble pedidos y la capacidad sobrante acaban llegando. ASML dejó de publicar pedidos trimestrales justo en la parte alta, y algunos clientes ya piden máquinas para 2030.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50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en EUV</w:t>
      </w:r>
      <w:r>
        <w:t xml:space="preserve">: más del 90 % del valor de la litografía y ninguna alternativa [25].</w:t>
      </w:r>
    </w:p>
    <w:p>
      <w:pPr>
        <w:pStyle w:val="ListParagraph"/>
        <w:numPr>
          <w:ilvl w:val="0"/>
          <w:numId w:val="2"/>
        </w:numPr>
        <w:spacing w:after="60"/>
      </w:pPr>
      <w:r>
        <w:rPr>
          <w:b/>
        </w:rPr>
        <w:t xml:space="preserve">Capacidad vendida</w:t>
      </w:r>
      <w:r>
        <w:t xml:space="preserve">: la oferta de 2027-2028 no cubrirá la demanda aun con +30 % al año [19].</w:t>
      </w:r>
    </w:p>
    <w:p>
      <w:pPr>
        <w:pStyle w:val="ListParagraph"/>
        <w:numPr>
          <w:ilvl w:val="0"/>
          <w:numId w:val="2"/>
        </w:numPr>
        <w:spacing w:after="60"/>
      </w:pPr>
      <w:r>
        <w:rPr>
          <w:b/>
        </w:rPr>
        <w:t xml:space="preserve">Margen al alza</w:t>
      </w:r>
      <w:r>
        <w:t xml:space="preserve">: 57,5 % de margen bruto en el 3T26 frente al 51,3 % de 2024 [3, 11].</w:t>
      </w:r>
    </w:p>
    <w:p>
      <w:pPr>
        <w:pStyle w:val="ListParagraph"/>
        <w:numPr>
          <w:ilvl w:val="0"/>
          <w:numId w:val="2"/>
        </w:numPr>
        <w:spacing w:after="60"/>
      </w:pPr>
      <w:r>
        <w:rPr>
          <w:b/>
        </w:rPr>
        <w:t xml:space="preserve">Rentabilidad sobre el capital</w:t>
      </w:r>
      <w:r>
        <w:t xml:space="preserve">: ROIC del 89 % frente a un WACC del 10,1 %.</w:t>
      </w:r>
    </w:p>
    <w:p>
      <w:pPr>
        <w:pStyle w:val="ListParagraph"/>
        <w:numPr>
          <w:ilvl w:val="0"/>
          <w:numId w:val="2"/>
        </w:numPr>
        <w:spacing w:after="60"/>
      </w:pPr>
      <w:r>
        <w:rPr>
          <w:b/>
        </w:rPr>
        <w:t xml:space="preserve">A 12 meses</w:t>
      </w:r>
      <w:r>
        <w:t xml:space="preserve">: +16,5 % ponderado y +18,0 % en el base, a 28,5 veces nuestro BPA de 2027.</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1.082,19 EUR, un 28,3 % menos.</w:t>
      </w:r>
    </w:p>
    <w:p>
      <w:pPr>
        <w:pStyle w:val="ListParagraph"/>
        <w:numPr>
          <w:ilvl w:val="0"/>
          <w:numId w:val="2"/>
        </w:numPr>
        <w:spacing w:after="60"/>
      </w:pPr>
      <w:r>
        <w:rPr>
          <w:b/>
        </w:rPr>
        <w:t xml:space="preserve">El precio pide un 15,2 % de crecimiento anual</w:t>
      </w:r>
      <w:r>
        <w:t xml:space="preserve"> hasta 2035, frente al 8,7 % de nuestro base.</w:t>
      </w:r>
    </w:p>
    <w:p>
      <w:pPr>
        <w:pStyle w:val="ListParagraph"/>
        <w:numPr>
          <w:ilvl w:val="0"/>
          <w:numId w:val="2"/>
        </w:numPr>
        <w:spacing w:after="60"/>
      </w:pPr>
      <w:r>
        <w:rPr>
          <w:b/>
        </w:rPr>
        <w:t xml:space="preserve">Ciclo en la parte alta</w:t>
      </w:r>
      <w:r>
        <w:t xml:space="preserve">: el WFE crece más del 20 % dos años seguidos [24].</w:t>
      </w:r>
    </w:p>
    <w:p>
      <w:pPr>
        <w:pStyle w:val="ListParagraph"/>
        <w:numPr>
          <w:ilvl w:val="0"/>
          <w:numId w:val="2"/>
        </w:numPr>
        <w:spacing w:after="60"/>
      </w:pPr>
      <w:r>
        <w:rPr>
          <w:b/>
        </w:rPr>
        <w:t xml:space="preserve">Menos visibilidad</w:t>
      </w:r>
      <w:r>
        <w:t xml:space="preserve">: ya no publica pedidos trimestrales [14].</w:t>
      </w:r>
    </w:p>
    <w:p>
      <w:pPr>
        <w:pStyle w:val="ListParagraph"/>
        <w:numPr>
          <w:ilvl w:val="0"/>
          <w:numId w:val="2"/>
        </w:numPr>
        <w:spacing w:after="60"/>
      </w:pPr>
      <w:r>
        <w:rPr>
          <w:b/>
        </w:rPr>
        <w:t xml:space="preserve">China, ≈ 20 % de las ventas</w:t>
      </w:r>
      <w:r>
        <w:t xml:space="preserve"> con controles de exportación crecientes [19].</w:t>
      </w:r>
    </w:p>
    <w:p>
      <w:pPr>
        <w:pStyle w:val="Heading2"/>
      </w:pPr>
      <w:r>
        <w:t xml:space="preserve">Qué tiene que pasar para que la tesis funcione</w:t>
      </w:r>
    </w:p>
    <w:p>
      <w:pPr>
        <w:spacing w:after="100"/>
      </w:pPr>
      <w:r>
        <w:t xml:space="preserve">La tesis depende de que la inversión en IA mantenga llena la capacidad de ASML hasta 2028. La señal de que no se cumple sería un aplazamiento de entregas por parte de TSMC, Samsung o SK Hynix, una guía de 2027 por debajo del +10 % o una caída de la cartera de pedidos a fin de 2026 frente a los 38.800 M de 2025 [3].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mezcla y absorción de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38.800 M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los pedidos trimestrales que ya no publica.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Máquinas EUV entregadas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65 en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y demanda reales.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20 %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30 % o veto al servicio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NTM del sector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 (mediana)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Compresión de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44,8x / 30,7x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ASML nació en 1984 como empresa conjunta de Philips y ASM International para fabricar máquinas de litografía, salió a bolsa en 1995 y ganó la carrera de la inmersión en los 2000 frente a Nikon y Canon. En 2012 Intel, TSMC y Samsung financiaron parte de la I+D de EUV a cambio de acciones; en 2013 compró Cymer (fuentes de luz) y en 2016 Hermes Microvision y el 24,9 % de Carl Zeiss SMT, su proveedor exclusivo de óptica. La primera EUV de producción en serie llegó en 2017-2019. Desde 2023 los controles de exportación de los Países Bajos y EE. UU. limitan sus ventas a China. Christophe Fouquet sustituyó a Peter Wennink como primer ejecutivo en abril de 2024, y en 2025 ASML entró en Mistral AI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empresa conjunta de Philips y ASM International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Ámsterdam y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coinversión de clientes en EUV (Intel, TSMC, Samsung)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Cymer, fabricante de las fuentes de luz EUV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Hermes Microvision y del 24,9 % de Carl Zeiss SMT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EUV entra en producción en serie (TSMC 7 nm+)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neerlandeses sobre DUV avanzada a China; primera High-NA entregada a Intel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 Fouquet, primer ejecutivo; objetivo de 44.000-60.000 M de ventas en 2030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unos 1.300 M en Mistral AI (≈ 11 %)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2026 previstas en 44.000-45.000 M, ya en el rango del objetivo de 2030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ASML diseña, fabrica y mantiene sistemas de litografía para fabricar chips: máquinas de ultravioleta extremo (EUV, Low-NA y High-NA), de ultravioleta profundo (DUV: inmersión ArF, ArF seco, KrF e i-line), metrología e inspección (YieldStar, HMI) y el software que las controla. Sus clientes son los fabricantes de lógica (TSMC, Samsung, Intel) y de memoria (SK Hynix, Samsung, Micron). Además vende servicios y mejoras sobre la base instalada (Installed Base Management), que en el 3T26 sumaron 3.300 M EUR de 11.660 M [11, 12]. En 2026 la empresa prevé entregar unas 65 máquinas EUV, más de un 50 % más que en 2025, y reconocer 4-5 High-NA [19]. Fabrica en Veldhoven (Países Bajos), Wilton y San Diego (EE. UU.) y Taiwán, con Carl Zeiss SMT como proveedor exclusivo de la óptica [1].</w:t>
      </w:r>
    </w:p>
    <w:p>
      <w:pPr>
        <w:pStyle w:val="Heading2"/>
      </w:pPr>
      <w:r>
        <w:t xml:space="preserve">Cómo gana dinero</w:t>
      </w:r>
    </w:p>
    <w:p>
      <w:pPr>
        <w:spacing w:after="100"/>
      </w:pPr>
      <w:r>
        <w:t xml:space="preserve">Cobra máquinas muy caras (una EUV Low-NA ronda los 200 M EUR y una High-NA, unos 350 M) con anticipos de los clientes, que financian buena parte del circulante, y después vende servicio y mejoras a una base instalada que crece cada año y paga por productividad. El margen bruto depende de la mezcla (EUV y mejoras de productividad suben el margen; las primeras High-NA lo bajan), del volumen que diluye los costes fijos de fabricación y del precio, que ASML fija por productividad. El apalancamiento operativo es alto: en el 3T26 el margen bruto llegó al 57,5 % con 11.660 M de ventas, frente al 52,8 % de 2025 con 32.667 M [3, 11]. La I+D (4.699 M en 2025, el 14 % de las ventas) es casi fija [2].</w:t>
      </w:r>
    </w:p>
    <w:p>
      <w:pPr>
        <w:pStyle w:val="Heading2"/>
      </w:pPr>
      <w:r>
        <w:t xml:space="preserve">Clientes, recurrencia y poder de precios</w:t>
      </w:r>
    </w:p>
    <w:p>
      <w:pPr>
        <w:spacing w:after="100"/>
      </w:pPr>
      <w:r>
        <w:t xml:space="preserve">Concentración muy alta: unos pocos fabricantes de chips (TSMC, Samsung, Intel, SK Hynix, Micron) compran casi todas las máquinas EUV. China supuso alrededor del 20 % de las ventas previstas para 2026, según la guía de julio, tras pesar mucho más en 2024 [19]. La dirección dice que la capacidad de 2027 de EUV Low-NA estaba casi cubierta por pedidos en julio y que la oferta prevista para 2027 y 2028, aun con un 30 % más de capacidad cada año, no cubrirá la demanda [14, 19]. El poder de precios se ve en el margen bruto: de 51,3 % en 2024 a 57,5 % en el 3T26 sin bajar precios [3,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EUV, mejoras de la base instalada y volumen [11,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base instalada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M EUR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M EUR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 M por encima de la guía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litografía nuevos vendidos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comunicado del 3T26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38.800 M EUR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ASML ya no publica pedidos trimestrales; la cartera, una vez al año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netos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 M EUR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 M EUR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dato trimestral publicado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Máquinas EUV entregadas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43 (2025,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65 (2026e)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la dirección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equipo de fabricación de obleas (WFE), del que la litografía es la mayor partida (alrededor de una cuarta parte). Usamos el WFE de SEMI porque es la única serie pública con previsión a 2028 y porque ASML compite por el mismo presupuesto de inversión de los fabricantes; la litografía como mercado propio no tiene una serie pública fiable, y en ella ASML tiene más del 90 % del valor y el 100 % de EUV [24, 25]. Perímetro mundial, en dólares convertidos a euros al tipo del 6-oct-2026 (1,1269).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103.700 M EUR en 2025 (116.900 M USD de WFE, SEMI, julio de 2026)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EUR (WFE, SEMI, convertido a 1,1269 USD/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chips para IA (lógica avanzada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eleva el WFE de 2026 a 143.900 M USD (+23 %) y prevé +21,8 % en 2027 y +14,1 % en 2028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Intensidad litográfica: más capas EUV por nodo y paso a High-NA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prevé entregar unas 65 EUV en 2026, más de un 50 % más que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baja a ≈ 20 % de las ventas de ASML en 2026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memoria y lógica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WFE cayó en 2009, 2019 y 2023; las ventas de ASML se estancaron en 2024 (+2,6 %) [2,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de producción de ASML y Zeiss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de 2027-2028 no cubrirá la demanda aun con +30 % de capacidad al año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en EUV; en DUV compite con Nikon y Canon con más del 90 % del valor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clientes compran casi toda la EUV; pero no tienen alternativa y pagan anticipos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Zeiss SMT es proveedor exclusivo de la óptica; ASML tiene el 24,9 %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y decenas de miles de millones de I+D; China intenta una alternativa sin resultados comerciales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Nanoimpresión de Canon y empaquetado avanzado reducen algo la intensidad litográfica, sin sustituir EUV en lógica avanzada [25].</w:t>
            </w:r>
          </w:p>
        </w:tc>
      </w:tr>
    </w:tbl>
    <w:p>
      <w:pPr>
        <w:spacing w:after="160" w:before="0"/>
      </w:pPr>
    </w:p>
    <w:p>
      <w:pPr>
        <w:pStyle w:val="Heading2"/>
      </w:pPr>
      <w:r>
        <w:t xml:space="preserve">Ciclo</w:t>
      </w:r>
    </w:p>
    <w:p>
      <w:pPr>
        <w:spacing w:after="100"/>
      </w:pPr>
      <w:r>
        <w:t xml:space="preserve">El WFE creció un 23 % en 2026 según SEMI y la previsión es de crecimiento hasta 2028 [24]. En 2009 el WFE cayó más de un 40 % y ASML perdió un 28 % de ventas; en 2020 la pandemia apenas lo frenó; en 2023-2024 la caída de memoria y China dejó las ventas de ASML planas en 2024 [2]. Los indicadores de hoy (capacidad agotada en 2027-2028, márgenes récord, clientes pidiendo máquinas para 2030) son de mitad o final de la fase alcista [19].</w:t>
      </w:r>
    </w:p>
    <w:p>
      <w:pPr>
        <w:pStyle w:val="Heading2"/>
      </w:pPr>
      <w:r>
        <w:t xml:space="preserve">Regulación</w:t>
      </w:r>
    </w:p>
    <w:p>
      <w:pPr>
        <w:spacing w:after="100"/>
      </w:pPr>
      <w:r>
        <w:t xml:space="preserve">Los controles de exportación neerlandeses (septiembre de 2023, ampliados en 2024-2025) y estadounidenses impiden vender EUV a China y limitan la DUV de inmersión más avanzada y su servicio [1]. Una nueva ronda que afectase al servicio de la base instalada china o a la DUV media restaría ventas; la dirección prevé que China pese un 20 % en 2026 [19]. En el lado positivo, las leyes de chips de EE. UU., la UE, Japón y Corea subvencionan nuevas fábricas.</w:t>
      </w:r>
    </w:p>
    <w:p>
      <w:pPr>
        <w:pStyle w:val="Heading2"/>
      </w:pPr>
      <w:r>
        <w:t xml:space="preserve">Tendencias y disrupción</w:t>
      </w:r>
    </w:p>
    <w:p>
      <w:pPr>
        <w:spacing w:after="100"/>
      </w:pPr>
      <w:r>
        <w:t xml:space="preserve">La IA ha cambiado la composición de la demanda: lógica de 2 nm y memoria HBM, que usan más capas EUV. High-NA (EXE) entra en producción en 2026-2027 con 4-5 máquinas reconocidas este año [19]. ASML gana con ambas porque no hay alternativa. Riesgos: el empaquetado avanzado traslada parte de la inversión a otros equipos, y China desarrolla litografía propia, aún lejos de EUV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litografía (&gt; 90 % del valor y 100 % de EUV); ≈ 31 % del WFE total en 2025 (32.667 M de ventas frente a ≈ 103.700 M de WFE,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de equipos de deposición y grabado; no compite en litografía. Margen EBITDA del 31,7 %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LRCX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Grabado y deposición, muy expuesta a memoria. Margen EBITDA del 37,7 %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Deposición de capas atómicas (ALD); comparte origen con ASML. Margen EBITDA del 37,5 %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7731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otro fabricante de DUV de inmersión; cuota pequeña y en retroceso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7751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Litografía i-line y KrF y nanoimpresión; sin EUV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ecosistema EUV (Zeiss, Cymer, fotorresinas, máscaras) se ha construido alrededor de ASML; los clientes diseñan sus nodos con sus máquinas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alternativa en EUV; cambiar de proveedor en DUV obliga a recalificar procesos durante años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de I+D (4.699 M en 2025) y miles de patentes en óptica, fuentes y control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producción y servicio sobre una base instalada que crece; margen bruto del 57,5 % en el 3T26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EUV solo sostiene a un fabricante: Nikon y Canon abandonaron la carrera [7].</w:t>
            </w:r>
          </w:p>
        </w:tc>
      </w:tr>
    </w:tbl>
    <w:p>
      <w:pPr>
        <w:spacing w:after="160" w:before="0"/>
      </w:pPr>
    </w:p>
    <w:p>
      <w:pPr>
        <w:pStyle w:val="Heading2"/>
      </w:pPr>
      <w:r>
        <w:t xml:space="preserve">Amenazas</w:t>
      </w:r>
    </w:p>
    <w:p>
      <w:pPr>
        <w:spacing w:after="100"/>
      </w:pPr>
      <w:r>
        <w:t xml:space="preserve">La amenaza real no es un competidor sino el cliente y el Estado: los controles de exportación (China pesa un 20 %) y la concentración en cinco clientes, que pueden retrasar pedidos en un ciclo bajo [19]. A largo plazo, una litografía china alternativa (probabilidad baja en 10 años) o tecnologías que reduzcan las capas EUV (nanoimpresión, empaquetado) erosionarían el crecimiento, no el monopolio [25].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2021-2025: ingresos </w:t>
      </w:r>
      <w:r>
        <w:rPr>
          <w:b/>
          <w:bCs/>
        </w:rPr>
        <w:t xml:space="preserve">15,1 %</w:t>
      </w:r>
      <w:r>
        <w:t xml:space="preserve">, EBITDA </w:t>
      </w:r>
      <w:r>
        <w:rPr>
          <w:b/>
          <w:bCs/>
        </w:rPr>
        <w:t xml:space="preserve">n.d.</w:t>
      </w:r>
      <w:r>
        <w:t xml:space="preserve">, BPA </w:t>
      </w:r>
      <w:r>
        <w:rPr>
          <w:b/>
          <w:bCs/>
        </w:rPr>
        <w:t xml:space="preserve">14,6 %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crecieron de 18.611 M en 2021 a 32.667 M en 2025 (TCAC del 15 %), todo orgánico: ASML no ha hecho compras relevantes desde Berliner Glas (2020) [1, 2]. El margen bruto bajó de 52,7 % en 2021 a 50,5 % en 2022 (inflación y primeras máquinas de entrega rápida sin aceptación) y volvió a 52,8 % en 2025; la I+D pasó de 2.547 M a 4.699 M, lo que dejó el margen operativo en el 34,6 % de 2025 frente al 35,1 % de 2021 [2, 3]. 2026 es otro escalón: con la guía de 44.000-45.000 M de ventas (+35-38 %) y un margen bruto del 56 %, el apalancamiento operativo sube el margen operativo por encima del 40 % [11]. El 3T26 alcanzó 11.660 M de ventas y 57,5 % de margen bruto [11].</w:t>
      </w:r>
    </w:p>
    <w:p>
      <w:pPr>
        <w:pStyle w:val="Heading2"/>
      </w:pPr>
      <w:r>
        <w:t xml:space="preserve">Ajustes y partidas no recurrentes</w:t>
      </w:r>
    </w:p>
    <w:p>
      <w:pPr>
        <w:spacing w:after="100"/>
      </w:pPr>
      <w:r>
        <w:t xml:space="preserve">Usamos cifras US GAAP publicadas. ASML no publica EBITDA: lo calculamos como resultado operativo más amortizaciones del estado de flujos (733, 839 y 965 M en 2023-2025, de Stock Analysis) [6]; para 2021-2022 no encontramos la amortización y el EBITDA queda vacío. El resultado financiero y el impuesto de cada año son estimaciones: el impuesto sale del tipo efectivo publicado (17,7 % en 2025 y 18,6 % en 2024) aplicado al beneficio [3], y el resultado financiero por diferencia, que incluye el resultado de las participadas (Carl Zeiss SMT, 24,9 %) [1]. El 3T26 incluye una plusvalía de 509,7 M por la revalorización de la participación en Mistral AI [12]: el LTM (beneficio 12.965 M, BPA 33,71) la excluye; el EBITDA y el EBIT LTM son estimaciones propias a partir de los márgenes trimestrales.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julio (2T26), la dirección subió por segunda vez la guía de 2026 a 43.000-45.000 M y dijo que la capacidad EUV Low-NA de 2027 estaba casi cubierta por pedidos; China pesaría un 20 % de las ventas del año [10, 19]. El 14 de octubre (3T26) el discurso pasó de la demanda a la oferta: ventas récord de 11.660 M (guía 11.000-12.000 M), margen bruto del 57,5 % (guía 55-57 %) y BPA básico de 12,95 EUR frente a 10,68 esperados, aunque 509,7 M de la diferencia vienen de revalorizar la participación en Mistral AI [11, 12, 16]. El primer ejecutivo, Christophe Fouquet, dijo que la oferta prevista para 2027 y 2028 no cubrirá la demanda aun con un 30 % más de capacidad cada año y que la empresa estudia ampliar más para 2028; algunos clientes ya preguntan por pedidos de 2030 [12, 19]. La guía del 4T26 (14.200-15.200 M, margen del 57 %) deja 2026 en 44.000-45.000 M con un margen del 56 % [11]. Las preguntas de los analistas se centraron en la capacidad, el precio de las máquinas y China; la dirección no dio cifras de pedidos ni de cartera (ya no publica pedidos trimestrales) y no cuantificó la guía de 2027 [14]. La acción cayó en la sesión pese a superar las previsiones: el mercado ya descontaba el récord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ASML tiene caja neta: 12.735 M de caja e inversiones frente a unos 3.120 M de bonos en septiembre de 2026 [13, 18]. Las existencias (11.429 M a dic-25) pesan un 35 % de las ventas, pero los anticipos de clientes las financian en buena parte [7]. El patrimonio neto (19.612 M a dic-25) se mantiene casi plano porque la empresa devuelve casi todo el beneficio: 8.500 M en 2025 entre dividendos y recompras [3, 8].</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40.471</w:t>
      </w:r>
      <w:r>
        <w:t xml:space="preserve">, conversión </w:t>
      </w:r>
      <w:r>
        <w:rPr>
          <w:b/>
          <w:bCs/>
        </w:rPr>
        <w:t xml:space="preserve">111 %</w:t>
      </w:r>
      <w:r>
        <w:t xml:space="preserve"> del beneficio neto; adquisiciones 1.300, dividendos 10.000, recompras 12.100.</w:t>
      </w:r>
    </w:p>
    <w:p>
      <w:pPr>
        <w:spacing w:after="100"/>
      </w:pPr>
      <w:r>
        <w:t xml:space="preserve">El flujo libre (definición de ASML: flujo operativo menos inversiones en inmovilizado e intangibles) fue de 9.906 M en 2021, 7.168 M en 2022, unos 3.300 M en 2023, 9.083 M en 2024 y 11.027 M en 2025 [1, 4]. La conversión es muy irregular porque depende de los anticipos de los clientes: en 2023 los pedidos cayeron, los anticipos se consumieron y el flujo operativo bajó a 5.443 M con un beneficio de 7.839 M [6]. El capex (5-8 % de las ventas en 2023-2024) fue sobre todo de crecimiento: ampliación de Veldhoven y de capacidad EUV y High-NA; en 2025 bajó al 5,0 % [1]. Las adquisiciones de 2025 son la primera parte de la inversión en Mistral AI (unos 1.300 M por un 11 %, estimación de prensa) [12]. Dividendos y recompras de 2023-2025 son de Stock Analysis [6]; 2022, del informe anual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Las cuentas son sencillas: crecimiento orgánico, sin compras relevantes desde Berliner Glas (2020), sin fondo de comercio nuevo ni deterioros [1]. Los riesgos están en el reconocimiento de ingresos: las máquinas se reconocen al aceptarlas el cliente y, en las de entrega rápida, se difiere parte del ingreso, lo que mueve el margen entre trimestres; las High-NA se reconocen a medida que se aceptan y bajan el margen al principio. La plusvalía de 509,7 M de Mistral AI del 3T26 es contable, no de explotación, y la excluimos del LTM [12]. El Altman Z sale muy sano (13,33) con un balance de caja neta; el Piotroski F y el Beneish M no se pueden calcular por falta de balance histórico. ASML publica dos juegos de cuentas (US GAAP y NIIF): el beneficio NIIF de 2025 fue de 10.213 M frente a 9.609 M en US GAAP, por diferencias en la capitalización de desarrollo; usamos US GAAP.</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por revalorización de Mistral AI en el 3T26 (509,7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del trimestre en ≈ 1,33 EUR; el consenso la comparó con un BPA esperado de 10,68 [12,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Dejó de publicar pedidos trimestrales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visibilidad para el inversor justo en la parte alta del ciclo; solo publica la cartera una vez al año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Dos juegos de cuentas (US GAAP y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604 M en el beneficio de 2025 por la capitalización de desarrollo; no es manipulación pero exige elegir base.</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ASML crea muchísimo valor: el ROIC de 2025 sale en un 89 % sobre un capital invertido de unos 10.500 M (patrimonio de 19.612 M más 4.160 M de deuda menos 13.322 M de caja), frente a un WACC del 10,1 % [7, 8, 22]. El capital invertido es pequeño porque los anticipos de los clientes financian las existencias y las máquinas en curso; el motor lo calcula sin el balance de 2024, que no hemos podido reconstruir. El margen (34,6 % de margen operativo en 2025, por encima del 40 % en 2026) explica más que la rotación. Frente a Applied Materials (ROIC del 35,6 %) o Lam (70,1 %), ASML está en lo más alto del sector [35].</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12.735 M EUR a finales del 3T26 tras recomprar 4.100 M en el trimestre [13]; deuda a largo plazo de unos 3.120 M (bonos en euros)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El pasivo más importante no es deuda: son los anticipos de clientes (pasivos de contrato), que financian las máquinas antes de entregarlas y explican que el capital invertido sea pequeño frente al beneficio. No hemos podido leer su importe en esta sesión. Contingencias: litigios de patentes habituales del sector y el riesgo de los controles de exportación de los Países Bajos y EE. UU. sobre las ventas a China [1]. Las existencias (11.429 M a dic-25) no se cargan en el circulante del modelo porque no tenemos los anticipos que las compensan: el circulante comercial neto se trata como nulo (supuesto explicado en el DCF).</w:t>
      </w:r>
    </w:p>
    <w:p>
      <w:pPr>
        <w:pStyle w:val="Heading1"/>
      </w:pPr>
      <w:r>
        <w:t xml:space="preserve">12. Asignación de capital</w:t>
      </w:r>
    </w:p>
    <w:p>
      <w:pPr>
        <w:pStyle w:val="Confianza"/>
        <w:spacing w:after="100"/>
      </w:pPr>
      <w:r>
        <w:t xml:space="preserve">Confianza: Media</w:t>
      </w:r>
    </w:p>
    <w:p>
      <w:pPr>
        <w:spacing w:after="100"/>
      </w:pPr>
      <w:r>
        <w:t xml:space="preserve">ASML reparte casi toda la caja: dividendo creciente (7,50 EUR por acción con cargo a 2025, con un final de 2,70 EUR aprobado en abril de 2026; dividendo a cuenta trimestral de 1,88 EUR en 2026) y un programa de recompra de hasta 12.000 M para 2026-2028, anunciado en enero de 2026 [11, 15, 20, 21]. En el 3T26 recompró unos 2,8 M de acciones por 4.100 M [13]. En 2025 devolvió 8.500 M entre dividendos y recompras [3]. La prioridad declarada es invertir en capacidad (Veldhoven, +30 % al año en 2027-2028) y en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Mistral AI (≈ 11 %, primera parte)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Revalorizada: plusvalía de 509,7 M en el 3T26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Berliner Glas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como proveedor de componentes ópticos de EUV;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 Zeiss SMT (24,9 %)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Asegura la óptica EUV y High-NA; aporta resultado por puesta en equivalencia.</w:t>
            </w:r>
          </w:p>
        </w:tc>
      </w:tr>
    </w:tbl>
    <w:p>
      <w:pPr>
        <w:spacing w:after="160" w:before="0"/>
      </w:pPr>
    </w:p>
    <w:p>
      <w:pPr>
        <w:spacing w:after="100"/>
      </w:pPr>
      <w:r>
        <w:t xml:space="preserve">Asignación disciplinada: entre 2021 y 2025 el flujo libre acumulado fue de unos 40.000 M y casi todo volvió al accionista, con las acciones diluidas bajando de 410 M en 2021 a 389 M en 2025 [1, 4]. Las recompras se hicieron a precios muy inferiores a los de hoy (500 M en 2024 a ≈ 660 EUR), pero el programa de 2026-2028 compra a 1.400-1.500 EUR, cuando el PER ronda las 30 veces: crea poco valor por acción a estos precios. La entrada en Mistral AI es pequeña (≈ 0,2 % de la capitalización) pero ajena al negocio; la justifica la IA en el software de las máquinas.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 Fouquet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ASML desde 2008; dirigió el negocio EUV antes de suceder a Peter Wennink en abril de 2024. Con él las ventas pasan de 28.263 M (2024) a 44.000-45.000 M previstos en 2026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Dassen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socio de Deloitte; director financiero desde 2018. Explicó en el 3T26 la plusvalía de 509,7 M de Mistral AI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Nils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Exprimer ejecutivo de A.P. Møller-Maersk y Carlsberg; su mandato vence en la junta de 2027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34.000-39.000 M y margen bruto 51-53 %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subida tres veces hasta 44.000-45.000 M y margen del 56 % (octubre)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30.000-35.000 M (enero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32.667 M, margen bruto 52,8 %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similares a 2023 (≈ 27.600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28.263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técnico: el primer ejecutivo viene de dentro (EUV) y el director financiero lleva ocho años. La guía ha sido prudente: 2026 empezó en 34.000-39.000 M y acabará en 44.000-45.000 M, y cada trimestre de 2026 ha superado la horquilla [10, 11]. La sucesión de Wennink se anunció con meses de antelación. Riesgo: el mandato del presidente del consejo de supervisión vence en 2027 [20].</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Nils 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de Kreij</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 Fouquet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Roger Dassen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7,02 M EUR en 2025, 46 veces el coste medio por empleado [27]. La política aprobada en 2025 (91 % a favor) elevó el máximo a más de 11 M EUR [28]. El variable a largo plazo se paga en acciones según el rendimiento relativo para el accionista (TSR frente a un índice de semiconductores), el ROAIC y objetivos de sostenibilidad y tecnología; el corto plazo combina ventas, margen y objetivos operativos [27]. La junta de abril de 2026 aprobó el informe de remuneraciones de 2025; no hemos podido leer el porcentaje de votos en contra [20].</w:t>
      </w:r>
    </w:p>
    <w:p>
      <w:pPr>
        <w:pStyle w:val="Heading2"/>
      </w:pPr>
      <w:r>
        <w:t xml:space="preserve">Operaciones vinculadas, estructura de control y defensas</w:t>
      </w:r>
    </w:p>
    <w:p>
      <w:pPr>
        <w:spacing w:after="100"/>
      </w:pPr>
      <w:r>
        <w:t xml:space="preserve">Capital disperso sin accionista de control. ASML tiene una fundación de preferentes (Stichting Preferente Aandelen ASML) con una opción para suscribir acciones preferentes, el blindaje neerlandés habitual frente a una OPA hostil [1]. La autorización de recompra llega al 10 % del capital hasta octubre de 2027 [20]. No hay operaciones vinculadas relevantes; la participación del 24,9 % en Carl Zeiss SMT es una relación con proveedor, no con accionistas.</w:t>
      </w:r>
    </w:p>
    <w:p>
      <w:pPr>
        <w:pStyle w:val="Heading2"/>
      </w:pPr>
      <w:r>
        <w:t xml:space="preserve">Señales de alerta</w:t>
      </w:r>
    </w:p>
    <w:p>
      <w:pPr>
        <w:pStyle w:val="ListParagraph"/>
        <w:numPr>
          <w:ilvl w:val="0"/>
          <w:numId w:val="2"/>
        </w:numPr>
        <w:spacing w:after="60"/>
      </w:pPr>
      <w:r>
        <w:t xml:space="preserve">Ninguna relevante detectada tras revisar el 20-F, el informe de remuneraciones y los resultados de la junta de 2026; la fundación de preferentes es un blindaje frente a OPA.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ventas de 44.000-45.000 M EUR con un margen bruto en torno al 56 % (14-oct-2026), tras partir de 34.000-39.000 M en enero y subirla en abril (36.000-40.000 M) y julio (43.000-45.000 M) [9, 10, 11]. Para el 4T26, 14.200-15.200 M con un margen del 57 %. Tipo impositivo anual del 17 %. A medio plazo sigue vigente el objetivo de 2030 (ventas de 44.000-60.000 M y margen bruto del 56-60 %), que 2026 ya alcanza por abajo; la dirección no ha dado cifra de 2027 pero dice que la oferta de 2027-2028 no cubrirá la demanda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(BPA medio, julio de 2026); ventas = punto medio de la guía [11,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(BPA); Stock Analysis (ventas, desfasadas) [29,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1.291,00 – 2.500,00</w:t>
            </w:r>
          </w:p>
        </w:tc>
      </w:tr>
    </w:tbl>
    <w:p>
      <w:pPr>
        <w:spacing w:after="160" w:before="0"/>
      </w:pPr>
    </w:p>
    <w:p>
      <w:pPr>
        <w:pStyle w:val="Heading2"/>
      </w:pPr>
      <w:r>
        <w:t xml:space="preserve">Revisiones de estimaciones</w:t>
      </w:r>
    </w:p>
    <w:p>
      <w:pPr>
        <w:spacing w:after="100"/>
      </w:pPr>
      <w:r>
        <w:t xml:space="preserve">El BPA de 2026 ha subido con cada revisión de la guía: Yahoo daba 38,35 EUR en julio, cuatro analistas subieron el de 2027 en los 30 días previos, y el 3T26 batió en 2,27 EUR el BPA esperado (12,95 frente a 10,68, con 1,33 EUR de Mistral) [16, 29]. Solo hemos encontrado una fuente con estimaciones a dos años (Yahoo) y ventas de Stock Analysis con meses de retraso; el precio objetivo y las recomendaciones se contrastan con Investing.com y Stock Analysis (2.109 USD, ≈ 1.886 EUR) [30, 31]. Evercore ISI recortó su objetivo a 1.950 EUR desde 2.000 [31].</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Hemos reconstruido el PER de cierre con los cierres anuales del ADR (Macrotrends, ajustados por dividendos) pasados a euros con el tipo de fin de año, y el de 2025 directo de Euronext (921,50 EUR) [33, 34]. Sin 2021 (año de burbuja, 47x), el PER de cierre se movió entre 33,9x y 37,3x en 2022-2025, con una mediana de 34,9x. Hoy cotiza a 28,5x nuestro BPA de 2027 y a unas 31x el BPA de consenso de los próximos 12 meses: por debajo de su historia, porque el beneficio de 2026-2027 sube más deprisa que el precio pese a que este se ha más que duplicado desde 2025.</w:t>
      </w:r>
    </w:p>
    <w:p>
      <w:pPr>
        <w:pStyle w:val="Heading1"/>
      </w:pPr>
      <w:r>
        <w:t xml:space="preserve">18. Comparables cotizados</w:t>
      </w:r>
    </w:p>
    <w:p>
      <w:pPr>
        <w:pStyle w:val="Confianza"/>
        <w:spacing w:after="100"/>
      </w:pPr>
      <w:r>
        <w:t xml:space="preserve">Confianza: Baja</w:t>
      </w:r>
    </w:p>
    <w:p>
      <w:pPr>
        <w:spacing w:after="100"/>
      </w:pPr>
      <w:r>
        <w:t xml:space="preserve">Fabricantes de equipos de semiconductores con cifras del mismo proveedor y fecha (6-oct-2026, tabla del informe de VAT [35]): Applied Materials, Lam Research y KLA (los otros tres grandes del WFE), ASM International (deposición, holandesa), y dos proveedores de componentes con márgenes altos (VAT e Inficon). KLA sale de Yahoo con datos parciales [36]. No incluimos Tokyo Electron porque las cifras encontradas eran incoherentes entre fuentes, ni Nikon y Canon porque la litografía es una parte pequeña de su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 / 46,0x / 47,3x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 / 32,5x / 35,1x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 / 14,8x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ASML cotiza a 30,7x el PER de los próximos 12 meses, en línea con la mediana del grupo (32,5x), pese a tener un margen EBITDA superior (≈ 41 % LTM frente a 30-38 %) y un monopolio que ninguno de ellos tiene. El EV/EBITDA LTM (35,4x) queda por debajo de la mediana del grupo porque el sector espera una subida fuerte del EBITDA en 2026-2027. Los comparables dan 1.596 EUR por acción (mediana de EV/EBITDA y PER), un 5,7 % por encima del precio: el mercado paga por ASML lo mismo que por el resto del sector, lo que indica que la prima por el monopolio ya se ha ido a todo el grupo con la IA, no que ASML esté barata.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la guía (44.500 M, +36,2 %) [11]. Para 2027 suponemos +25 %: la capacidad EUV sube un 30 % y la dirección dice que no cubrirá la demanda; SEMI prevé +21,8 % del WFE y el consenso de ventas (54.590 M, ya desfasado) implicaba +23 % [19, 24, 30]. En 2028, +15 % (WFE +14,1 %). En 2029 frenamos al 5 % para recoger una pausa del ciclo como la de 2024, y después 7-4 % hasta 2035. El crecimiento medio de 2027-2035 es del 8,7 %, frente al 15,2 % que descuenta el precio.</w:t>
      </w:r>
    </w:p>
    <w:p>
      <w:pPr>
        <w:keepNext/>
        <w:spacing w:after="100"/>
      </w:pPr>
      <w:r>
        <w:rPr>
          <w:b/>
          <w:bCs/>
        </w:rPr>
        <w:t xml:space="preserve">Márgenes.</w:t>
      </w:r>
    </w:p>
    <w:p>
      <w:pPr>
        <w:spacing w:after="100"/>
      </w:pPr>
      <w:r>
        <w:t xml:space="preserve">El margen EBITDA de 2026 (43,2 %, estimación propia) sale de la guía de margen bruto del 56 % con la I+D casi fija; en 2027-2028 sube al 46-47 % por volumen y mezcla, dentro del objetivo de margen bruto de 2030 (56-60 %) [3, 7]. Lo dejamos en el 46 % desde 2029: no suponemos más apalancamiento operativo porque la I+D crece con las ventas (High-NA, Hyper-NA).</w:t>
      </w:r>
    </w:p>
    <w:p>
      <w:pPr>
        <w:keepNext/>
        <w:spacing w:after="100"/>
      </w:pPr>
      <w:r>
        <w:rPr>
          <w:b/>
          <w:bCs/>
        </w:rPr>
        <w:t xml:space="preserve">Inversión y circulante.</w:t>
      </w:r>
    </w:p>
    <w:p>
      <w:pPr>
        <w:spacing w:after="100"/>
      </w:pPr>
      <w:r>
        <w:t xml:space="preserve">Capex del 5,0 % de las ventas en 2026-2027 (ampliación de capacidad, frente al 5,0 % de 2025 y el 7,6 % de 2023) que baja al 3,5 % desde 2030, por encima de una amortización del 2,5 % [1, 6]. Circulante comercial neto nulo: los anticipos de clientes financian las existencias, como se vio en 2021-2025, cuando el flujo operativo acumulado superó al beneficio.</w:t>
      </w:r>
    </w:p>
    <w:p>
      <w:pPr>
        <w:keepNext/>
        <w:spacing w:after="100"/>
      </w:pPr>
      <w:r>
        <w:rPr>
          <w:b/>
          <w:bCs/>
        </w:rPr>
        <w:t xml:space="preserve">Coste del capital.</w:t>
      </w:r>
    </w:p>
    <w:p>
      <w:pPr>
        <w:spacing w:after="100"/>
      </w:pPr>
      <w:r>
        <w:t xml:space="preserve">Tasa libre: Bund a 10 años del 12-oct-2026, 3,53 % (Bundesbank) [38]. Beta de 1,2 (estimación: la acción es más volátil que el mercado europeo y muy cíclica; no hemos podido calcularla con bolsa.mjs). Prima de mercado del 5,5 % y sin prima adicional. Deuda casi nula (0,5 % del capital, bonos al ≈ 2 %). WACC: 10,1 %. Con la prima implícita de Damodaran (4,2 %), el WACC baja al 8,5 % [39].</w:t>
      </w:r>
    </w:p>
    <w:p>
      <w:pPr>
        <w:keepNext/>
        <w:spacing w:after="100"/>
      </w:pPr>
      <w:r>
        <w:rPr>
          <w:b/>
          <w:bCs/>
        </w:rPr>
        <w:t xml:space="preserve">Valor terminal.</w:t>
      </w:r>
    </w:p>
    <w:p>
      <w:pPr>
        <w:spacing w:after="100"/>
      </w:pPr>
      <w:r>
        <w:t xml:space="preserve">Crecimiento a perpetuidad del 2,5 % en euros (1,5 % real más 1 punto de inflación, por debajo de la tasa libre menos medio punto). Con un WACC del 10,1 %, Gordon equivale a unas 14 veces el flujo libre de 2040: es el supuesto que más valor quita, y el que explica casi toda la distancia con 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Etapa de transición (DCF en tres etapas)</w:t>
      </w:r>
    </w:p>
    <w:p>
      <w:pPr>
        <w:spacing w:after="100"/>
      </w:pPr>
      <w:r>
        <w:t xml:space="preserve">Con la etapa de transición de 5 años el DCF da 924,14 por acción; sin ella (crecimiento terminal desde 2035e), 899,37.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105.694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108.336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10.288</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 89 %) supera al WACC en más de 70 puntos y la ventaja aguanta: ASML es el único fabricante de EUV y la High-NA amplía la distancia hasta 2030. El mercado está lejos de saturarse: el WFE pasa de ≈ 103.700 M EUR en 2025 a ≈ 177.500 M en 2028 según SEMI, y la intensidad litográfica sube con cada nodo [19, 24]. Por eso añadimos cinco años de transición, en los que el crecimiento baja del 4 % de 2035 al 2,5 % terminal con el margen constante.</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1.096.365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1.122,55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9.773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(hoy: 31,5 %)</w:t>
            </w:r>
          </w:p>
        </w:tc>
      </w:tr>
    </w:tbl>
    <w:p>
      <w:pPr>
        <w:spacing w:after="160" w:before="0"/>
      </w:pPr>
    </w:p>
    <w:p>
      <w:pPr>
        <w:spacing w:after="100"/>
      </w:pPr>
      <w:r>
        <w:t xml:space="preserve">La proyección apenas necesita inversión neta de la amortización (reinversión acumulada de 9.773 M, el 4 % del NOPAT, con un capex bruto medio del 4,0 % de las ventas). En un negocio de activos ligeros, el crecimiento medio del 11,5 % tiene que salir de subir precios y de ganar volumen sin capital nuevo, y la prueba es el poder de precios y la cuota (37,2 % del mercado en 2035e, frente al 31,5 %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65 EUV frente a ≈ 43 en 2025 y más base instalada; precio: mezcla hacia NXE:3800E y High-NA; otros: mejoras de productividad [11,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EUV +30 % casi cubierta por pedidos; precio por productividad de las nuevas versiones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+30 % de capacidad EUV y primeras High-NA en volumen; WFE +14 % [19,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Pausa del ciclo: volumen casi plano, precio y servicio sostienen las ventas.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al crecimiento con la base instalada y High-NA.</w:t>
            </w:r>
          </w:p>
        </w:tc>
      </w:tr>
    </w:tbl>
    <w:p>
      <w:pPr>
        <w:spacing w:after="160" w:before="0"/>
      </w:pPr>
    </w:p>
    <w:p>
      <w:pPr>
        <w:spacing w:after="100"/>
      </w:pPr>
      <w:r>
        <w:t xml:space="preserve">La calidad sostiene el crecimiento proyectado: el crecimiento medio del 11,5 % casi no necesita capital (la reinversión neta es el 4 % del beneficio operativo) porque los clientes adelantan el dinero y la capacidad se amplía con un capex del 4-5 % de las ventas. La cuota implícita del WFE pasa del 31,5 % al 37,2 % en 2035, menos de 1,5 veces la actual y coherente con la mayor intensidad litográfica [24]. El poder de precios está demostrado: el margen bruto subió del 51,3 % de 2024 al 57,5 % del 3T26 [3, 11]. La debilidad es el ciclo, no la calidad: por eso el base incluye una pausa en 2029.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10,1 %)</w:t>
            </w:r>
          </w:p>
        </w:tc>
      </w:tr>
    </w:tbl>
    <w:p>
      <w:pPr>
        <w:spacing w:after="160" w:before="0"/>
      </w:pPr>
    </w:p>
    <w:p>
      <w:pPr>
        <w:spacing w:after="100"/>
      </w:pPr>
      <w:r>
        <w:t xml:space="preserve">El DCF base da 924,14 EUR por acción, un 38,8 % por debajo del precio, con un WACC del 10,09 %; con la prima implícita del mercado (WACC del 8,5 %) sube a 1.163,84 EUR, todavía un 23 % por debajo. El DCF inverso dice que el precio descuenta un crecimiento anual del 15,2 % de 2027 a 2035 con nuestros márgenes, frente al 8,7 % de nuestro base, o una rentabilidad anual implícita del 7,2 %, por debajo del WACC (10,1 %) y de lo que pide el mercado (8,5 %). Para justificar el precio hay que creer que ASML casi quintuplica las ventas de 2025 en diez años (de 32.667 M a unos 159.000 M en 2035, frente a 93.000 M en nuestro base), sin un solo año de caída del ciclo. No es imposible —la IA puede alargar el ciclo y el monopolio no se discute—, pero es exigente frente a una historia en la que las ventas crecieron un 15 % anual con caídas en 2009, 2019 y 2023-2024.</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en IA se frena en 2027-2028 como la memoria en 2023: los clientes retrasan máquinas, el crecimiento cae 6 puntos al año y el margen 3 puntos por la menor absorción de costes. Es lo que pasó en 2024, cuando las ventas se estancaron.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EUV se vende entera en 2027-2028 (+25 % y +15 %), hay una pausa en 2029 y luego un crecimiento del 4-7 % con márgenes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alarga el ciclo: ASML amplía capacidad por encima del 30 % anual, High-NA entra en volumen en 2028 y el margen bruto llega a la parte alta del objetivo de 2030 (60 %).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1.50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884,43 EUR (-41,4 %).</w:t>
      </w:r>
    </w:p>
    <w:p>
      <w:pPr>
        <w:spacing w:after="100"/>
      </w:pPr>
      <w:r>
        <w:t xml:space="preserve">La asimetría del valor intrínseco es mala: incluso el alcista (1.290,94 EUR) queda por debajo del precio, y el bajista (547,25 EUR) pierde un 64 %. A 12 meses la lectura cambia porque el mercado paga un PER y no un DCF: el bajista pierde un 15,4 % y el alcista gana un 60,6 % (con dividendo). La diferencia entre las dos lecturas es el múltiplo que el mercado está dispuesto a pagar por el monopolio en plena ola de la IA.</w:t>
      </w:r>
    </w:p>
    <w:p>
      <w:pPr>
        <w:pStyle w:val="Heading1"/>
      </w:pPr>
      <w:r>
        <w:t xml:space="preserve">22. Suma de partes</w:t>
      </w:r>
    </w:p>
    <w:p>
      <w:pPr>
        <w:pStyle w:val="Confianza"/>
        <w:spacing w:after="100"/>
      </w:pPr>
      <w:r>
        <w:t xml:space="preserve">Confianza: Alta</w:t>
      </w:r>
    </w:p>
    <w:p>
      <w:pPr>
        <w:spacing w:after="100"/>
      </w:pPr>
      <w:r>
        <w:t xml:space="preserve">ASML es un solo negocio (litografía y su servicio): sistemas y base instalada comparten clientes, tecnología y múltiplo. No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1.50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1.082,19 EUR (-28,3 % sobre 1.509,60).</w:t>
      </w:r>
    </w:p>
    <w:p>
      <w:pPr>
        <w:spacing w:after="100"/>
      </w:pPr>
      <w:r>
        <w:t xml:space="preserve">Pesos: DCF 50 %, comparables 25 % y escenarios 25 %. El DCF es el método más fiable para un monopolio con flujos visibles, pero aquí castiga mucho porque el WACC (10,1 %) es alto frente al que implica el precio (7,2 %). Los comparables (1.596 EUR) están por encima del precio porque todo el sector cotiza a 30-35 veces el beneficio con la IA, y no aportan un ancla independiente: si el sector baja, bajan con él. La dispersión es enorme (547-1.725 EUR): el valor depende sobre todo de la tasa de descuento y de cuánto dura el ciclo. Sin transacciones: no hay operaciones comparables a un monopolio de este tamaño.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(28.5x) a mitad de camino hacia la mediana de 5 años (30.9x)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2.347,83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1.767,12 EUR · rentabilidad +17,6 % (base +23,0 %) · señal Mantener.</w:t>
      </w:r>
    </w:p>
    <w:p>
      <w:pPr>
        <w:spacing w:after="100"/>
      </w:pPr>
      <w:r>
        <w:t xml:space="preserve">Para comparar, con la regla v2 (historia al cierre, mismo precio): 24,2x / 28,5x / 35,2x, 16,5 % Mantener. Decide la regla vigente (v3 con tope ×1,1; METODO-VIGENTE.md).</w:t>
      </w:r>
    </w:p>
    <w:p>
      <w:pPr>
        <w:keepNext/>
        <w:spacing w:after="100"/>
      </w:pPr>
      <w:r>
        <w:rPr>
          <w:b/>
          <w:bCs/>
        </w:rPr>
        <w:t xml:space="preserve">Frente al consenso (solo contraste).</w:t>
      </w:r>
    </w:p>
    <w:p>
      <w:pPr>
        <w:spacing w:after="100"/>
      </w:pPr>
      <w:r>
        <w:t xml:space="preserve">Nuestro BPA de 2027 (53,01 EUR) queda un 2 % por encima del consenso de Yahoo (52,03), que tiene meses y no recoge la tercera subida de la guía; no conocemos el de 2028. La diferencia de precio con el objetivo medio de los analistas (2.045 EUR, un 13 % por encima de nuestro base de 1.774 EUR) es de múltiplo: los analistas aplican 32-35 veces el beneficio de 2028 y nosotros, con la regla común, el PER actual de 28,5x.</w:t>
      </w:r>
    </w:p>
    <w:p>
      <w:pPr>
        <w:keepNext/>
        <w:spacing w:after="100"/>
      </w:pPr>
      <w:r>
        <w:rPr>
          <w:b/>
          <w:bCs/>
        </w:rPr>
        <w:t xml:space="preserve">Del valor intrínseco al objetivo a 12 meses.</w:t>
      </w:r>
    </w:p>
    <w:p>
      <w:pPr>
        <w:spacing w:after="100"/>
      </w:pPr>
      <w:r>
        <w:t xml:space="preserve">El objetivo a 12 meses (1.751,37 EUR) está un 62 % por encima del valor intrínseco (1.082,19 EUR). La distancia no se cierra en un año: el precio refleja un múltiplo de ciclo alto sobre un beneficio que dobla entre 2025 y 2027, y el DCF exige crecimientos que el ciclo no ha dado nunca. Lo que podría cerrarla es una caída del ciclo de IA (precio hacia el valor) o, en sentido contrario, la confirmación de que la capacidad de 2028-2030 está vendida (valor hacia el precio).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 cartera de pedidos anual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ventas de 2027 y de la cartera a fin de año (38.800 M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a cuenta de 1,88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ampliar capacidad más allá del +30 % para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ventas de 2028 por encima de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controles de exportación de EE. UU. o Países Bajos (servicio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20 % de las ventas; el servicio es de alto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relevo del presidente del Consejo de Supervisión (mandato de N. Andersen)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de inversión de TSMC, Samsung, SK Hynix e hiperescaladores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 la demanda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o pausa del ciclo de inversión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a 12 meses (bajista); −64 %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y capacidad vendida hasta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inversión de TSMC o de los hiperescaladores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30x hacia la media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5 puntos de PER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comparables por debajo de 25x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que alcancen al servicio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IA fuera de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del BIS o del Gobierno neerlandés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(TSMC, Samsung, Intel)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tienen alternativa a EUV</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fábricas (Intel, Samsung)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Cuellos de botella de suministro (Zeiss, fuentes)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24,9 % en Zeiss SMT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EUV por debajo de 65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Rampa de High-NA más lenta o con margen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Low-NA sigue creciendo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Reconocimientos de High-NA por debajo de 4-5 al año</w:t>
            </w:r>
          </w:p>
        </w:tc>
      </w:tr>
    </w:tbl>
    <w:p>
      <w:pPr>
        <w:spacing w:after="160" w:before="0"/>
      </w:pPr>
    </w:p>
    <w:p>
      <w:pPr>
        <w:pStyle w:val="Heading2"/>
      </w:pPr>
      <w:r>
        <w:t xml:space="preserve">Pre-mortem</w:t>
      </w:r>
    </w:p>
    <w:p>
      <w:pPr>
        <w:spacing w:after="100"/>
      </w:pPr>
      <w:r>
        <w:t xml:space="preserve">Octubre de 2029: la acción vale 900 EUR, un 40 % menos. La historia más probable empieza en 2027: los hiperescaladores, con la inversión en centros de datos por encima de lo que monetizan, recortan su gasto un 20 %. TSMC y SK Hynix retrasan fábricas y piden aplazar entregas; ASML, que había ampliado capacidad un 30 % al año, se queda con exceso de producción en 2028, y el margen bruto vuelve al 52 % de 2024. Las ventas de 2028 caen en vez de crecer un 15 %, y el mercado deja de pagar 30 veces un beneficio de ciclo alto: el PER vuelve a 25x sobre un BPA de 45 EUR. Las señales estaban ahí: el WFE creciendo por encima del 20 % tres años seguidos, ASML dejando de publicar pedidos trimestrales y clientes que pedían máquinas para 2030 por miedo a quedarse sin ellas, el patrón clásico de doble pedido de los ciclos de semiconductores.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los controles de exportación (gobernanza y geopolítica; China ≈ 20 % de las ventas de 2026) [19], el consumo eléctrico de las máquinas EUV en las fábricas de los clientes, que ASML intenta reducir por oblea, y la dependencia de una cadena de suministro de más de 5.000 proveedores, con Zeiss como único proveedor de óptica [1].</w:t>
      </w:r>
    </w:p>
    <w:p>
      <w:pPr>
        <w:pStyle w:val="Heading2"/>
      </w:pPr>
      <w:r>
        <w:t xml:space="preserve">Controversias</w:t>
      </w:r>
    </w:p>
    <w:p>
      <w:pPr>
        <w:spacing w:after="100"/>
      </w:pPr>
      <w:r>
        <w:t xml:space="preserve">No hemos encontrado sanciones ni litigios relevantes en los últimos tres años. La controversia principal es política: las restricciones a China y las presiones para limitar el servicio a máquinas ya instaladas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capacidad de 2028 está cubierta por pedidos firmes con anticipo y cuánta por acuerdos de reserva?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pedidos trimestrales no sabemos si hay doble pedido; es lo que más cambiaría el base de 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subido el precio medio de una EUV Low-NA en 2026 frente a 2025, a igual productividad?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 en el puente de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tienen hoy las High-NA y cuándo llegan al de la Low-NA?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47 % de margen EBITDA de 2028 es prudente.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China de 2026 es servicio de la base instalada y qué riesgo regulatorio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veto al servicio quitaría ventas de alto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12.000 M a 30 veces el beneficio en lugar de acelerar capacidad?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 estos precios crea poco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Mistral 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plan con la segunda parte de la inversión en Mistral AI y qué retorno se espera?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fuera del negocio con efecto en el BPA.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(resumen de resultados y transcripción,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récord del 3T26 se recibe con caídas: «resultados récord, pero la acción cae por valoración». La conversación gira en torno a si el mercado ya descontaba la capacidad agotada [13,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 en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usuario estima un PER de 30-35 veces y una rentabilidad por flujo libre del 2,5-3 % y concluye que la acción «no está barata»; sus casos bajistas para 2030 dependen del ciclo de IA y de perder China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fija un valor razonable de unos 865 EUR, muy por debajo de la cotización, aunque reconoce el impulso (+102 % en un año)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Substack (Rebound Capital, Penny Insight)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alcistas ven a ASML en la parte alta de su objetivo de 2030 por la inversión de los hiperescaladores (+40-50 % en 2026) y hablan de «subida asimétrica»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BigGo Finance y Tradingkey (prensa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Destacan que la demanda supera la capacidad hasta 2028 y la tercera subida de la guía; los comentarios se preguntan cuánto queda de recorrido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doblar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a 1.509,60 EUR la acción cotiza a unas 28 veces nuestro BPA de 2027 y el DCF da bastante menos que el precio; la caída del día de resultados lo confirma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agotada en 2027-2028 por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dice la propia dirección: la oferta no cubrirá la demanda ni con +30 % de capacidad al año [40]. Es la base de nuestro crecimiento del 25 % en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ciclo de inversión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WFE crece un 23 % en 2026 y los casos bajistas de los foros (ciclo que se da la vuelta) son nuestro escenario bajista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los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baja a un 20 % de las ventas; los foros exageran el riesgo frente a la demanda de IA, pero una prohibición del servicio restaría ventas de alto margen [41].</w:t>
            </w:r>
          </w:p>
        </w:tc>
      </w:tr>
    </w:tbl>
    <w:p>
      <w:pPr>
        <w:spacing w:after="160" w:before="0"/>
      </w:pPr>
    </w:p>
    <w:p>
      <w:pPr>
        <w:spacing w:after="100"/>
      </w:pPr>
      <w:r>
        <w:t xml:space="preserve">El sentimiento no es eufórico pese a la subida: los particulares reconocen el monopolio y la capacidad agotada, pero discuten la valoración, y la caída del día de resultados muestra que lo bueno ya estaba en el precio. No contradice a los analistas (38 de 42 recomiendan comprar), pero sí apoya nuestra lectura: el riesgo no está en el negocio sino en lo que se paga por él. No aporta ningún riesgo que el informe no recogiera.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46 (10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37,2 % en 2035e frente al 31,5 %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89,0 % frente a WACC 10,1 %: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18.317 M de flujo libre medio en sus tres primeros años, frente a 7.799 M de media real en los tres últimos: justifica el salto (circulante, inversión, márgenes) o ajusta los supuestos. Explicación: El salto es real: las ventas de 2026 suben un 36 % (guía de 44.000-45.000 M) con un margen bruto del 56 % frente al 52,8 % de 2025, y el flujo histórico de 2023 (5.443 M) se hundió al consumirse los anticipos de clientes. En 2024-2025 el flujo libre ya fue de 9.083 y 11.027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(46,5x → 25,1x), Inficon (45,6x → 25,9x): el salto implica un crecimiento del EBITDA que no cuadra con el de las ventas. ¿EBITDA de proveedores distintos, o un cambio de perímetro? Explicación: Applied Materials e Inficon vienen de la tabla de VAT (MarketScreener, mismo proveedor); el salto refleja el fuerte crecimiento del EBITDA esperado en 2026-2027 en todo el sector, no un cambio de definición. Se usa la mediana del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(2021-2024 completo; clientes, proveedores y pasivos de contrato)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en sec.gov (no abre en este entorno, solo extractos de búsqueda); 2) Stock Analysis y Yahoo (extractos con columnas desalineadas); 3) presentación del 4T25 (solo caja, existencias y activo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2022; 2) Stock Analysis; 3) Fintel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(sistemas frente a base instalada,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2) presentaciones trimestrales;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vencimientos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2) búsqueda de bonos de ASML; 3) Weiss Ratings (solo deuda a largo plazo)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 litografía y segunda fuente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SEMI (solo WFE); 2) informes de mercado (OpenPR, Research and Markets, sin cifra fiable); 3) TechInsights/Gartner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e ingresos de Nikon y Canon en litografía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cuotas de litografía; 2) informes de Nikon/Canon (no abren);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anual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de 2025 (PDF de ourbrand.asml.com, no abre); 2) registro de la AFM (no abre en este entorno); 3) búsquedas de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del informe de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la junta de 2026; 2) PDF de votaciones;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con Yahoo (sin red en este entorno); 2) búsqueda de rentabilidades (solo +55,8 % del ADR en 2025); 3) MarketScreener (extractos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 equipos de semiconductores 2019-2026 (KLA-Orbotech, AMAT-Kokusai fallida) sin múltiplos legibles; 2) prensa; 3) no hay operación comparable a un monopolio de 600.000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Yahoo (solo BPA 2026-27); 3) Stock Analysis (ventas desfasadas)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52 semanas,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MarketScreener;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(sin resultados); 2) Seeking Alpha (solo un artículo sin fecha); 3) Stocktwits (no aparece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FY2025 (estados financieros consolidados US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https://www.sec.gov/Archives/edgar/data/0000937966/000162828026011378/asml-20251231.htm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 Holding: Income Statement (Annual), EUR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https://fintel.io/is/mx/asml1 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and full-year 2025 financial results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https://www.sec.gov/Archives/edgar/data/937966/000162828026003701/pressreleasefinancialresul.htm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https://www.sec.gov/Archives/edgar/data/937966/000093796623000014/asml-20221231.htm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https://www.sec.gov/Archives/edgar/data/937966/000093796623000016/a2022annualreportbasedon.htm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presentation Q4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https://www.sec.gov/Archives/edgar/data/937966/000162828026003701/a2026_01x28xpresentation.htm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(ASML.AS)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https://finance.yahoo.com/quote/ASML.AS/balance-sheet/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€8.8 billion total net sales and €2.8 billion net income in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https://www.asml.com/news/press-releases/2026/q1-2026-financial-results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€9.3 billion total net sales and €2.9 billion net income in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https://www.asml.com/news/press-releases/2026/q2-2026-financial-results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€11.7 billion total net sales and €5.0 billion net income in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https://www.globenewswire.com/news-release/2026/10/14/3380319/0/en/asml-reports-11-7-billion-total-net-sales-and-5-0-billion-net-income-in-q3-2026.html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earnings: net income climbs to €5B (resumen del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https://www.stocktitan.net/sec-filings/ASML/6-k-asml-holding-nv-current-report-foreign-issuer-d706c81f3750.html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slides: record results but shares fall on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https://www.investing.com/news/company-news/asml-q3-2026-slides-record-results-but-shares-fall-on-valuation-93CH-4948137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ASML tops Q3 2026 estimates but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https://www.investing.com/news/transcripts/earnings-call-transcript-asml-tops-q3-2026-estimates-but-shares-fall-93CH-4948118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Q4 2025: sales 9.72bln, orders 13.2bln, guides FY26 34-39bln, announces up to EUR 12bln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https://www.newsquawk.com/headlines/asml-asml-na---q4-2025-eur-sales-972bln-exp-926bln-guided-92-98bln-orders-132bln-exp-695bln-guides-q1-2026-revenue-82-89bln-exp-811bln-guides-fy26-sales-34-39bln-exp-365bln-announces-up-to-eur-12bln-share-buyback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(EUR): Basic EPS 12.95 (exp. 10.68), Revenue 11.7bln (exp. 11.58bln)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https://www.newsquawk.com/headlines/asml-asml-na-q3-2026-eur-eps-1295-exp-1068-revenue-117bln-exp-1158bln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reports Q3 EPS EUR 5.49 vs EUR 5.28 last year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https://www.tipranks.com/news/the-fly/asml-reports-q3-eps-eur-5-49-vs-eur-5-28-last-year-thefly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balance sheet quarterly (long-term debt)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https://weissratings.com/en/stock/asml-nasdaq/balance-sheet/quarterly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Q3 2026: EUV Demand Outruns 2027 Capacity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Pomegra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https://pomegra.io/news/asml-q3-2026-euv-demand-outruns-2027-capacity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discloses 2026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https://www.asml.com/en/news/press-releases/2026/asml-discloses-2026-agm-results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dividend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QuantisNow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https://quantisnow.com/dividends/ASML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https://en.wikipedia.org/wiki/ASML_Holding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https://www.semi.org/en/semi-press-release/global-semiconductor-equipment-sales-forecast-to-reach-a-record-229-billion-dollars-in-2028-semi-reports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Lithography Equipment Market 2026 Enters High-NA 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https://www.openpr.com/news/4602814/lithography-equipment-market-2026-enters-high-na-era-as-ai-chips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(consenso y datos anuales) de Applied Materials, Lam Research y ASM International (vía nota D de VAT,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https://www.marketscreener.com/quote/stock/MKS-INC-10037/finances/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2025 Remuneration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https://ourbrand.asml.com/m/2aab148d7a4a5d62/original/asml-2025-remuneration-report.pdf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shareholders approve million-euro increase in salary cap for top executives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https://nltimes.nl/2025/04/23/asml-shareholders-approve-million-euro-increase-salary-cap-top-executives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(ASML) Analyst Ratings, Estimates &amp;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https://finance.yahoo.com/quote/ASML/analysis/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Stock Forecast &amp; Price Target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https://www.investing.com/equities/asml-holding-consensus-estimates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N.V.: cotización en Euronext Ámsterdam (cierre del 13-oct-2026: 1.509,60 EUR,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https://www.marketscreener.com/quote/stock/ASML-HOLDING-N-V-12002973/quotes/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- 30 Year Stock Price History (cierres anuales del ADR,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https://macrotrends.net/stocks/charts/ASML/asml-holding/stock-price-history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(FRA: ASME) quote: precio de inicio del año (921,50 EUR,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https://www.fool.com/quote/fra/asme/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y Statistics de Applied Materials, Lam Research, ASM International, VAT e Inficon (tabla de comparables de la nota D de VAT, cierres del 6-oct-2026,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VAT 2026-10-06)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(KLAC) quote y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https://sg.finance.yahoo.com/quote/KLAC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Stock Price &amp; Overview (cierre ADR 13-oct: 1.717,76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(Svensson), vida residual de 10 años, diaria (3,53 % 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ASML tops Q3 2026 estimates but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https://ng.investing.com/news/stock-market-news/earnings-call-transcript-asml-tops-q3-2026-estimates-but-shares-fall-93CH-2735163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sobre ASML (valoración y escenarios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https://app.getquin.com/es/post/cELBRJMfVB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 in High-NA EUV technology will drive future semiconductor equipment demand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https://simplywall.st/narratives/progress-in-high-na-euv-technology-will-drive-future-semiconductor-equipment-demand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Capital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https://reboundcapital.substack.com/p/asml-update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ASML's Asymmetric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Penny Insight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https://pennyinsight.substack.com/p/asmls-asymmetric-upside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Posts Record Q3 Sales of €11.7B, Margin Hits 57.5% as Demand Outpaces Capacity Through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https://finance.biggo.com/news/US_ASML_2026-10-14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Third-Quarter Earnings Beat Expectations: AI Chip Demand Drives Revenue Surge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https://www.tradingkey.com/analysis/stocks/us-stocks/262215608-asml-q3-earnings-beat-ai-chip-demand-revenue-surge-guidance-raised-tradingkey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74,6 %</w:t>
      </w:r>
      <w:r>
        <w:t xml:space="preserve"> · Secciones con menos del 60 % de campos cubiertos: </w:t>
      </w:r>
      <w:r>
        <w:rPr>
          <w:b/>
          <w:bCs/>
        </w:rPr>
        <w:t xml:space="preserve">gobierno, bolsa, transacciones</w:t>
      </w:r>
      <w:r>
        <w:t xml:space="preserve"> · Generado el 14 oct 2026.</w:t>
      </w:r>
    </w:p>
    <w:p>
      <w:pPr>
        <w:pStyle w:val="Nota"/>
        <w:spacing w:after="100"/>
      </w:pPr>
      <w:r>
        <w:t xml:space="preserve">Análisis hecho desde la nube con la red limitada a la búsqueda web: sec.gov, la web de ASML, Yahoo y los proveedores de datos no se pudieron abrir, y las herramientas descargar.mjs y bolsa.mjs no funcionan aquí. Las cifras salen de los extractos de búsqueda de los comunicados trimestrales, del 20-F de 2025 y de proveedores (Fintel, Stock Analysis), cruzadas cuando fue posible; la confianza es menor que en un análisis normal y lo que no cuadró va a null y a los huecos. Cuentas en EUR con US GAAP (ASML publica también un informe NIIF con otro beneficio). Precio: cierre del 13-oct-2026 en Euronext (1.509,60 EUR), porque los resultados del 3T26 salieron antes de la apertura del 14 y la sesión estaba abierta [32]; el ADR cerró a 1.717,76 USD [37]. Acciones: 383,5 M (beneficio del 3T26 entre BPA básico, 4.960/12,95, menos la recompra del trimestre). El balance histórico solo tiene 2025 y sin desglose de circulante; el circulante comercial neto se proyecta nulo porque los anticipos de clientes compensan las existencias. Los comparables vienen de la tabla de la nota D del informe de VAT (cierres del 6-oct-2026, en CHF, pasados a EUR a 0,9359 CHF/EUR) y KLA de Yahoo; los múltiplos de esas fechas no recogen la subida de los últimos días.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ASML Holding N.V. (ASML.AS)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1.509,60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Hoja1!$B$2:$B$7</c:f>
              <c:numCache>
                <c:formatCode>#,##0</c:formatCode>
                <c:ptCount val="6"/>
                <c:pt idx="0">
                  <c:v>1291</c:v>
                </c:pt>
                <c:pt idx="1">
                  <c:v>1564.72</c:v>
                </c:pt>
                <c:pt idx="2">
                  <c:v>843.94</c:v>
                </c:pt>
                <c:pt idx="3">
                  <c:v>547.25</c:v>
                </c:pt>
                <c:pt idx="4">
                  <c:v>1074.01</c:v>
                </c:pt>
                <c:pt idx="5">
                  <c:v>1502.05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Hoja1!$C$2:$C$7</c:f>
              <c:numCache>
                <c:formatCode>#,##0</c:formatCode>
                <c:ptCount val="6"/>
                <c:pt idx="0">
                  <c:v>1209</c:v>
                </c:pt>
                <c:pt idx="1">
                  <c:v>160.22000000000003</c:v>
                </c:pt>
                <c:pt idx="2">
                  <c:v>183.22000000000003</c:v>
                </c:pt>
                <c:pt idx="3">
                  <c:v>743.69</c:v>
                </c:pt>
                <c:pt idx="4">
                  <c:v>196.1400000000001</c:v>
                </c:pt>
                <c:pt idx="5">
                  <c:v>15.100000000000136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(WFE, SEMI, convertido a 1,1269 USD/EUR))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103700</c:v>
                </c:pt>
                <c:pt idx="1">
                  <c:v>127700</c:v>
                </c:pt>
                <c:pt idx="2">
                  <c:v>155600</c:v>
                </c:pt>
                <c:pt idx="3">
                  <c:v>177500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ASML</c:v>
                </c:pt>
                <c:pt idx="1">
                  <c:v>Applied Materials</c:v>
                </c:pt>
                <c:pt idx="2">
                  <c:v>Lam Research</c:v>
                </c:pt>
                <c:pt idx="3">
                  <c:v>ASM International</c:v>
                </c:pt>
                <c:pt idx="4">
                  <c:v>Nikon</c:v>
                </c:pt>
                <c:pt idx="5">
                  <c:v>Canon</c:v>
                </c:pt>
              </c:strCache>
            </c:strRef>
          </c:cat>
          <c:val>
            <c:numRef>
              <c:f>Hoja1!$B$2:$B$7</c:f>
              <c:numCache>
                <c:formatCode>0.0"%"</c:formatCode>
                <c:ptCount val="6"/>
                <c:pt idx="0">
                  <c:v>34.6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18611</c:v>
                </c:pt>
                <c:pt idx="1">
                  <c:v>21173.4</c:v>
                </c:pt>
                <c:pt idx="2">
                  <c:v>27558.5</c:v>
                </c:pt>
                <c:pt idx="3">
                  <c:v>28262.9</c:v>
                </c:pt>
                <c:pt idx="4">
                  <c:v>32667.3</c:v>
                </c:pt>
                <c:pt idx="5">
                  <c:v>44493</c:v>
                </c:pt>
                <c:pt idx="6">
                  <c:v>55616</c:v>
                </c:pt>
                <c:pt idx="7">
                  <c:v>63958</c:v>
                </c:pt>
                <c:pt idx="8">
                  <c:v>67156</c:v>
                </c:pt>
                <c:pt idx="9">
                  <c:v>71857</c:v>
                </c:pt>
                <c:pt idx="10">
                  <c:v>76887</c:v>
                </c:pt>
                <c:pt idx="11">
                  <c:v>81501</c:v>
                </c:pt>
                <c:pt idx="12">
                  <c:v>85576</c:v>
                </c:pt>
                <c:pt idx="13">
                  <c:v>89427</c:v>
                </c:pt>
                <c:pt idx="14">
                  <c:v>93004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9775.5</c:v>
                </c:pt>
                <c:pt idx="3">
                  <c:v>9861.4</c:v>
                </c:pt>
                <c:pt idx="4">
                  <c:v>12266.4</c:v>
                </c:pt>
                <c:pt idx="5">
                  <c:v>19221</c:v>
                </c:pt>
                <c:pt idx="6">
                  <c:v>25583</c:v>
                </c:pt>
                <c:pt idx="7">
                  <c:v>30060</c:v>
                </c:pt>
                <c:pt idx="8">
                  <c:v>30892</c:v>
                </c:pt>
                <c:pt idx="9">
                  <c:v>33054</c:v>
                </c:pt>
                <c:pt idx="10">
                  <c:v>35368</c:v>
                </c:pt>
                <c:pt idx="11">
                  <c:v>37490</c:v>
                </c:pt>
                <c:pt idx="12">
                  <c:v>39365</c:v>
                </c:pt>
                <c:pt idx="13">
                  <c:v>41136</c:v>
                </c:pt>
                <c:pt idx="14">
                  <c:v>42782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52.7</c:v>
                </c:pt>
                <c:pt idx="1">
                  <c:v>50.5</c:v>
                </c:pt>
                <c:pt idx="2">
                  <c:v>51.3</c:v>
                </c:pt>
                <c:pt idx="3">
                  <c:v>51.3</c:v>
                </c:pt>
                <c:pt idx="4">
                  <c:v>52.8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35.5</c:v>
                </c:pt>
                <c:pt idx="3">
                  <c:v>34.9</c:v>
                </c:pt>
                <c:pt idx="4">
                  <c:v>37.5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35.1</c:v>
                </c:pt>
                <c:pt idx="1">
                  <c:v>30.7</c:v>
                </c:pt>
                <c:pt idx="2">
                  <c:v>32.8</c:v>
                </c:pt>
                <c:pt idx="3">
                  <c:v>31.9</c:v>
                </c:pt>
                <c:pt idx="4">
                  <c:v>34.6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31.6</c:v>
                </c:pt>
                <c:pt idx="1">
                  <c:v>26.6</c:v>
                </c:pt>
                <c:pt idx="2">
                  <c:v>28.4</c:v>
                </c:pt>
                <c:pt idx="3">
                  <c:v>26.8</c:v>
                </c:pt>
                <c:pt idx="4">
                  <c:v>29.4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28</c:v>
                </c:pt>
                <c:pt idx="1">
                  <c:v>46.4</c:v>
                </c:pt>
                <c:pt idx="2">
                  <c:v>23.2</c:v>
                </c:pt>
                <c:pt idx="3">
                  <c:v>0.7</c:v>
                </c:pt>
                <c:pt idx="4">
                  <c:v>4.9</c:v>
                </c:pt>
                <c:pt idx="5">
                  <c:v>13.2</c:v>
                </c:pt>
                <c:pt idx="6">
                  <c:v>20.9</c:v>
                </c:pt>
                <c:pt idx="7">
                  <c:v>55.1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9905.5</c:v>
                </c:pt>
                <c:pt idx="1">
                  <c:v>7167.499999999999</c:v>
                </c:pt>
                <c:pt idx="2">
                  <c:v>3288</c:v>
                </c:pt>
                <c:pt idx="3">
                  <c:v>9083.1</c:v>
                </c:pt>
                <c:pt idx="4">
                  <c:v>11027.3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5883.2</c:v>
                </c:pt>
                <c:pt idx="1">
                  <c:v>5624.2</c:v>
                </c:pt>
                <c:pt idx="2">
                  <c:v>7839</c:v>
                </c:pt>
                <c:pt idx="3">
                  <c:v>7571.6</c:v>
                </c:pt>
                <c:pt idx="4">
                  <c:v>9609.4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1300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1">
                  <c:v>2600</c:v>
                </c:pt>
                <c:pt idx="2">
                  <c:v>2300</c:v>
                </c:pt>
                <c:pt idx="3">
                  <c:v>2500</c:v>
                </c:pt>
                <c:pt idx="4">
                  <c:v>2600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1">
                  <c:v>4600</c:v>
                </c:pt>
                <c:pt idx="2">
                  <c:v>1000</c:v>
                </c:pt>
                <c:pt idx="3">
                  <c:v>500</c:v>
                </c:pt>
                <c:pt idx="4">
                  <c:v>6000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ASML</c:v>
                </c:pt>
                <c:pt idx="1">
                  <c:v>Applied Materials</c:v>
                </c:pt>
                <c:pt idx="2">
                  <c:v>Lam Research</c:v>
                </c:pt>
                <c:pt idx="3">
                  <c:v>ASM International</c:v>
                </c:pt>
                <c:pt idx="4">
                  <c:v>VAT Group</c:v>
                </c:pt>
                <c:pt idx="5">
                  <c:v>KLA</c:v>
                </c:pt>
                <c:pt idx="6">
                  <c:v>Inficon</c:v>
                </c:pt>
              </c:strCache>
            </c:strRef>
          </c:cat>
          <c:val>
            <c:numRef>
              <c:f>Hoja1!$B$2:$B$8</c:f>
              <c:numCache>
                <c:formatCode>0.0"x"</c:formatCode>
                <c:ptCount val="7"/>
                <c:pt idx="1">
                  <c:v>25.1</c:v>
                </c:pt>
                <c:pt idx="2">
                  <c:v>27.9</c:v>
                </c:pt>
                <c:pt idx="3">
                  <c:v>22.5</c:v>
                </c:pt>
                <c:pt idx="4">
                  <c:v>33.9</c:v>
                </c:pt>
                <c:pt idx="6">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Applied Materials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27.5</c:v>
                </c:pt>
              </c:numCache>
            </c:numRef>
          </c:xVal>
          <c:yVal>
            <c:numRef>
              <c:f>Hoja1!$C$2</c:f>
              <c:numCache>
                <c:formatCode>0.0"x"</c:formatCode>
                <c:ptCount val="1"/>
                <c:pt idx="0">
                  <c:v>25.1</c:v>
                </c:pt>
              </c:numCache>
            </c:numRef>
          </c:yVal>
          <c:smooth val="0"/>
        </c:ser>
        <c:ser>
          <c:idx val="1"/>
          <c:order val="1"/>
          <c:tx>
            <c:strRef>
              <c:f>Hoja1!$A$3</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27.9</c:v>
                </c:pt>
              </c:numCache>
            </c:numRef>
          </c:yVal>
          <c:smooth val="0"/>
        </c:ser>
        <c:ser>
          <c:idx val="2"/>
          <c:order val="2"/>
          <c:tx>
            <c:strRef>
              <c:f>Hoja1!$A$4</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31.1</c:v>
                </c:pt>
              </c:numCache>
            </c:numRef>
          </c:xVal>
          <c:yVal>
            <c:numRef>
              <c:f>Hoja1!$C$4</c:f>
              <c:numCache>
                <c:formatCode>0.0"x"</c:formatCode>
                <c:ptCount val="1"/>
                <c:pt idx="0">
                  <c:v>22.5</c:v>
                </c:pt>
              </c:numCache>
            </c:numRef>
          </c:yVal>
          <c:smooth val="0"/>
        </c:ser>
        <c:ser>
          <c:idx val="3"/>
          <c:order val="3"/>
          <c:tx>
            <c:strRef>
              <c:f>Hoja1!$A$5</c:f>
              <c:strCache>
                <c:ptCount val="1"/>
                <c:pt idx="0">
                  <c:v>VAT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51.9</c:v>
                </c:pt>
              </c:numCache>
            </c:numRef>
          </c:xVal>
          <c:yVal>
            <c:numRef>
              <c:f>Hoja1!$C$5</c:f>
              <c:numCache>
                <c:formatCode>0.0"x"</c:formatCode>
                <c:ptCount val="1"/>
                <c:pt idx="0">
                  <c:v>33.9</c:v>
                </c:pt>
              </c:numCache>
            </c:numRef>
          </c:yVal>
          <c:smooth val="0"/>
        </c:ser>
        <c:ser>
          <c:idx val="4"/>
          <c:order val="4"/>
          <c:tx>
            <c:strRef>
              <c:f>Hoja1!$A$6</c:f>
              <c:strCache>
                <c:ptCount val="1"/>
                <c:pt idx="0">
                  <c:v>Inficon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18.3</c:v>
                </c:pt>
              </c:numCache>
            </c:numRef>
          </c:xVal>
          <c:yVal>
            <c:numRef>
              <c:f>Hoja1!$C$6</c:f>
              <c:numCache>
                <c:formatCode>0.0"x"</c:formatCode>
                <c:ptCount val="1"/>
                <c:pt idx="0">
                  <c:v>25.9</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2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13918</c:v>
                </c:pt>
                <c:pt idx="1">
                  <c:v>18690</c:v>
                </c:pt>
                <c:pt idx="2">
                  <c:v>22344</c:v>
                </c:pt>
                <c:pt idx="3">
                  <c:v>23239</c:v>
                </c:pt>
                <c:pt idx="4">
                  <c:v>25226</c:v>
                </c:pt>
                <c:pt idx="5">
                  <c:v>26991</c:v>
                </c:pt>
                <c:pt idx="6">
                  <c:v>28611</c:v>
                </c:pt>
                <c:pt idx="7">
                  <c:v>30041</c:v>
                </c:pt>
                <c:pt idx="8">
                  <c:v>31393</c:v>
                </c:pt>
                <c:pt idx="9">
                  <c:v>32649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153345</c:v>
                </c:pt>
                <c:pt idx="1">
                  <c:v>58993</c:v>
                </c:pt>
                <c:pt idx="2">
                  <c:v>132454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1.509,60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547.25</c:v>
                </c:pt>
                <c:pt idx="1">
                  <c:v>924.14</c:v>
                </c:pt>
                <c:pt idx="2">
                  <c:v>1290.94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1.509,60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Hoja1!$B$2:$B$7</c:f>
              <c:numCache>
                <c:formatCode>#,##0</c:formatCode>
                <c:ptCount val="6"/>
                <c:pt idx="0">
                  <c:v>1291</c:v>
                </c:pt>
                <c:pt idx="1">
                  <c:v>1564.72</c:v>
                </c:pt>
                <c:pt idx="2">
                  <c:v>843.94</c:v>
                </c:pt>
                <c:pt idx="3">
                  <c:v>547.25</c:v>
                </c:pt>
                <c:pt idx="4">
                  <c:v>1074.01</c:v>
                </c:pt>
                <c:pt idx="5">
                  <c:v>1502.05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(1.291,00 – 2.500,00)</c:v>
                </c:pt>
                <c:pt idx="1">
                  <c:v>Comparables: PER NTM (1.564,72 – 1.724,94)</c:v>
                </c:pt>
                <c:pt idx="2">
                  <c:v>DCF (WACC y g ± 0,5) (843,94 – 1.027,16)</c:v>
                </c:pt>
                <c:pt idx="3">
                  <c:v>Escenarios (bajista – alcista) (547,25 – 1.290,94)</c:v>
                </c:pt>
                <c:pt idx="4">
                  <c:v>DCF con la prima implícita del mercado (4,2 %)</c:v>
                </c:pt>
                <c:pt idx="5">
                  <c:v>Precio actual (1.509,60)</c:v>
                </c:pt>
              </c:strCache>
            </c:strRef>
          </c:cat>
          <c:val>
            <c:numRef>
              <c:f>Hoja1!$C$2:$C$7</c:f>
              <c:numCache>
                <c:formatCode>#,##0</c:formatCode>
                <c:ptCount val="6"/>
                <c:pt idx="0">
                  <c:v>1209</c:v>
                </c:pt>
                <c:pt idx="1">
                  <c:v>160.22000000000003</c:v>
                </c:pt>
                <c:pt idx="2">
                  <c:v>183.22000000000003</c:v>
                </c:pt>
                <c:pt idx="3">
                  <c:v>743.69</c:v>
                </c:pt>
                <c:pt idx="4">
                  <c:v>196.1400000000001</c:v>
                </c:pt>
                <c:pt idx="5">
                  <c:v>15.100000000000136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