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Atlas Copco AB (publ)</w:t>
      </w:r>
    </w:p>
    <w:p>
      <w:pPr>
        <w:spacing w:after="60"/>
        <w:rPr>
          <w:color w:val="52514E"/>
          <w:sz w:val="22"/>
          <w:szCs w:val="22"/>
        </w:rPr>
      </w:pPr>
      <w:r>
        <w:rPr>
          <w:color w:val="52514E"/>
          <w:sz w:val="22"/>
          <w:szCs w:val="22"/>
        </w:rPr>
        <w:t xml:space="preserve">ATCO A · Nasdaq Stockholm (Large Cap) · ISIN SE0017486889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SEK</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211,80 SEK</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200,38 SEK</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-4,0 % (base +4,6 %)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106,29 SEK · mercado 124,75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1.031.678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0,4x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Atlas Copco AB (publ)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ATCO A / SE0017486889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Stockholm (Large Cap)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OMX Stockholm 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Maquinaria industrial (compresores, vacío, herramientas de montaje y equipos de energía)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Nacka, Estocolmo (Suecia) · 1873</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www.atlascopcogroup.com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211,80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149,45 – 214,10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4.871,0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1.031.678 M SEK</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1.051.231 M SEK</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200,38 SEK</w:t>
      </w:r>
      <w:r>
        <w:t xml:space="preserve"> frente a 211,80 · Rentabilidad a 12 meses </w:t>
      </w:r>
      <w:r>
        <w:rPr>
          <w:b/>
          <w:bCs/>
        </w:rPr>
        <w:t xml:space="preserve">-4,0 % (base +4,6 %)</w:t>
      </w:r>
      <w:r>
        <w:t xml:space="preserve"> · Valor intrínseco 106,29 SEK · con la prima implícita del mercado: 124,75 (-41,1 %) · Alcista / bajista -48,1 % / -71,2 %</w:t>
      </w:r>
    </w:p>
    <w:p>
      <w:pPr>
        <w:spacing w:after="100"/>
      </w:pPr>
      <w:r>
        <w:rPr>
          <w:b/>
        </w:rPr>
        <w:t xml:space="preserve">La recomendación y por qué.</w:t>
      </w:r>
      <w:r>
        <w:t xml:space="preserve"> Mantener, con convicción media. Con nuestro BPA y la regla común de múltiplos, el objetivo a 12 meses es de 193,20 SEK frente a 211,80 SEK de hoy: −7,4 % con el dividendo, y −3,6 % en el caso base. El objetivo medio de los analistas (204 SEK [20]) queda dentro de nuestro rango (151,73-218,77 SEK). El valor intrínseco es mucho menor que el precio (106,29 SEK, −49,8 %): el mercado descuenta Atlas Copco a un 5,1 % y nosotros a un 8,87 %. No vendemos porque el PER histórico de la empresa nunca ha bajado de 25,5 veces y el beneficio vuelve a crecer; no compramos porque el ciclo de semiconductores ya está en el precio. La convicción es media porque las dos reglas coinciden y el precio queda lejos de los umbrales; subiría si el 3T26 confirma pedidos en el nivel del 2T26 y bajaría si el precio se acerca a 218 SEK o el consenso de BPA resulta muy superior al nuestro.</w:t>
      </w:r>
    </w:p>
    <w:p>
      <w:pPr>
        <w:spacing w:after="100"/>
      </w:pPr>
      <w:r>
        <w:rPr>
          <w:b/>
        </w:rPr>
        <w:t xml:space="preserve">El negocio.</w:t>
      </w:r>
      <w:r>
        <w:t xml:space="preserve"> Primer fabricante mundial de compresores y de vacío, con un servicio que amortigua el ciclo y un margen operativo del 20-22 % en todo el ciclo [1, 2]. ROIC del 19,7 % (ROCE del 24 % según la empresa [1]), 10,8 puntos por encima del WACC. Sostenibilidad del crecimiento: «Sí», tras rebajar medio punto el orgánico de 2027-2032 y subir el capex.</w:t>
      </w:r>
    </w:p>
    <w:p>
      <w:pPr>
        <w:spacing w:after="100"/>
      </w:pPr>
      <w:r>
        <w:rPr>
          <w:b/>
        </w:rPr>
        <w:t xml:space="preserve">Finanzas.</w:t>
      </w:r>
      <w:r>
        <w:t xml:space="preserve"> Ventas de 168.343 M SEK en 2025 (−5 %, casi todo divisa) y BPA de 5,43 SEK (6,11 en 2024) [1, 5]. En el 2T26, pedidos récord de 50.951 M (+26 % orgánico) por el vacío para semiconductores y BPA de 1,45 SEK (1,34) [2]. Deuda neta de 0,4 veces el EBITDA [7] y dividendo de 3,00 SEK más 2,00 extraordinarios [9].</w:t>
      </w:r>
    </w:p>
    <w:p>
      <w:pPr>
        <w:spacing w:after="100"/>
      </w:pPr>
      <w:r>
        <w:rPr>
          <w:b/>
        </w:rPr>
        <w:t xml:space="preserve">Equipo y gobierno.</w:t>
      </w:r>
      <w:r>
        <w:t xml:space="preserve"> Vagner Rego es consejero delegado desde 2024 [9]. Investor AB controla la junta con acciones A; no se pudo leer el consejo ni la remuneración (hueco).</w:t>
      </w:r>
    </w:p>
    <w:p>
      <w:pPr>
        <w:spacing w:after="100"/>
      </w:pPr>
      <w:r>
        <w:rPr>
          <w:b/>
        </w:rPr>
        <w:t xml:space="preserve">Valoración.</w:t>
      </w:r>
      <w:r>
        <w:t xml:space="preserve"> El DCF da 89,93 SEK con nuestro WACC y 114,84 SEK con la prima del mercado (4,20 % [28]). El DCF inverso dice que el precio pide un crecimiento del 17,1 % anual en 2027-2035 frente al 4,9 % de nuestro base. A 12 meses, a 33,2 veces nuestro BPA de 2027e, cotiza por encima de su mediana de cinco años (28,85 veces) y con una prima del 35 % sobre los comparables (24,3 veces): el crecimiento del beneficio (de 6,38 a 6,96 SEK) no compensa la vuelta a la mediana. Nuestro BPA de 2028e queda un 4,5 % por debajo del consenso de junio.</w:t>
      </w:r>
    </w:p>
    <w:p>
      <w:pPr>
        <w:spacing w:after="100"/>
      </w:pPr>
      <w:r>
        <w:rPr>
          <w:b/>
        </w:rPr>
        <w:t xml:space="preserve">Riesgos y catalizadores.</w:t>
      </w:r>
      <w:r>
        <w:t xml:space="preserve"> El mayor riesgo es el giro del ciclo de semiconductores (bajista de 151,73 SEK, −27 %); el segundo, la compresión del múltiplo con tipos al alza. Catalizadores: la fecha ex del dividendo de 2,50 SEK el 19 de octubre y los resultados del 3T26 el 22 de octubre [17, 30]. En los foros y la prensa el tono es positivo desde el 2T26; los críticos repiten que siempre está cara.</w:t>
      </w:r>
    </w:p>
    <w:p>
      <w:pPr>
        <w:spacing w:after="100"/>
      </w:pPr>
      <w:r>
        <w:rPr>
          <w:b/>
        </w:rPr>
        <w:t xml:space="preserve">Qué cambiaría la decisión.</w:t>
      </w:r>
      <w:r>
        <w:t xml:space="preserve"> Vender por encima de 217,99 SEK (ponderada a 12 meses ≤ −10 %). Comprar por debajo de 106,29 SEK, donde el precio quedaría bajo el valor intrínseco con más del 15 % a 12 meses. Pasaríamos a Vender si los pedidos de vacío caen en el 3T26 o el 4T26; a una visión más positiva, con pedidos que se mantengan por encima de 48.000 M SEK y margen ajustado por encima del 21 %.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200,38 SEK</w:t>
      </w:r>
      <w:r>
        <w:t xml:space="preserve"> (rentabilidad -4,0 % (base +4,6 %)) · Valor intrínseco: 106,29 SEK (-49,8 % sobre 211,80) · con la prima implícita del mercado: 124,75 (-41,1 %)</w:t>
      </w:r>
    </w:p>
    <w:p>
      <w:pPr>
        <w:spacing w:after="100"/>
      </w:pPr>
      <w:r>
        <w:t xml:space="preserve">Atlas Copco es el líder mundial de compresores y vacío: 168.343 M SEK de ventas en 2025, margen operativo del 20 % y ROCE del 24 % [1]. El 2T26 trajo pedidos récord (+26 % orgánico) por las fábricas de chips [2].</w:t>
      </w:r>
    </w:p>
    <w:p>
      <w:pPr>
        <w:spacing w:after="100"/>
      </w:pPr>
      <w:r>
        <w:t xml:space="preserve">El precio, 211,80 SEK y 32,7 veces el BPA de los próximos 12 meses, descuenta un crecimiento del 17,1 % anual hasta 2035, casi cuatro veces el 4,9 % que proyectamos. Es una rentabilidad implícita del 5,1 %, por debajo de nuestro WACC (8,87 %) y del que pide el mercado (7,49 %).</w:t>
      </w:r>
    </w:p>
    <w:p>
      <w:pPr>
        <w:spacing w:after="100"/>
      </w:pPr>
      <w:r>
        <w:t xml:space="preserve">El mercado acierta en la calidad y en el impulso de 2026-2027. A 12 meses, el beneficio sube un 9 % pero el PER, por encima de su mediana, tiende a volver: −7,4 % ponderado.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200,38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 × 5,95 = 126,74 · 31,4x × 6,96 = 218,54 · 31,4x × 7,57 = 237,70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 / 4,6 %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204,00 (nuestro base +7,1 %)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106,29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-48,1 % / -71,2 %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 frente a 8,9 % y 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124,75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(5,1 % anual proyectado; financiable al ROIC actual: 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106,29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106,29 y 225,98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225,98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encima de 217,99 SEK: Vender.</w:t>
      </w:r>
    </w:p>
    <w:p>
      <w:pPr>
        <w:pStyle w:val="ListParagraph"/>
        <w:numPr>
          <w:ilvl w:val="0"/>
          <w:numId w:val="2"/>
        </w:numPr>
        <w:spacing w:after="60"/>
      </w:pPr>
      <w:r>
        <w:t xml:space="preserve">Precio por debajo de 106,29 SEK: Comprar.</w:t>
      </w:r>
    </w:p>
    <w:p>
      <w:pPr>
        <w:pStyle w:val="ListParagraph"/>
        <w:numPr>
          <w:ilvl w:val="0"/>
          <w:numId w:val="2"/>
        </w:numPr>
        <w:spacing w:after="60"/>
      </w:pPr>
      <w:r>
        <w:t xml:space="preserve">Pedidos de vacío a la baja dos trimestres seguidos: Vender.</w:t>
      </w:r>
    </w:p>
    <w:p>
      <w:pPr>
        <w:pStyle w:val="ListParagraph"/>
        <w:numPr>
          <w:ilvl w:val="0"/>
          <w:numId w:val="2"/>
        </w:numPr>
        <w:spacing w:after="60"/>
      </w:pPr>
      <w:r>
        <w:t xml:space="preserve">Pedidos por encima de 48.000 M SEK y margen ajustado por encima del 21 % en el 2S26: revisar al alza el BPA.</w:t>
      </w:r>
    </w:p>
    <w:p>
      <w:pPr>
        <w:pStyle w:val="Heading2"/>
      </w:pPr>
      <w:r>
        <w:t xml:space="preserve">Dónde discrepamos del mercado</w:t>
      </w:r>
    </w:p>
    <w:p>
      <w:pPr>
        <w:keepNext/>
        <w:spacing w:after="100"/>
      </w:pPr>
      <w:r>
        <w:rPr>
          <w:b/>
          <w:bCs/>
        </w:rPr>
        <w:t xml:space="preserve">Lo que descuenta el precio.</w:t>
      </w:r>
    </w:p>
    <w:p>
      <w:pPr>
        <w:spacing w:after="100"/>
      </w:pPr>
      <w:r>
        <w:t xml:space="preserve">Un ciclo largo de inversión en semiconductores que lleve el BPA a más de 7 SEK en 2028 y un PER de más de 30 veces de forma permanente.</w:t>
      </w:r>
    </w:p>
    <w:p>
      <w:pPr>
        <w:keepNext/>
        <w:spacing w:after="100"/>
      </w:pPr>
      <w:r>
        <w:rPr>
          <w:b/>
          <w:bCs/>
        </w:rPr>
        <w:t xml:space="preserve">Lo que creemos nosotros.</w:t>
      </w:r>
    </w:p>
    <w:p>
      <w:pPr>
        <w:spacing w:after="100"/>
      </w:pPr>
      <w:r>
        <w:t xml:space="preserve">El ciclo es real, pero el vacío es la parte más cíclica del grupo: a 28,85 veces (su mediana) nuestro BPA de 2028e vale 201 SEK, por debajo del precio.</w:t>
      </w:r>
    </w:p>
    <w:p>
      <w:pPr>
        <w:keepNext/>
        <w:spacing w:after="100"/>
      </w:pPr>
      <w:r>
        <w:rPr>
          <w:b/>
          <w:bCs/>
        </w:rPr>
        <w:t xml:space="preserve">Por qué podemos tener razón.</w:t>
      </w:r>
    </w:p>
    <w:p>
      <w:pPr>
        <w:spacing w:after="100"/>
      </w:pPr>
      <w:r>
        <w:t xml:space="preserve">En 2023-2024 los pedidos de vacío ya cayeron con el ciclo de memorias, y el PER de Atlas Copco volvió a 25-28 veces tras cada pico.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SEK) · precio actual 211,8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Pedidos récord</w:t>
      </w:r>
      <w:r>
        <w:t xml:space="preserve">: 50.951 M SEK en el 2T26, +26 % orgánico [2].</w:t>
      </w:r>
    </w:p>
    <w:p>
      <w:pPr>
        <w:pStyle w:val="ListParagraph"/>
        <w:numPr>
          <w:ilvl w:val="0"/>
          <w:numId w:val="2"/>
        </w:numPr>
        <w:spacing w:after="60"/>
      </w:pPr>
      <w:r>
        <w:rPr>
          <w:b/>
        </w:rPr>
        <w:t xml:space="preserve">Calidad</w:t>
      </w:r>
      <w:r>
        <w:t xml:space="preserve">: ROCE del 24 % y margen del 20-22 % en todo el ciclo [1].</w:t>
      </w:r>
    </w:p>
    <w:p>
      <w:pPr>
        <w:pStyle w:val="ListParagraph"/>
        <w:numPr>
          <w:ilvl w:val="0"/>
          <w:numId w:val="2"/>
        </w:numPr>
        <w:spacing w:after="60"/>
      </w:pPr>
      <w:r>
        <w:rPr>
          <w:b/>
        </w:rPr>
        <w:t xml:space="preserve">Balance</w:t>
      </w:r>
      <w:r>
        <w:t xml:space="preserve">: deuda neta de 0,4 veces el EBITDA y dividendo extraordinario [7, 9].</w:t>
      </w:r>
    </w:p>
    <w:p>
      <w:pPr>
        <w:pStyle w:val="ListParagraph"/>
        <w:numPr>
          <w:ilvl w:val="0"/>
          <w:numId w:val="2"/>
        </w:numPr>
        <w:spacing w:after="60"/>
      </w:pPr>
      <w:r>
        <w:rPr>
          <w:b/>
        </w:rPr>
        <w:t xml:space="preserve">Servicio</w:t>
      </w:r>
      <w:r>
        <w:t xml:space="preserve">: crece todos los años y amortigua el ciclo [1].</w:t>
      </w:r>
    </w:p>
    <w:p>
      <w:pPr>
        <w:pStyle w:val="Heading2"/>
      </w:pPr>
      <w:r>
        <w:t xml:space="preserve">En contra</w:t>
      </w:r>
    </w:p>
    <w:p>
      <w:pPr>
        <w:pStyle w:val="ListParagraph"/>
        <w:numPr>
          <w:ilvl w:val="0"/>
          <w:numId w:val="2"/>
        </w:numPr>
        <w:spacing w:after="60"/>
      </w:pPr>
      <w:r>
        <w:rPr>
          <w:b/>
        </w:rPr>
        <w:t xml:space="preserve">Precio exigente</w:t>
      </w:r>
      <w:r>
        <w:t xml:space="preserve">: 33,2 veces nuestro BPA de 2027e frente a una mediana de 28,85.</w:t>
      </w:r>
    </w:p>
    <w:p>
      <w:pPr>
        <w:pStyle w:val="ListParagraph"/>
        <w:numPr>
          <w:ilvl w:val="0"/>
          <w:numId w:val="2"/>
        </w:numPr>
        <w:spacing w:after="60"/>
      </w:pPr>
      <w:r>
        <w:rPr>
          <w:b/>
        </w:rPr>
        <w:t xml:space="preserve">Valor intrínseco</w:t>
      </w:r>
      <w:r>
        <w:t xml:space="preserve">: 106,29 SEK, un 49,8 % por debajo del precio.</w:t>
      </w:r>
    </w:p>
    <w:p>
      <w:pPr>
        <w:pStyle w:val="ListParagraph"/>
        <w:numPr>
          <w:ilvl w:val="0"/>
          <w:numId w:val="2"/>
        </w:numPr>
        <w:spacing w:after="60"/>
      </w:pPr>
      <w:r>
        <w:rPr>
          <w:b/>
        </w:rPr>
        <w:t xml:space="preserve">Ciclo de semiconductores</w:t>
      </w:r>
      <w:r>
        <w:t xml:space="preserve">: el motor del crecimiento es la parte más volátil.</w:t>
      </w:r>
    </w:p>
    <w:p>
      <w:pPr>
        <w:pStyle w:val="ListParagraph"/>
        <w:numPr>
          <w:ilvl w:val="0"/>
          <w:numId w:val="2"/>
        </w:numPr>
        <w:spacing w:after="60"/>
      </w:pPr>
      <w:r>
        <w:rPr>
          <w:b/>
        </w:rPr>
        <w:t xml:space="preserve">Gobierno</w:t>
      </w:r>
      <w:r>
        <w:t xml:space="preserve">: control de Investor AB con acciones A.</w:t>
      </w:r>
    </w:p>
    <w:p>
      <w:pPr>
        <w:pStyle w:val="Heading2"/>
      </w:pPr>
      <w:r>
        <w:t xml:space="preserve">Qué tiene que pasar para que la tesis funcione</w:t>
      </w:r>
    </w:p>
    <w:p>
      <w:pPr>
        <w:spacing w:after="100"/>
      </w:pPr>
      <w:r>
        <w:t xml:space="preserve">La tesis de Mantener depende de que los pedidos se mantengan en el nivel del 2T26 y el PER no supere las 34 veces. La señal de alarma sería una caída de pedidos de vacío en el 3T26 (22-oct) o el 4T26.</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recibidos (orgánico)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 las ventas de 2027.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Poder de precios y apalancamiento.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Calidad de las compras.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de los próximos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34x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Nivel de venta de la regla.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24,1x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38,7x / 32,7x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 · 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de 13 (8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Atlas Copco se fundó en Estocolmo en 1873 y es desde hace décadas el primer fabricante mundial de compresores de aire. Su modelo combina producto de calidad, una red propia de servicio que factura cerca de la mitad del grupo y compras pequeñas continuas (29 en 2025 [1]). En 2018 escindió Epiroc (minería) y en los últimos quince años ha construido, comprando Edwards (2014) y Leybold (2019), el mayor negocio de vacío del mundo, con fuerte peso en fábricas de semiconductores. En 2022 desdobló las acciones 4 por 1. El 2T26 trajo pedidos récord de 50.951 M SEK por el vacío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1873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Estocolmo; pionera de la compresión de aire.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Epiroc (minería e infraestructuras).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Desdoblamiento 4 por 1 de las acciones.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Pedidos récord en el 2T por el vacío para semiconductores [B2].</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Cuatro áreas: Compressor Technique (compresores industriales, de gas y de proceso, la mayor), Vacuum Technique (bombas de vacío para semiconductores, pantallas e industria: Edwards y Leybold), Industrial Technique (herramientas de montaje, unión y visión para automoción y electrónica) y Power Technique (compresores portátiles, generadores, bombas y alquiler). Ventas de 168.343 M SEK en 2025 [1]. No se pudo leer el desglose por área ni por región (hueco).</w:t>
      </w:r>
    </w:p>
    <w:p>
      <w:pPr>
        <w:pStyle w:val="Heading2"/>
      </w:pPr>
      <w:r>
        <w:t xml:space="preserve">Cómo gana dinero</w:t>
      </w:r>
    </w:p>
    <w:p>
      <w:pPr>
        <w:spacing w:after="100"/>
      </w:pPr>
      <w:r>
        <w:t xml:space="preserve">Vende equipos con margen alto y, sobre todo, servicio (repuestos, contratos y reparaciones) sobre una base instalada enorme: el servicio crece todos los años y amortigua el ciclo de equipos [1]. El margen operativo se mantiene en el 20-22 % en todo el ciclo (20,3 % en 2025, 21,0 % ajustado en el 2T26 [1, 2]) porque la empresa sube precios y ajusta costes rápido con una organización muy descentralizada.</w:t>
      </w:r>
    </w:p>
    <w:p>
      <w:pPr>
        <w:pStyle w:val="Heading2"/>
      </w:pPr>
      <w:r>
        <w:t xml:space="preserve">Clientes, recurrencia y poder de precios</w:t>
      </w:r>
    </w:p>
    <w:p>
      <w:pPr>
        <w:spacing w:after="100"/>
      </w:pPr>
      <w:r>
        <w:t xml:space="preserve">Base industrial muy atomizada (fábricas, talleres, alquiladores, constructoras), salvo en vacío, donde pesan los grandes fabricantes de chips y de equipos de fabricación de semiconductores. Sin cliente relevante publicado.</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recibidos (crecimiento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en equipos (2025); +5 % (1T26)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 (2T26): 50.951 M SEK, récord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Vacío para semiconductores (pedidos de Vacuum Technique ≈+60 %) y crecimiento de dos dígitos en las cuatro áreas [A2, A3].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44.974 M SEK (+9 % publicado) [A2].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 (2025); 20,4 %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Publicado 20,6 %, plano [A2].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sobre el capital empleado (ROCE)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 (2025 y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por las compras y el menor beneficio de 2025 [A1, A2].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Compras cerradas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en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 en caja de 11.560 M SEK [A1, A6].</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Aire comprimido, vacío, herramientas industriales y equipos de energía portátiles. No se encontraron cifras de tamaño de mercado en esta sesión (hueco); la referencia del ciclo son los pedidos de la propia empresa y de Ingersoll Rand.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fábricas de semiconductores (IA, memorias, lógica avanzada)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vacío ≈+60 % en el 2T26 [14]; Visible Alpha esperaba +44 % en 2026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Eficiencia energética del aire comprimido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compresores de velocidad variable y la recuperación de calor sostienen la sustitución de equipos; crecimiento de dos dígitos de pedidos en compresores industriales en el 2T26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 industrial y automoción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Equipos +1 % orgánico en 2025 con demanda mixta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 (corona fuerte)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−5 % publicadas en 2025 y en el 1T26 con orgánico positivo [1, 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Oligopolio global (Atlas Copco, Ingersoll Rand, Kaeser) en compresores y pocos grandes en vacío de semiconductores (Edwards, Ebara, Pfeiffer).</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Bajo en industria; alto en semiconductores, donde pocos clientes concentran la inversión.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Componentes y acero; se repercuten en precio.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de servicio global, base instalada y homologaciones en semiconductores.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Pocos sustitutos del aire comprimido y del vacío en la fabricación.</w:t>
            </w:r>
          </w:p>
        </w:tc>
      </w:tr>
    </w:tbl>
    <w:p>
      <w:pPr>
        <w:spacing w:after="160" w:before="0"/>
      </w:pPr>
    </w:p>
    <w:p>
      <w:pPr>
        <w:pStyle w:val="Heading2"/>
      </w:pPr>
      <w:r>
        <w:t xml:space="preserve">Ciclo</w:t>
      </w:r>
    </w:p>
    <w:p>
      <w:pPr>
        <w:spacing w:after="100"/>
      </w:pPr>
      <w:r>
        <w:t xml:space="preserve">Tras un 2025 de ventas a la baja (−5 % publicado, equipos +1 % orgánico [1]), el 2T26 marca pedidos récord (+26 % orgánico) y ventas +8 % orgánico [2]: comienzo de una expansión liderada por semiconductores. La empresa prevé que la actividad se mantenga en el nivel actual [2].</w:t>
      </w:r>
    </w:p>
    <w:p>
      <w:pPr>
        <w:pStyle w:val="Heading2"/>
      </w:pPr>
      <w:r>
        <w:t xml:space="preserve">Regulación</w:t>
      </w:r>
    </w:p>
    <w:p>
      <w:pPr>
        <w:spacing w:after="100"/>
      </w:pPr>
      <w:r>
        <w:t xml:space="preserve">Normas de eficiencia energética y de emisiones (diseño ecológico europeo) favorecen la sustitución de compresores antiguos; controles de exportación de equipos de semiconductores a China pueden afectar al vacío.</w:t>
      </w:r>
    </w:p>
    <w:p>
      <w:pPr>
        <w:pStyle w:val="Heading2"/>
      </w:pPr>
      <w:r>
        <w:t xml:space="preserve">Tendencias y disrupción</w:t>
      </w:r>
    </w:p>
    <w:p>
      <w:pPr>
        <w:spacing w:after="100"/>
      </w:pPr>
      <w:r>
        <w:t xml:space="preserve">Electrificación, eficiencia energética, automatización con visión artificial y fábricas de chips para IA. Atlas Copco está bien situada en todas; el riesgo es la concentración del crecimiento en el vacío para semiconductores.</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Primer fabricante mundial de compresores y de bombas de vacío por ventas; cuota no comprobada en esta sesión (hueco).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Ingersoll Rand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en compresores y vacío industrial; también comprador en serie.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Kaeser Kompressoren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Familiar, fuerte en compresores de tornillo en Europa.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Ebara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6361</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Bombas de vacío secas para semiconductores, rival directo de Edwards (Atlas Copco).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Pfeiffer Vacuum (Busch)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Vacío industrial y de alto vacío; controlada por Busch desde 2023.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Bosch Rexroth / Desoutter (herramientas)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 / 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Competencia en herramientas de montaje industrial (Industrial Technique).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4" name="Gráfico 4"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Débiles.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Equipos homologados en fábricas de chips y contratos de servicio sobre la base instalada.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líderes (Atlas Copco, Edwards, Leybold) y tecnología de vacío seco; margen del 20-22 % en todo el ciclo [A1, A2].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y organización descentralizada.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 de servicio global difícil de replicar.</w:t>
            </w:r>
          </w:p>
        </w:tc>
      </w:tr>
    </w:tbl>
    <w:p>
      <w:pPr>
        <w:spacing w:after="160" w:before="0"/>
      </w:pPr>
    </w:p>
    <w:p>
      <w:pPr>
        <w:pStyle w:val="Heading2"/>
      </w:pPr>
      <w:r>
        <w:t xml:space="preserve">Amenazas</w:t>
      </w:r>
    </w:p>
    <w:p>
      <w:pPr>
        <w:spacing w:after="100"/>
      </w:pPr>
      <w:r>
        <w:t xml:space="preserve">Ebara y la integración vertical de algunos fabricantes de equipos en vacío; competidores chinos en compresores de gama media.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90"/>
        <w:gridCol w:w="973"/>
        <w:gridCol w:w="778"/>
        <w:gridCol w:w="876"/>
        <w:gridCol w:w="827"/>
        <w:gridCol w:w="827"/>
        <w:gridCol w:w="778"/>
        <w:gridCol w:w="827"/>
        <w:gridCol w:w="681"/>
        <w:gridCol w:w="681"/>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29.025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141.325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36.549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172.664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44.852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176.771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46.951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168.343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43.643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w:t>
            </w:r>
          </w:p>
        </w:tc>
      </w:tr>
    </w:tbl>
    <w:p>
      <w:pPr>
        <w:spacing w:after="160" w:before="0"/>
      </w:pPr>
    </w:p>
    <w:p>
      <w:pPr>
        <w:spacing w:after="100"/>
      </w:pPr>
      <w:r>
        <w:t xml:space="preserve">Crecimiento anual compuesto 2021-2025: ingresos </w:t>
      </w:r>
      <w:r>
        <w:rPr>
          <w:b/>
          <w:bCs/>
        </w:rPr>
        <w:t xml:space="preserve">11,0 %</w:t>
      </w:r>
      <w:r>
        <w:t xml:space="preserve">, EBITDA </w:t>
      </w:r>
      <w:r>
        <w:rPr>
          <w:b/>
          <w:bCs/>
        </w:rPr>
        <w:t xml:space="preserve">10,7 %</w:t>
      </w:r>
      <w:r>
        <w:t xml:space="preserve">, BPA </w:t>
      </w:r>
      <w:r>
        <w:rPr>
          <w:b/>
          <w:bCs/>
        </w:rPr>
        <w:t xml:space="preserve">9,9 %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Ingresos y EBITDA (SEK,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spacing w:after="100"/>
      </w:pPr>
      <w:r>
        <w:t xml:space="preserve">Las ventas pasan de 110.912 M SEK en 2021 a 176.771 M en 2024 y bajan a 168.343 M en 2025 (−5 %, casi todo por la corona) [1, 5]. El EBITDA sube de 29.025 M a 46.951 M en 2024 y baja a 43.643 M en 2025 [8], con margen estable en torno al 26 %. El BPA pasa de 3,72 SEK en 2021 a 6,11 en 2024 y 5,43 en 2025 [5]. En el 1S26 el BPA vuelve a crecer (1,45 SEK en el 2T26 frente a 1,34 [2]).</w:t>
      </w:r>
    </w:p>
    <w:p>
      <w:pPr>
        <w:pStyle w:val="Heading2"/>
      </w:pPr>
      <w:r>
        <w:t xml:space="preserve">Ajustes y partidas no recurrentes</w:t>
      </w:r>
    </w:p>
    <w:p>
      <w:pPr>
        <w:spacing w:after="100"/>
      </w:pPr>
      <w:r>
        <w:t xml:space="preserve">Cifras publicadas. En 2025 la empresa excluye partidas que afectan a la comparabilidad (margen ajustado del 20,7 % frente al 20,3 % publicado [1]); no se ajustan aquí porque el BPA histórico del PER es el publicado. La amortización es EBITDA menos EBIT (incluye intangibles comprados).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2"/>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Lo que dijo la dirección en las últimas presentaciones</w:t>
      </w:r>
    </w:p>
    <w:p>
      <w:pPr>
        <w:spacing w:after="100"/>
      </w:pPr>
      <w:r>
        <w:t xml:space="preserve">En el 2T26 (16-jul) la empresa presentó pedidos récord de 50.951 M SEK (+27 %, +26 % orgánico), ventas de 44.974 M (+8 % orgánico), resultado operativo de 9.249 M (20,6 %; 21,0 % ajustado) y BPA de 1,45 SEK (1,34) [2]. Crecimiento de pedidos de dos dígitos en las cuatro áreas, con el vacío disparado por semiconductores; flujo operativo de 6.758 M y ROCE del 24 % [2, 15]. La dirección prevé que la actividad se mantenga en el nivel actual y reconoce dificultades para subir la producción al ritmo de la demanda [3, 13].</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202.454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77.078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110.383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spacing w:after="100"/>
      </w:pPr>
      <w:r>
        <w:t xml:space="preserve">Balance muy sólido: patrimonio de 110.383 M SEK sobre un activo de 202.454 M y deuda neta mínima [7]. Permite seguir comprando y pagar el dividendo extraordinario de 2,00 SEK de 2025 [9]. Intangibles y fondo de comercio de 77.078 M (38 % del activo) por las compras de Edwards, Leybold y las de complemento.</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18.130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23.477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28.040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29.782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Flujo de caja libre frente a beneficio neto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Acumulado 2021-2025: FCF </w:t>
      </w:r>
      <w:r>
        <w:rPr>
          <w:b/>
          <w:bCs/>
        </w:rPr>
        <w:t xml:space="preserve">116.014</w:t>
      </w:r>
      <w:r>
        <w:t xml:space="preserve">, conversión </w:t>
      </w:r>
      <w:r>
        <w:rPr>
          <w:b/>
          <w:bCs/>
        </w:rPr>
        <w:t xml:space="preserve">92 %</w:t>
      </w:r>
      <w:r>
        <w:t xml:space="preserve"> del beneficio neto; adquisiciones 36.223, dividendos 57.595, recompras 0.</w:t>
      </w:r>
    </w:p>
    <w:p>
      <w:pPr>
        <w:spacing w:after="100"/>
      </w:pPr>
      <w:r>
        <w:t xml:space="preserve">Flujo operativo de 23.152 M SEK en 2021, 36.887 M en 2024 y 32.566 M en 2025 [6]. Capex propio (material e intangibles) del 3-4 % de las ventas y compras de 2.334-11.560 M al año [6]. Los dividendos pagados suben de 8.889 M a 14.606 M [6]. 2022 fue flojo por la acumulación de existencias en plena crisis de suministros.</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p>
      <w:pPr>
        <w:spacing w:after="160" w:before="0"/>
      </w:pPr>
    </w:p>
    <w:p>
      <w:pPr>
        <w:pStyle w:val="Heading2"/>
      </w:pPr>
      <w:r>
        <w:t xml:space="preserve">Ajustes, criterios contables y remuneración en acciones</w:t>
      </w:r>
    </w:p>
    <w:p>
      <w:pPr>
        <w:spacing w:after="100"/>
      </w:pPr>
      <w:r>
        <w:t xml:space="preserve">Sin acceso al informe de auditoría, la lectura se apoya en los indicadores del motor (Altman Z de 8,11, zona muy segura) y en la conversión de caja: flujo operativo de 32.566 M SEK frente a un beneficio de 26.420 M en 2025 [5, 6]. No hay señales contables preocupantes en lo leído.</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Partidas que afectan a la comparabilidad</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0,4 puntos de margen en 2025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129.936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8,9 %.</w:t>
      </w:r>
    </w:p>
    <w:p>
      <w:pPr>
        <w:spacing w:after="100"/>
      </w:pPr>
      <w:r>
        <w:t xml:space="preserve">Atlas Copco crea mucho valor: ROIC del 19,7 % en 2025 sobre todo el capital (con el fondo de comercio) frente a un WACC del 8,87 %, 10,8 puntos de diferencia; el ROCE de la empresa fue del 24 % en 2025 y del 28 % en 2024 [1]. Margen neto estable del 16 % en 2021-2025. Sin balance anterior a 2025 no se puede medir la serie del ROIC (hueco).</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dic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19.376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15.523 M SEK a cierre de 2025 frente a una deuda total de 34.899 M (6.471 M a corto) [A7]: deuda neta de 19.376 M, ≈0,4 veces el EBITDA.</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0" name="Gráfico 10"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Covenants, pasivos fuera de la deuda y contingencias</w:t>
      </w:r>
    </w:p>
    <w:p>
      <w:pPr>
        <w:spacing w:after="100"/>
      </w:pPr>
      <w:r>
        <w:t xml:space="preserve">Deuda total de 34.899 M SEK (6.471 M a corto) y caja de 15.523 M a cierre de 2025: deuda neta de 19.376 M, unas 0,4 veces el EBITDA [7].</w:t>
      </w:r>
    </w:p>
    <w:p>
      <w:pPr>
        <w:pStyle w:val="Heading1"/>
      </w:pPr>
      <w:r>
        <w:t xml:space="preserve">12. Asignación de capital</w:t>
      </w:r>
    </w:p>
    <w:p>
      <w:pPr>
        <w:pStyle w:val="Confianza"/>
        <w:spacing w:after="100"/>
      </w:pPr>
      <w:r>
        <w:t xml:space="preserve">Confianza: Media</w:t>
      </w:r>
    </w:p>
    <w:p>
      <w:pPr>
        <w:spacing w:after="100"/>
      </w:pPr>
      <w:r>
        <w:t xml:space="preserve">Prioridades: inversión orgánica y compras de complemento (29 en 2025 [1]), dividendo ordinario estable o creciente (3,00 SEK en 2024 y 2025) y reparto extraordinario cuando sobra caja (2,00 SEK en 2025, en dos plazos; la fecha ex del segundo es el 19-oct-2026 [9, 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Usos de la caja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complemento (entre ellas, vacío y compresores)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operativa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en caja del año [A6].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compras de complemento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11.560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operativa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 en caja de 11.560 M SEK, un 6,9 % de las ventas [A1, A6].</w:t>
            </w:r>
          </w:p>
        </w:tc>
      </w:tr>
    </w:tbl>
    <w:p>
      <w:pPr>
        <w:spacing w:after="160" w:before="0"/>
      </w:pPr>
    </w:p>
    <w:p>
      <w:pPr>
        <w:spacing w:after="100"/>
      </w:pPr>
      <w:r>
        <w:t xml:space="preserve">De 2021 a 2025 gastó 36.223 M SEK en compras y 57.595 M en dividendos con un flujo operativo acumulado de 142.066 M [6]: asignación prudente, con deuda casi nula y sin recompras.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Vagner Rego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y consejero delegado (President &amp;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Comenta los resultados trimestrales del grupo [C1, C2]; viene de la casa (dirigió Compressor Technique).</w:t>
            </w:r>
          </w:p>
        </w:tc>
      </w:tr>
    </w:tbl>
    <w:p>
      <w:pPr>
        <w:spacing w:after="160" w:before="0"/>
      </w:pPr>
    </w:p>
    <w:p>
      <w:pPr>
        <w:spacing w:after="100"/>
      </w:pPr>
      <w:r>
        <w:t xml:space="preserve">Vagner Rego, consejero delegado desde 2024 tras dirigir Compressor Technique, sigue el modelo descentralizado de la casa [9]. No se pudo comprobar el resto del equipo ni el historial de objetivos (hueco).</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de 13 (8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97"/>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Investor AB (familia Wallenberg)</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 de referencia (sobre todo acciones 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cambios conocidos</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No se pudo leer el informe de remuneraciones de 2025 (hueco).</w:t>
      </w:r>
    </w:p>
    <w:p>
      <w:pPr>
        <w:pStyle w:val="Heading2"/>
      </w:pPr>
      <w:r>
        <w:t xml:space="preserve">Operaciones vinculadas, estructura de control y defensas</w:t>
      </w:r>
    </w:p>
    <w:p>
      <w:pPr>
        <w:spacing w:after="100"/>
      </w:pPr>
      <w:r>
        <w:t xml:space="preserve">Investor AB (familia Wallenberg) es el accionista de referencia, con acciones A de un voto frente a las B de una décima: controla la junta. Estabilidad y horizonte largo a cambio de menos voz del minoritario (porcentaje no comprobado en esta sesión).</w:t>
      </w:r>
    </w:p>
    <w:p>
      <w:pPr>
        <w:pStyle w:val="Heading2"/>
      </w:pPr>
      <w:r>
        <w:t xml:space="preserve">Señales de alerta</w:t>
      </w:r>
    </w:p>
    <w:p>
      <w:pPr>
        <w:pStyle w:val="ListParagraph"/>
        <w:numPr>
          <w:ilvl w:val="0"/>
          <w:numId w:val="2"/>
        </w:numPr>
        <w:spacing w:after="60"/>
      </w:pPr>
      <w:r>
        <w:t xml:space="preserve">Acciones A con un voto y B con una décima de voto: Investor AB controla la junta con bastante más peso en votos que en capital (porcentaje no comprobado en esta sesión).</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Atlas Copco no da guía numérica: solo la frase de perspectivas. En el 1T26 y el 2T26 dijo que espera que la actividad de los clientes se mantenga en el nivel actual [2,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88"/>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Simply Wall St, beneficio de 28.300 M ÷ 4.871 M acciones (24-jun-2026) [D4]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Simply Wall St, 32.500 M ÷ 4.871 M [D4]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35.500 M ÷ 4.871 M [D4]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178.444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46.395</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193.611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51.307</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206.196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55.673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 n.d. / n.d.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145,00 – 242,00</w:t>
            </w:r>
          </w:p>
        </w:tc>
      </w:tr>
    </w:tbl>
    <w:p>
      <w:pPr>
        <w:spacing w:after="160" w:before="0"/>
      </w:pPr>
    </w:p>
    <w:p>
      <w:pPr>
        <w:pStyle w:val="Heading2"/>
      </w:pPr>
      <w:r>
        <w:t xml:space="preserve">Revisiones de estimaciones</w:t>
      </w:r>
    </w:p>
    <w:p>
      <w:pPr>
        <w:spacing w:after="100"/>
      </w:pPr>
      <w:r>
        <w:t xml:space="preserve">Al alza tras el 2T26: Handelsbanken sube el objetivo a 240 SEK (7-oct) y sus BPA de 2026-27 un 2 % [21]; Bernstein a 240, Citi 242 y Morgan Stanley 222 [23]; RBC sigue en infraponderar con 145 SEK [22]. El consenso de BPA disponible es de junio (5,81, 6,67 y 7,29 SEK para 2026-2028 [19]) y probablemente ya ha subido.</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bl>
    <w:p>
      <w:pPr>
        <w:spacing w:after="160" w:before="0"/>
      </w:pPr>
    </w:p>
    <w:p>
      <w:pPr>
        <w:spacing w:after="100"/>
      </w:pPr>
      <w:r>
        <w:t xml:space="preserve">El PER de cierre fue de 27,0 veces en 2019, 34,0 en 2020, 41,3 en 2021, 25,5 en 2022, 30,1 en 2023, 27,6 en 2024 y 30,6 en 2025 [18]. Se excluyen 2020 y 2021 (tipos a cero). Hoy cotiza a 33,2 veces nuestro BPA de 2027e y a 32,7 veces el de los próximos 12 meses: por encima de su mediana de cinco años (28,85 veces).</w:t>
      </w:r>
    </w:p>
    <w:p>
      <w:pPr>
        <w:pStyle w:val="Heading1"/>
      </w:pPr>
      <w:r>
        <w:t xml:space="preserve">18. Comparables cotizados</w:t>
      </w:r>
    </w:p>
    <w:p>
      <w:pPr>
        <w:pStyle w:val="Confianza"/>
        <w:spacing w:after="100"/>
      </w:pPr>
      <w:r>
        <w:t xml:space="preserve">Confianza: Baja</w:t>
      </w:r>
    </w:p>
    <w:p>
      <w:pPr>
        <w:spacing w:after="100"/>
      </w:pPr>
      <w:r>
        <w:t xml:space="preserve">Ingersoll Rand (compresores y vacío, el directo) [25], Epiroc (escisión de Atlas Copco) [26] y seis industriales europeos de calidad con PER de los próximos 12 meses de los informes del repositorio del mismo día (ASSA ABLOY, Schindler, Legrand, Indutrade, Halma, IMI) [27]. Sin EV/EBITDA ni crecimiento de cada uno (hueco).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28"/>
        <w:gridCol w:w="504"/>
        <w:gridCol w:w="908"/>
        <w:gridCol w:w="706"/>
        <w:gridCol w:w="807"/>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Atlas Copco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1.031.678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Ingersoll Rand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Epiroc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ASSA ABLOY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Schindler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Legrand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Indutrade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Halma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IMI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82"/>
        <w:gridCol w:w="1056"/>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25,6x</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23,4x / 24,3x / 25,6x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166,05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-25,6 %</w:t>
            </w:r>
          </w:p>
        </w:tc>
      </w:tr>
    </w:tbl>
    <w:p>
      <w:pPr>
        <w:spacing w:after="160" w:before="0"/>
      </w:pPr>
    </w:p>
    <w:p>
      <w:pPr>
        <w:spacing w:after="100"/>
      </w:pPr>
      <w:r>
        <w:t xml:space="preserve">La mediana del PER es de 24,3 veces; Atlas Copco, a 32,7 veces los próximos 12 meses, cotiza con una prima del 35 % que el mercado justifica por su ROCE del 24 % y el ciclo de semiconductores.</w:t>
      </w:r>
    </w:p>
    <w:p>
      <w:pPr>
        <w:pStyle w:val="Heading1"/>
      </w:pPr>
      <w:r>
        <w:t xml:space="preserve">19. Transacciones precedentes</w:t>
      </w:r>
    </w:p>
    <w:p>
      <w:pPr>
        <w:pStyle w:val="Confianza"/>
        <w:spacing w:after="100"/>
      </w:pPr>
      <w:r>
        <w:t xml:space="preserve">Confianza: Baja</w:t>
      </w:r>
    </w:p>
    <w:p>
      <w:pPr>
        <w:spacing w:after="160" w:before="0"/>
      </w:pPr>
    </w:p>
    <w:p>
      <w:pPr>
        <w:spacing w:after="160" w:before="0"/>
      </w:pPr>
    </w:p>
    <w:p>
      <w:pPr>
        <w:spacing w:after="100"/>
      </w:pPr>
      <w:r>
        <w:t xml:space="preserve">No se encontraron operaciones comparables con múltiplo en esta sesión (hueco). Con Investor AB de control no hay prima de compra posible.</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Orgánico del 5 % en 2026 (3 % en el 1T y 8 % en el 2T [2, 4]) y del 6,5 % en 2027 por la cartera de pedidos récord (+26 % orgánico en el 2T26 [2]); después baja del 4,5 % al 1 % en 2035. Compras de 2 puntos al año hasta 2030 (29 compras en 2025 [1]) y divisa de −1 punto en 2026. Rebajamos el orgánico de 2027-2032 medio punto frente a la primera versión para que la prueba de sostenibilidad pase con el ROIC actual.</w:t>
      </w:r>
    </w:p>
    <w:p>
      <w:pPr>
        <w:keepNext/>
        <w:spacing w:after="100"/>
      </w:pPr>
      <w:r>
        <w:rPr>
          <w:b/>
          <w:bCs/>
        </w:rPr>
        <w:t xml:space="preserve">Márgenes.</w:t>
      </w:r>
    </w:p>
    <w:p>
      <w:pPr>
        <w:spacing w:after="100"/>
      </w:pPr>
      <w:r>
        <w:t xml:space="preserve">Margen EBITDA del 26,0 % en 2026 (25,9 % en 2025 [8]) y del 27,0 % desde 2028 por apalancamiento operativo con volumen (21 % de margen operativo ajustado en el 2T26 [2]).</w:t>
      </w:r>
    </w:p>
    <w:p>
      <w:pPr>
        <w:keepNext/>
        <w:spacing w:after="100"/>
      </w:pPr>
      <w:r>
        <w:rPr>
          <w:b/>
          <w:bCs/>
        </w:rPr>
        <w:t xml:space="preserve">Inversión y circulante.</w:t>
      </w:r>
    </w:p>
    <w:p>
      <w:pPr>
        <w:spacing w:after="100"/>
      </w:pPr>
      <w:r>
        <w:t xml:space="preserve">Capex = capex propio del 3,7 % de las ventas (6.187 M en 2025 [6]) + compras de 2,5 veces las ventas compradas (2 puntos de crecimiento = 5 % de las ventas; 4,6 % de media en compras en 2021-2025 [6]) + 1,6 puntos por el circulante, que no se pudo medir (hueco) y entra como inversión. Amortización del 5,7 % bajando al 5,0 %.</w:t>
      </w:r>
    </w:p>
    <w:p>
      <w:pPr>
        <w:keepNext/>
        <w:spacing w:after="100"/>
      </w:pPr>
      <w:r>
        <w:rPr>
          <w:b/>
          <w:bCs/>
        </w:rPr>
        <w:t xml:space="preserve">Coste del capital.</w:t>
      </w:r>
    </w:p>
    <w:p>
      <w:pPr>
        <w:spacing w:after="100"/>
      </w:pPr>
      <w:r>
        <w:t xml:space="preserve">Tasa libre del 3,0 % (bono sueco a 10 años del 2,98 % en julio [29]), beta de 1,1 (GuruFocus da 1,37 para la B [24]; la rebajamos hacia la media de industriales de calidad), prima del 5,5 %, coste de la deuda del 4 % y un 3 % de deuda: WACC del 8,87 %. Con la prima implícita del mercado (4,20 % [28]) el WACC baja al 7,49 % y el DCF sube a 114,84 SEK.</w:t>
      </w:r>
    </w:p>
    <w:p>
      <w:pPr>
        <w:keepNext/>
        <w:spacing w:after="100"/>
      </w:pPr>
      <w:r>
        <w:rPr>
          <w:b/>
          <w:bCs/>
        </w:rPr>
        <w:t xml:space="preserve">Valor terminal.</w:t>
      </w:r>
    </w:p>
    <w:p>
      <w:pPr>
        <w:spacing w:after="100"/>
      </w:pPr>
      <w:r>
        <w:t xml:space="preserve">Gordon con un crecimiento del 2,0 % (inflación objetivo del Riksbank). El valor terminal pesa un 59 %.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178.444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193.611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21.167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206.196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217.537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230.589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20.116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242.118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261.869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269.725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275.120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74.282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18.824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Flujo de caja libre para la empresa proyectado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586.391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1.337.082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189.623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267.966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457.589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438.036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89,93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De dónde sale el valor empresa del DCF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80,71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84,40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115,97</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88.261 M (23 %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 (ROIC 19,7 %)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r>
    </w:tbl>
    <w:p>
      <w:pPr>
        <w:spacing w:after="160" w:before="0"/>
      </w:pPr>
    </w:p>
    <w:p>
      <w:pPr>
        <w:spacing w:after="100"/>
      </w:pPr>
      <w:r>
        <w:t xml:space="preserve">La proyección reinvierte el 23 % del NOPAT. Con el ROIC del último ejercicio (19,7 %), eso financia un crecimiento del 4,5 % anual, frente al 5,0 % de ingresos proyectado. Supone que el capital nuevo rinde un 24,5 %.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5 % (3 de volumen y 2 de precio), compras de 2 puntos y divisa de −1 [2,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pedidos récord del 2T26: volumen del 4,5 % y precio del 2 %, más 2 puntos de compras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Normalización: orgánico del 4,5 % y compras de 2 puntos.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3,5 %, por debajo de la media por un posible giro del ciclo de semiconductores.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Orgánico del 4 % y compras de 2 puntos.</w:t>
            </w:r>
          </w:p>
        </w:tc>
      </w:tr>
    </w:tbl>
    <w:p>
      <w:pPr>
        <w:spacing w:after="160" w:before="0"/>
      </w:pPr>
    </w:p>
    <w:p>
      <w:pPr>
        <w:spacing w:after="100"/>
      </w:pPr>
      <w:r>
        <w:t xml:space="preserve">Sí, con la rebaja ya hecha. La proyección reinvierte el 23 % del NOPAT, que al ROIC del 19,7 % financia un 4,5 % anual; los 2 puntos de precio no necesitan capital, así que el 5,0 % proyectado es financiable. La primera versión (orgánico medio punto mayor y menos capex) suponía que el capital nuevo rendía un 30,9 %: se rebajó el crecimiento y se subió el capex hasta un 24,5 %, dentro de 1,25 veces el ROIC. El ROIC del motor (19,7 %) incluye todo el fondo de comercio; el ROCE de la empresa es del 24 % [1].</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17,1 % (base: 4,9 %)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50,0 % (base: 27,0 %)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 (WACC: 8,9 %)</w:t>
            </w:r>
          </w:p>
        </w:tc>
      </w:tr>
    </w:tbl>
    <w:p>
      <w:pPr>
        <w:spacing w:after="160" w:before="0"/>
      </w:pPr>
    </w:p>
    <w:p>
      <w:pPr>
        <w:spacing w:after="100"/>
      </w:pPr>
      <w:r>
        <w:t xml:space="preserve">El DCF da 89,93 SEK por acción, un 57,5 % por debajo del precio. El DCF inverso dice que el precio de 211,80 SEK descuenta un crecimiento del 17,1 % anual en 2027-2035 con nuestro margen, frente al 4,9 % de nuestro base, o una rentabilidad implícita del 5,1 % frente a un WACC del 8,87 %. Atlas Copco siempre ha cotizado así: el mercado le pide menos rentabilidad que a la media por la calidad.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ciclo de semiconductores se da la vuelta en 2027 como en 2023, la industria general no compensa y el margen EBITDA cae 2 puntos; el crecimiento queda 3 puntos por debajo del base.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récord se convierte en ventas en 2026-2027 (+6 % y +8,5 %), el margen sube al 27 % y luego el crecimiento se normaliza al 5-6 % con compras de 2 puntos.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109,91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ciclo de IA dura más, el vacío sigue creciendo a doble dígito y el margen sube un punto más.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Valor por acción por escenario (SEK) · precio actual 211,8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Valor ponderado por probabilidad:</w:t>
      </w:r>
      <w:r>
        <w:t xml:space="preserve"> 87,69 SEK (-58,6 %).</w:t>
      </w:r>
    </w:p>
    <w:p>
      <w:pPr>
        <w:spacing w:after="100"/>
      </w:pPr>
      <w:r>
        <w:t xml:space="preserve">El valor intrínseco queda por debajo del precio en los tres escenarios (60,98-109,91 SEK) porque descontamos al 8,87 % un negocio que el mercado descuenta al 5,1 %. A 12 meses, con nuestro BPA y la regla común, el rango es de 151,73 a 218,77 SEK.</w:t>
      </w:r>
    </w:p>
    <w:p>
      <w:pPr>
        <w:pStyle w:val="Heading1"/>
      </w:pPr>
      <w:r>
        <w:t xml:space="preserve">22. Suma de partes</w:t>
      </w:r>
    </w:p>
    <w:p>
      <w:pPr>
        <w:pStyle w:val="Confianza"/>
        <w:spacing w:after="100"/>
      </w:pPr>
      <w:r>
        <w:t xml:space="preserve">Confianza: Media</w:t>
      </w:r>
    </w:p>
    <w:p>
      <w:pPr>
        <w:spacing w:after="100"/>
      </w:pPr>
      <w:r>
        <w:t xml:space="preserve">No aplica: sin desglose de resultados por área en esta sesión.</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15" name="Gráfico 15" descr="Valor por acción según cada método (SEK) · precio actual 211,8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109,91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212,86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106,29 SEK (-49,8 % sobre 211,80).</w:t>
      </w:r>
    </w:p>
    <w:p>
      <w:pPr>
        <w:spacing w:after="100"/>
      </w:pPr>
      <w:r>
        <w:t xml:space="preserve">Pesos: DCF 50 %, comparables 25 % y escenarios 25 %. El DCF es muy sensible a la tasa: con la prima del mercado da 114,84 SEK. Ninguna versión se acerca al precio; la recomendación la decide la regla a 12 meses, no el valor intrínseco.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(33.2x) a mitad de camino hacia abajo, hacia la mediana de 5 años (29.7x)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218,54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237,70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r>
    </w:tbl>
    <w:p>
      <w:pPr>
        <w:spacing w:after="160" w:before="0"/>
      </w:pPr>
    </w:p>
    <w:p>
      <w:pPr>
        <w:spacing w:after="100"/>
      </w:pPr>
      <w:r>
        <w:rPr>
          <w:b/>
          <w:bCs/>
        </w:rPr>
        <w:t xml:space="preserve">Objetivo a 12 meses (ponderado):</w:t>
      </w:r>
      <w:r>
        <w:t xml:space="preserve"> 200,38 SEK · rentabilidad -4,0 % (base +4,6 %) · señal Mantener.</w:t>
      </w:r>
    </w:p>
    <w:p>
      <w:pPr>
        <w:spacing w:after="100"/>
      </w:pPr>
      <w:r>
        <w:t xml:space="preserve">Para comparar, con la regla v2 (historia al cierre, mismo precio): 25,5x / 28,9x / 28,9x, -7,4 % Mantener. Decide la regla vigente (v3 con tope ×1,1; METODO-VIGENTE.md).</w:t>
      </w:r>
    </w:p>
    <w:p>
      <w:pPr>
        <w:keepNext/>
        <w:spacing w:after="100"/>
      </w:pPr>
      <w:r>
        <w:rPr>
          <w:b/>
          <w:bCs/>
        </w:rPr>
        <w:t xml:space="preserve">Frente al consenso (solo contraste).</w:t>
      </w:r>
    </w:p>
    <w:p>
      <w:pPr>
        <w:spacing w:after="100"/>
      </w:pPr>
      <w:r>
        <w:t xml:space="preserve">Nuestro BPA de 2028e (6,96 SEK) queda un 4,5 % por debajo del consenso de junio (7,29 SEK [19]), por un orgánico algo menor tras 2027; el consenso habrá subido tras el 2T26 (Handelsbanken +2 % [21]). El objetivo medio (204 SEK [20]) queda un 1,4 % por encima de nuestro base (201,14 SEK).</w:t>
      </w:r>
    </w:p>
    <w:p>
      <w:pPr>
        <w:keepNext/>
        <w:spacing w:after="100"/>
      </w:pPr>
      <w:r>
        <w:rPr>
          <w:b/>
          <w:bCs/>
        </w:rPr>
        <w:t xml:space="preserve">Del valor intrínseco al objetivo a 12 meses.</w:t>
      </w:r>
    </w:p>
    <w:p>
      <w:pPr>
        <w:spacing w:after="100"/>
      </w:pPr>
      <w:r>
        <w:t xml:space="preserve">El objetivo a 12 meses (193,20 SEK) queda muy por encima del valor intrínseco (106,29 SEK): suponemos que el mercado sigue pagando su mediana histórica de 28,85 veces, no que el PER converge a nuestro DCF. Frente al precio, el base pierde un 3,6 % porque hoy cotiza a 33,2 veces nuestro BPA de 2027e, por encima de esa mediana: el ciclo de semiconductores ya está en el precio.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Fecha ex del segundo plazo del dividendo (2,50 SEK)</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del 1,2 % [9, 30].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frente al récord del 2T26; una caída del vacío castigaría un precio que ya descuenta el ciclo [17].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dividendo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nuevo extraordinario con deuda neta de 0,4 veces el EBITDA [7].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Inversión en fábricas de chips para 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Sostiene los pedidos de vacío [12].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Giro del ciclo de semiconductores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−27 % a 12 meses (bajista: 151,73 SEK)</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 y base instalada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vacío a la baja en el 3T26 o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−13 % si el PER vuelve a la mediana con el BPA de hoy</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Calidad reconocida por el mercado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sueco por encima del 3,5 %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Corona fuerte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de BPA por cada 5 % de apreciación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en las mismas divisas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EUR/SEK y USD/SEK</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Controles de exportación a China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cuantificar (falta el peso de China en vacío)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local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restricciones de EE. UU.</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Cuellos de botella de producción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Retrasa ventas, no las pierde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Ampliaciones de capacidad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Plazos de entrega</w:t>
            </w:r>
          </w:p>
        </w:tc>
      </w:tr>
    </w:tbl>
    <w:p>
      <w:pPr>
        <w:spacing w:after="160" w:before="0"/>
      </w:pPr>
    </w:p>
    <w:p>
      <w:pPr>
        <w:pStyle w:val="Heading2"/>
      </w:pPr>
      <w:r>
        <w:t xml:space="preserve">Pre-mortem</w:t>
      </w:r>
    </w:p>
    <w:p>
      <w:pPr>
        <w:spacing w:after="100"/>
      </w:pPr>
      <w:r>
        <w:t xml:space="preserve">Octubre de 2027: la acción ha perdido un 30 %. Los pedidos de vacío del 2T26 resultaron adelantos de las fábricas de memorias; en 2027 caen y la industria general sigue plana. El margen baja dos puntos y el mercado, que pagaba 33 veces el beneficio, vuelve a 25.</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Vacío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pedidos de vacío del 2T26 son pedidos grandes puntuales y qué plazo de entrega tienen?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2027 crece un 8,5 % o se queda corto.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capex extra hace falta para servir la demanda de semiconductores?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la prueba de sostenibilidad.</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orgánico es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base supone 2 puntos.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¿Habrá otro extraordinario con la deuda neta en 0,4 veces?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Sube la rentabilidad del accionista.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Mejorando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 sueca con comentarios de lectores (Dagens industri, Placera, Affärsvärlden)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los pedidos récord del 2T26 la ven como «una ganga» frente a su historia (25 veces el resultado operativo esperado) y suben objetivos (Handelsbanken a 240 SEK) [E3, E4].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GuruFocus (comunidad y valoración)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«Modestamente sobrevalorada»: GF Value de ≈154 SEK frente a ≈176 SEK, con puntuación de calidad alta [E1].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autores)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2024-10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Tesis recurrente de «perpetuamente sobrevalorada»: gran negocio a precio que nunca deja margen de seguridad; no se halló nada de los últimos tres meses [E5].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Simply Wall St (narrativas)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Narrativas de crecimiento por servicio y vacío; valor de la comunidad cercano al objetivo de los analistas (≈199 SEK) [E2].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semiconductores (vacío)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Tienen razón en el impulso: pedidos del 2T26 +26 % orgánico, récord, con el vacío como motor [2, 3]. Pero el vacío para semiconductores es la parte más cíclica del grupo: en 2023-2024 los pedidos de vacío cayeron con el ciclo de memorias (hueco: sin cifras por área). Nuestro base ya incluye un 2027 de +8,5 %.</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siempre cara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respaldan: el PER de cierre no ha bajado de 25,5 veces desde 2019 (Inderes [18]) y hoy cotiza a 33,2 veces nuestro BPA de 2027e. El DCF a nuestro WACC da menos de la mitad del precio. La experiencia dice que «cara» no basta para vender Atlas Copco: por eso manda la regla a 12 meses.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 (servicio, ROCE 24 %)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Correcto: ROCE del 24 % en 2025 y del 28 % en 2024 [1], margen operativo ajustado del 21 % en el 2T26 [2], deuda neta de solo 0,4 veces el EBITDA [7] y dividendo extraordinario de 2,00 SEK [9].</w:t>
            </w:r>
          </w:p>
        </w:tc>
      </w:tr>
    </w:tbl>
    <w:p>
      <w:pPr>
        <w:spacing w:after="160" w:before="0"/>
      </w:pPr>
    </w:p>
    <w:p>
      <w:pPr>
        <w:spacing w:after="100"/>
      </w:pPr>
      <w:r>
        <w:t xml:space="preserve">El tono es positivo y mejorando desde los pedidos récord del 2T26: la prensa sueca la llamó «una ganga» en julio y los bancos suben objetivos [14, 21, 34]. La crítica de siempre (perpetuamente cara [33], GF Value por debajo del precio [31]) sigue ahí. Ninguna cifra sale de aquí; no anticipa riesgos que el informe no recoja.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18 controles correctos y 1 explicados. Fuentes: 34 (8 primarias); citas distintas en el texto: 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24,5 % frente a un ROIC de 19,7 %: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7,1 %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34 fuentes (8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Explicación: Desde la nube solo se llega a los extractos de búsqueda: ocho documentos de la empresa (informes trimestrales, anual y comentarios del CEO); el resto son proveedores de datos y prensa.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10, 32.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ESG y controversias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(Compressor, Vacuum, Industrial y Power Technique) con ventas y margen de 5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del 2T26: el extracto solo da el grupo; 2) presentación del 2T26: comentarios cualitativos; 3) informe anual 2025 (ESEF): sin cifras por área en el extracto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financiero, impuestos y minoritarios anuales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solo ingresos, EBIT, beneficio y BPA en el extracto; 2) informes trimestrales de 2025: solo trimestres (−135 y −86 M de resultado financiero, tipos del 22 %); 3) informe anual 2025: no abre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balance 2021-2024 y desglose de 2025 (fondo de comercio, circulante, arrendamientos), rating y 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 Analysis: solo totales de 2025; 2) Stockopedia: caja de 15.923 M, discrepante; 3) informe anual: no abre desde la nube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 años y opinión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no abre; 2) búsqueda: sin resultado; 3) presupuesto de búsquedas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de los mercados de compresores, vacío y herramientas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(cuotas declaradas): no abre; 2) estudios de mercado de compresores y vacío: no buscados por el presupuesto de búsquedas compartido; 3) S&amp;P Global: solo pedidos de vacío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cuota y margen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múltiplos de Ingersoll Rand: solo PER; 2) Ebara y Pfeiffer: no buscados; 3) presupuesto de búsquedas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y controversias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sostenibilidad: no abre; 2) búsqueda: no hecha por presupuesto; 3) prensa: sin controversias halladas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participación de Investor AB, votos en junta, remuneración del CEO y operaciones de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y de remuneraciones 2025: no abren desde la nube; 2) búsquedas no hechas por el presupuesto de búsquedas compartido (priorizado precio, cuentas y consenso); 3) sin datos de Finansinspektionen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 directivo completo e historial de cumplimiento de objetivos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del grupo: no abre; 2) informes trimestrales: solo el CEO; 3) presupuesto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rentabilidades, volatilidad, caída máxima y 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(Yahoo): sin red en la nube; 2) búsqueda: cifras sin fecha; 3) Finansinspektionen: no abre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del 13-oct-2026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búsqueda del cierre: solo 209,70 SEK del 9-oct; 3) ad-hoc-news del 14-oct: 18,73 EUR, convertido con el EUR/SEK implícito de la nota de ASSA ABLOY del mismo día (11,31) = 211,80 SEK</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de consenso actualizado tras el 2T26 y objetivo medio fechado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PER 2026-27 (34,5x y 28,8x) sin fecha; 2) Inderes y Investing: sin tabla en el extracto; 3) Simply Wall St (24-jun) y Eulerpool (sin fecha): usados con confianza baja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comparables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Compra de Pfeiffer por Busch: no buscada; 2) compras propias: sin múltiplo publicado; 3) presupuesto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Placera forum y Flashback de los últimos tres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en Reddit: solo páginas de GuruFocus; 2) Placera/Seeking Alpha: notas de analistas, sin hilos recientes; 3) WebFetch de las API de Stocktwits y Seeking Alpha: sin red en la nube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las dos últimas conferencias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Quartr y GuruFocus: solo resumen; 2) roic.ai: no abre; 3) presupuesto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bono sueco a la fecha de corte y beta calculada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Riksbank con descargar.mjs: sin red; 2) búsqueda: última lectura del 21-jul (2,98 %); 3) bolsa.mjs para la beta: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Interim report on Q4 and full year summary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Atlas Copco /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https://www.atlascopcogroup.com/content/dam/brands/atlas-copco-group/cision/20260127-en-Q4_2025.pdf.coredownload.pdf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Second-quarter report 2026: Record order intake, solid revenue and profit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Atlas Copco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https://www.atlascopcogroup.com/en/media/press-releases/2026/2026-q2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results presentation Q2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https://www.atlascopcogroup.com/content/dam/atlas-copco/group/documents/investors/financial-publications/english/20260716-quarterly-results-presentations-q2-2026-en-fl.pdf.coredownload.inline.pdf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First-quarter report 2026: Organic order and revenue growth driven by vacuum equipment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https://www.atlascopcogroup.com/en/media/press-releases/2026/2026-q1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AB (STO:ATCO.A) Income statement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https://stockanalysis.com/quote/sto/ATCO.A/financials/income-statement/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AB (STO:ATCO.A) Cash flow statement 2021-2025 y LTM jun-26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https://stockanalysis.com/quote/sto/ATCO.A/financials/cash-flow-statement/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AB (STO:ATCO.A) Balance sheet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https://stockanalysis.com/quote/sto/ATCO.A/financials/balance-sheet/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ESEF (tabla de cifras clave: EBITDA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https://www.atlascopcogroup.com/content/dam/atlas-copco/group/documents/investors/financial-publications/english/atla-2025-12-31-1-en-preview.xhtml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 and CEO comments on Q4 report and full-year summary (dividendo 3,00 + 2,00 SEK)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https://www.atlascopcogroup.com/en/media/press-releases/2026/20260127-ceo-comment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AB (OSTO:ATCO B) Shares outstanding 4.879 M (jun-2026)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https://www.gurufocus.com/term/bs-share/OSTO:ATCO 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Q1 2025 / Q2 2025 (resultado financiero y tipo impositivo trimestral)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https://www.atlascopcogroup.com/content/dam/atlas-copco/group/documents/investors/financial-publications/english/20250429-q1-2025-handout-en-rs.pdf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Semiconductor orders to fuel Atlas Copco's revenue rebound in 2026 (Visible Alpha: pedidos de Vacuum Technique +44 % en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https://www.spglobal.com/market-intelligence/en/news-insights/research/2026/08/semiconductor-orders-to-fuel-atlas-copco-s-revenue-rebound-in-2026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Group (ATCO) Q2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https://quartr.com/events/atlas-copco-group-atco-q2-2026_3s04yWjI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Dagens industri: Atlas Copco är ett kap (pedidos de vacío +60 % en 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Aktiespararna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https://www.aktiespararna.se/nyheter/dagens-industri-atlas-copco-ar-ett-kap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CEO comments on Q2 2026 (crecimiento de dos dígitos de pedidos en todas las áreas)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https://mb.cision.com/Main/90/4375221/4194483.pdf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A stock trades at EUR 18.73, market value SEK 1.0 trillion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https://www.ad-hoc-news.de/boerse/news/corporate-news/atlas-copco-a-stock-trades-at-eur-18-73-market-value-sek-1-0-trillion/70280301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stock faces caution ahead of Q3 report (cierre de 209,70 SEK el 9-oct; rango de 52 semanas 149,45-214,10)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https://www.ad-hoc-news.de/boerse/news/corporate-news/atlas-copco-stock-faces-caution-ahead-of-q3-report/70255634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financials and estimates (PER de cierre 2019-2025)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https://www.inderes.se/en/companies/Atlas-Copco/financials-and-estimates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AB future growth (beneficio esperado 2026-2028: 28.300, 32.500 y 35.500 M SEK)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https://simplywall.st/stocks/de/capital-goods/fra-aco0/atlas-copco-shares/future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(ATCO A.ST): objetivo de consenso 204 SEK, 27 analistas, 18 comprar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Eulerpool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https://eulerpool.com/stock/SE0017486889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Handelsbanken upprepar köp för Atlas Copco och höjer riktkursen till 240 kronor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https://www.placera.se/telegram/atlas-copco-handelsbanken-upprepar-kop-for-atlas-copco-och-hojer-riktkursen-till-240-kronor-20261007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Kept at Underperform as RBC Notes Muted Demand; target 145 SEK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 MT Newswires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https://www.placera.se/telegram/atlas-copco-kept-at-underperform-as-rbc-notes-rather-muted-demand-outlook-commentary-price-target-up-20260430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(Affärsvärlden): riktkurser Citigroup 242, Goldman Sachs 187, Bernstein 240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Affärsvärlden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https://www.affarsvarlden.se/aktie/atlas-copco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AB (OSTO:ATCO B) Beta 1,37 (7-sep-2026)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https://www.gurufocus.com/term/beta/OSTO:ATCO 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Ingersoll Rand forward P/E (24,1 a 31-jul-2026)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https://finance.yahoo.com/quote/IR/key-statistics/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Epiroc A, P/E (FWD) 24,8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Snowball Analytics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https://snowball-analytics.com/public/asset/EPI-A.ST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de ASSA ABLOY, Kone, Halma y Spirax del 14-oct-2026 de este repositorio (PER de los próximos 12 meses de Schindler, Legrand, Indutrade, Halma, IMI y ASSA ABLOY, con sus fuentes)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Este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informes/assa-abloy-2026-10-14/datos.json; informes/kone-2026-10-14/datos.json; informes/halma-2026-10-14/datos.json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Implied ERP by month (ERPbymonth.xlsx), oct-2026: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Sweden 10Y bond yield hits 32-month high (2,98 %)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https://tradingeconomics.com/sweden/government-bond-yield/news/568580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Aktie: kurs 206,80 SEK (8-sep), fecha ex de dividendo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NPinvestor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https://npinvestor.dk/aktier/atlas-copco/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AB (OSTO:ATCO B): GF Value 153,59 SEK frente a 175,95 SEK, «modestamente sobrevalorada»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https://www.gurufocus.com/term/dividends/OSTO:ATCO 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Narrativas de la comunidad sobre Atlas Copco (servicio e innovación)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https://simplywall.st/narratives/strategic-growth-in-services-and-innovation-fuels-future-revenue-and-margin-expansion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Is Perpetually Overvalued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https://seekingalpha.com/article/4738212-atlas-copco-is-perpetually-overvalued-q3-24-wrap-up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Barclays lifts Atlas Copco to overweight as «forgotten» stock returns to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https://www.stockopedia.com/share-prices/atlas-copco-ab-STO:ATCO A/news/barclays-lifts-atlas-copco-to-apos-overweight-apos-as-apos-forgotten-apos-stock-returns-to-growth-019e69fb-6014-7e87-b93c-a1065e5772f6/</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70,2 %</w:t>
      </w:r>
      <w:r>
        <w:t xml:space="preserve"> · Secciones con menos del 60 % de campos cubiertos: </w:t>
      </w:r>
      <w:r>
        <w:rPr>
          <w:b/>
          <w:bCs/>
        </w:rPr>
        <w:t xml:space="preserve">directivos, gobierno, bolsa, esg, calidad, balance</w:t>
      </w:r>
      <w:r>
        <w:t xml:space="preserve"> · Generado el 14 oct 2026.</w:t>
      </w:r>
    </w:p>
    <w:p>
      <w:pPr>
        <w:pStyle w:val="Nota"/>
        <w:spacing w:after="100"/>
      </w:pPr>
      <w:r>
        <w:t xml:space="preserve">Análisis hecho desde la nube con la red limitada a la búsqueda web: la web de Atlas Copco, Cision, Yahoo y los proveedores de datos no se pudieron abrir, así que las cifras salen de los extractos de búsqueda de los informes trimestrales (4T25, 1T26 y 2T26), del informe anual 2025 (cifras clave) y de proveedores (Stock Analysis, Inderes, Simply Wall St, Eulerpool), con la URL como fuente. El precio (211,80 SEK) es una estimación: la cotización en euros del 14-oct (18,73 EUR [16]) al EUR/SEK implícito de ese día; el último cierre comprobado es 209,70 SEK del 9-oct [17]. Faltan los segmentos, el balance anterior a 2025, el resultado financiero e impuestos anuales, el gobierno y el tamaño de los mercados (huecos). Confianza media en cuentas y BPA; baja en consenso, comparables (solo PER), gobierno y sentimiento.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Atlas Copco AB (publ) (ATCO A)</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(SEK) · precio actual 211,80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(149,45 – 214,10)</c:v>
                </c:pt>
                <c:pt idx="1">
                  <c:v>Precio objetivo de los analistas (145,00 – 242,00)</c:v>
                </c:pt>
                <c:pt idx="2">
                  <c:v>Comparables: PER NTM (151,78 – 166,05)</c:v>
                </c:pt>
                <c:pt idx="3">
                  <c:v>DCF (WACC y g ± 0,5) (79,93 – 103,24)</c:v>
                </c:pt>
                <c:pt idx="4">
                  <c:v>Escenarios (bajista – alcista) (60,98 – 109,91)</c:v>
                </c:pt>
                <c:pt idx="5">
                  <c:v>DCF con la prima implícita del mercado (4,2 %)</c:v>
                </c:pt>
                <c:pt idx="6">
                  <c:v>Precio actual (211,80)</c:v>
                </c:pt>
              </c:strCache>
            </c:strRef>
          </c:cat>
          <c:val>
            <c:numRef>
              <c:f>Hoja1!$B$2:$B$8</c:f>
              <c:numCache>
                <c:formatCode>#,##0</c:formatCode>
                <c:ptCount val="7"/>
                <c:pt idx="0">
                  <c:v>149.45</c:v>
                </c:pt>
                <c:pt idx="1">
                  <c:v>145</c:v>
                </c:pt>
                <c:pt idx="2">
                  <c:v>151.78</c:v>
                </c:pt>
                <c:pt idx="3">
                  <c:v>79.93</c:v>
                </c:pt>
                <c:pt idx="4">
                  <c:v>60.98</c:v>
                </c:pt>
                <c:pt idx="5">
                  <c:v>104.51</c:v>
                </c:pt>
                <c:pt idx="6">
                  <c:v>210.74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(149,45 – 214,10)</c:v>
                </c:pt>
                <c:pt idx="1">
                  <c:v>Precio objetivo de los analistas (145,00 – 242,00)</c:v>
                </c:pt>
                <c:pt idx="2">
                  <c:v>Comparables: PER NTM (151,78 – 166,05)</c:v>
                </c:pt>
                <c:pt idx="3">
                  <c:v>DCF (WACC y g ± 0,5) (79,93 – 103,24)</c:v>
                </c:pt>
                <c:pt idx="4">
                  <c:v>Escenarios (bajista – alcista) (60,98 – 109,91)</c:v>
                </c:pt>
                <c:pt idx="5">
                  <c:v>DCF con la prima implícita del mercado (4,2 %)</c:v>
                </c:pt>
                <c:pt idx="6">
                  <c:v>Precio actual (211,80)</c:v>
                </c:pt>
              </c:strCache>
            </c:strRef>
          </c:cat>
          <c:val>
            <c:numRef>
              <c:f>Hoja1!$C$2:$C$8</c:f>
              <c:numCache>
                <c:formatCode>#,##0</c:formatCode>
                <c:ptCount val="7"/>
                <c:pt idx="0">
                  <c:v>64.65</c:v>
                </c:pt>
                <c:pt idx="1">
                  <c:v>97</c:v>
                </c:pt>
                <c:pt idx="2">
                  <c:v>14.27000000000001</c:v>
                </c:pt>
                <c:pt idx="3">
                  <c:v>23.309999999999988</c:v>
                </c:pt>
                <c:pt idx="4">
                  <c:v>48.93</c:v>
                </c:pt>
                <c:pt idx="5">
                  <c:v>22.769999999999996</c:v>
                </c:pt>
                <c:pt idx="6">
                  <c:v>2.1200000000000045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2</c:v>
                </c:pt>
                <c:pt idx="3">
                  <c:v>1</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Atlas Copco</c:v>
                </c:pt>
                <c:pt idx="1">
                  <c:v>Ingersoll Rand</c:v>
                </c:pt>
                <c:pt idx="2">
                  <c:v>Kaeser Kompressoren</c:v>
                </c:pt>
                <c:pt idx="3">
                  <c:v>Ebara</c:v>
                </c:pt>
                <c:pt idx="4">
                  <c:v>Pfeiffer Vacuum (Busch)</c:v>
                </c:pt>
                <c:pt idx="5">
                  <c:v>Bosch Rexroth / Desoutter (herramientas)</c:v>
                </c:pt>
              </c:strCache>
            </c:strRef>
          </c:cat>
          <c:val>
            <c:numRef>
              <c:f>Hoja1!$B$2:$B$7</c:f>
              <c:numCache>
                <c:formatCode>0.0"%"</c:formatCode>
                <c:ptCount val="6"/>
                <c:pt idx="0">
                  <c:v>20.3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4</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(SEK,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110912</c:v>
                </c:pt>
                <c:pt idx="1">
                  <c:v>141325</c:v>
                </c:pt>
                <c:pt idx="2">
                  <c:v>172664</c:v>
                </c:pt>
                <c:pt idx="3">
                  <c:v>176771</c:v>
                </c:pt>
                <c:pt idx="4">
                  <c:v>168343</c:v>
                </c:pt>
                <c:pt idx="5">
                  <c:v>178444</c:v>
                </c:pt>
                <c:pt idx="6">
                  <c:v>193611</c:v>
                </c:pt>
                <c:pt idx="7">
                  <c:v>206196</c:v>
                </c:pt>
                <c:pt idx="8">
                  <c:v>217537</c:v>
                </c:pt>
                <c:pt idx="9">
                  <c:v>230589</c:v>
                </c:pt>
                <c:pt idx="10">
                  <c:v>242118</c:v>
                </c:pt>
                <c:pt idx="11">
                  <c:v>253014</c:v>
                </c:pt>
                <c:pt idx="12">
                  <c:v>261869</c:v>
                </c:pt>
                <c:pt idx="13">
                  <c:v>269725</c:v>
                </c:pt>
                <c:pt idx="14">
                  <c:v>275120</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29025</c:v>
                </c:pt>
                <c:pt idx="1">
                  <c:v>36549</c:v>
                </c:pt>
                <c:pt idx="2">
                  <c:v>44852</c:v>
                </c:pt>
                <c:pt idx="3">
                  <c:v>46951</c:v>
                </c:pt>
                <c:pt idx="4">
                  <c:v>43643</c:v>
                </c:pt>
                <c:pt idx="5">
                  <c:v>46395</c:v>
                </c:pt>
                <c:pt idx="6">
                  <c:v>51307</c:v>
                </c:pt>
                <c:pt idx="7">
                  <c:v>55673</c:v>
                </c:pt>
                <c:pt idx="8">
                  <c:v>58735</c:v>
                </c:pt>
                <c:pt idx="9">
                  <c:v>62259</c:v>
                </c:pt>
                <c:pt idx="10">
                  <c:v>65372</c:v>
                </c:pt>
                <c:pt idx="11">
                  <c:v>68314</c:v>
                </c:pt>
                <c:pt idx="12">
                  <c:v>70705</c:v>
                </c:pt>
                <c:pt idx="13">
                  <c:v>72826</c:v>
                </c:pt>
                <c:pt idx="14">
                  <c:v>74282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26.2</c:v>
                </c:pt>
                <c:pt idx="1">
                  <c:v>25.9</c:v>
                </c:pt>
                <c:pt idx="2">
                  <c:v>26</c:v>
                </c:pt>
                <c:pt idx="3">
                  <c:v>26.6</c:v>
                </c:pt>
                <c:pt idx="4">
                  <c:v>25.9</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21.2</c:v>
                </c:pt>
                <c:pt idx="1">
                  <c:v>21.4</c:v>
                </c:pt>
                <c:pt idx="2">
                  <c:v>21.5</c:v>
                </c:pt>
                <c:pt idx="3">
                  <c:v>21.6</c:v>
                </c:pt>
                <c:pt idx="4">
                  <c:v>20.3</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16.3</c:v>
                </c:pt>
                <c:pt idx="1">
                  <c:v>16.6</c:v>
                </c:pt>
                <c:pt idx="2">
                  <c:v>16.2</c:v>
                </c:pt>
                <c:pt idx="3">
                  <c:v>16.8</c:v>
                </c:pt>
                <c:pt idx="4">
                  <c:v>15.7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Hoja1!$B$2:$B$7</c:f>
              <c:numCache>
                <c:formatCode>0.0"%"</c:formatCode>
                <c:ptCount val="6"/>
                <c:pt idx="4">
                  <c:v>-5.1</c:v>
                </c:pt>
                <c:pt idx="5">
                  <c:v>9.1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Hoja1!$C$2:$C$7</c:f>
              <c:numCache>
                <c:formatCode>0.0"%"</c:formatCode>
                <c:ptCount val="6"/>
                <c:pt idx="4">
                  <c:v>3</c:v>
                </c:pt>
                <c:pt idx="5">
                  <c:v>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(SEK,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19793</c:v>
                </c:pt>
                <c:pt idx="1">
                  <c:v>16346</c:v>
                </c:pt>
                <c:pt idx="2">
                  <c:v>22633</c:v>
                </c:pt>
                <c:pt idx="3">
                  <c:v>30863</c:v>
                </c:pt>
                <c:pt idx="4">
                  <c:v>26379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18130</c:v>
                </c:pt>
                <c:pt idx="1">
                  <c:v>23477</c:v>
                </c:pt>
                <c:pt idx="2">
                  <c:v>28040</c:v>
                </c:pt>
                <c:pt idx="3">
                  <c:v>29782</c:v>
                </c:pt>
                <c:pt idx="4">
                  <c:v>26420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4">
                  <c:v>19.7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8.9</c:v>
                </c:pt>
                <c:pt idx="1">
                  <c:v>8.9</c:v>
                </c:pt>
                <c:pt idx="2">
                  <c:v>8.9</c:v>
                </c:pt>
                <c:pt idx="3">
                  <c:v>8.9</c:v>
                </c:pt>
                <c:pt idx="4">
                  <c:v>8.9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4">
                  <c:v>23.9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2025</c:v>
                </c:pt>
              </c:strCache>
            </c:strRef>
          </c:cat>
          <c:val>
            <c:numRef>
              <c:f>Hoja1!$B$2</c:f>
              <c:numCache>
                <c:formatCode>0.0"x"</c:formatCode>
                <c:ptCount val="1"/>
                <c:pt idx="0">
                  <c:v>0.44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(SEK,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2334</c:v>
                </c:pt>
                <c:pt idx="1">
                  <c:v>10591</c:v>
                </c:pt>
                <c:pt idx="2">
                  <c:v>4314</c:v>
                </c:pt>
                <c:pt idx="3">
                  <c:v>7424</c:v>
                </c:pt>
                <c:pt idx="4">
                  <c:v>11560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8889</c:v>
                </c:pt>
                <c:pt idx="1">
                  <c:v>9250</c:v>
                </c:pt>
                <c:pt idx="2">
                  <c:v>11203</c:v>
                </c:pt>
                <c:pt idx="3">
                  <c:v>13647</c:v>
                </c:pt>
                <c:pt idx="4">
                  <c:v>14606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(SEK,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20046</c:v>
                </c:pt>
                <c:pt idx="1">
                  <c:v>22505</c:v>
                </c:pt>
                <c:pt idx="2">
                  <c:v>24772</c:v>
                </c:pt>
                <c:pt idx="3">
                  <c:v>26087</c:v>
                </c:pt>
                <c:pt idx="4">
                  <c:v>27602</c:v>
                </c:pt>
                <c:pt idx="5">
                  <c:v>31834</c:v>
                </c:pt>
                <c:pt idx="6">
                  <c:v>33211</c:v>
                </c:pt>
                <c:pt idx="7">
                  <c:v>37720</c:v>
                </c:pt>
                <c:pt idx="8">
                  <c:v>38792</c:v>
                </c:pt>
                <c:pt idx="9">
                  <c:v>39507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(SEK,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189623</c:v>
                </c:pt>
                <c:pt idx="1">
                  <c:v>267966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(SEK) · precio actual 211,80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60.98</c:v>
                </c:pt>
                <c:pt idx="1">
                  <c:v>89.93</c:v>
                </c:pt>
                <c:pt idx="2">
                  <c:v>109.91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(SEK) · precio actual 211,80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(149,45 – 214,10)</c:v>
                </c:pt>
                <c:pt idx="1">
                  <c:v>Precio objetivo de los analistas (145,00 – 242,00)</c:v>
                </c:pt>
                <c:pt idx="2">
                  <c:v>Comparables: PER NTM (151,78 – 166,05)</c:v>
                </c:pt>
                <c:pt idx="3">
                  <c:v>DCF (WACC y g ± 0,5) (79,93 – 103,24)</c:v>
                </c:pt>
                <c:pt idx="4">
                  <c:v>Escenarios (bajista – alcista) (60,98 – 109,91)</c:v>
                </c:pt>
                <c:pt idx="5">
                  <c:v>DCF con la prima implícita del mercado (4,2 %)</c:v>
                </c:pt>
                <c:pt idx="6">
                  <c:v>Precio actual (211,80)</c:v>
                </c:pt>
              </c:strCache>
            </c:strRef>
          </c:cat>
          <c:val>
            <c:numRef>
              <c:f>Hoja1!$B$2:$B$8</c:f>
              <c:numCache>
                <c:formatCode>#,##0</c:formatCode>
                <c:ptCount val="7"/>
                <c:pt idx="0">
                  <c:v>149.45</c:v>
                </c:pt>
                <c:pt idx="1">
                  <c:v>145</c:v>
                </c:pt>
                <c:pt idx="2">
                  <c:v>151.78</c:v>
                </c:pt>
                <c:pt idx="3">
                  <c:v>79.93</c:v>
                </c:pt>
                <c:pt idx="4">
                  <c:v>60.98</c:v>
                </c:pt>
                <c:pt idx="5">
                  <c:v>104.51</c:v>
                </c:pt>
                <c:pt idx="6">
                  <c:v>210.74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(149,45 – 214,10)</c:v>
                </c:pt>
                <c:pt idx="1">
                  <c:v>Precio objetivo de los analistas (145,00 – 242,00)</c:v>
                </c:pt>
                <c:pt idx="2">
                  <c:v>Comparables: PER NTM (151,78 – 166,05)</c:v>
                </c:pt>
                <c:pt idx="3">
                  <c:v>DCF (WACC y g ± 0,5) (79,93 – 103,24)</c:v>
                </c:pt>
                <c:pt idx="4">
                  <c:v>Escenarios (bajista – alcista) (60,98 – 109,91)</c:v>
                </c:pt>
                <c:pt idx="5">
                  <c:v>DCF con la prima implícita del mercado (4,2 %)</c:v>
                </c:pt>
                <c:pt idx="6">
                  <c:v>Precio actual (211,80)</c:v>
                </c:pt>
              </c:strCache>
            </c:strRef>
          </c:cat>
          <c:val>
            <c:numRef>
              <c:f>Hoja1!$C$2:$C$8</c:f>
              <c:numCache>
                <c:formatCode>#,##0</c:formatCode>
                <c:ptCount val="7"/>
                <c:pt idx="0">
                  <c:v>64.65</c:v>
                </c:pt>
                <c:pt idx="1">
                  <c:v>97</c:v>
                </c:pt>
                <c:pt idx="2">
                  <c:v>14.27000000000001</c:v>
                </c:pt>
                <c:pt idx="3">
                  <c:v>23.309999999999988</c:v>
                </c:pt>
                <c:pt idx="4">
                  <c:v>48.93</c:v>
                </c:pt>
                <c:pt idx="5">
                  <c:v>22.769999999999996</c:v>
                </c:pt>
                <c:pt idx="6">
                  <c:v>2.1200000000000045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