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Burkhalter Holding AG</w:t>
      </w:r>
    </w:p>
    <w:p>
      <w:pPr>
        <w:spacing w:after="60"/>
        <w:rPr>
          <w:color w:val="52514E"/>
          <w:sz w:val="22"/>
          <w:szCs w:val="22"/>
        </w:rPr>
      </w:pPr>
      <w:r>
        <w:rPr>
          <w:color w:val="52514E"/>
          <w:sz w:val="22"/>
          <w:szCs w:val="22"/>
        </w:rPr>
        <w:t xml:space="preserve">BRKN · SIX Swiss Exchange · ISIN CH0212255803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124,60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107,99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-9,2 % (base -1,4 %)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111,78 CHF · mercado 136,60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1.328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Burkhalter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BRKN / CH0212255803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Construcción e ingeniería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Zúrich · 1959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www.burkhalter.ch</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124,60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116,60 – 192,40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1.328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1.326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 M CHF/día (≈ 20.900 acciones; 3 meses) [35]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abr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107,99 CHF</w:t>
      </w:r>
      <w:r>
        <w:t xml:space="preserve"> frente a 124,60 · Rentabilidad a 12 meses </w:t>
      </w:r>
      <w:r>
        <w:rPr>
          <w:b/>
          <w:bCs/>
        </w:rPr>
        <w:t xml:space="preserve">-9,2 % (base -1,4 %)</w:t>
      </w:r>
      <w:r>
        <w:t xml:space="preserve"> · Valor intrínseco 111,78 CHF · con la prima implícita del mercado: 136,60 (+9,6 %) · Alcista / bajista +13,5 % / -37,2 %</w:t>
      </w:r>
    </w:p>
    <w:p>
      <w:pPr>
        <w:spacing w:after="100"/>
      </w:pPr>
      <w:r>
        <w:rPr>
          <w:b/>
        </w:rPr>
        <w:t xml:space="preserve">La recomendación y por qué.</w:t>
      </w:r>
      <w:r>
        <w:t xml:space="preserve"> Mantener, con convicción baja. El valor objetivo es de 111,78 CHF, un 10,3 % por debajo del precio de 124,60 CHF, y con el dividendo la rentabilidad total esperada a 12 meses es del −6,1 %. La asimetría es desfavorable: el alcista gana un 13,5 % y el bajista pierde un 37,2 % (0,36 veces). Las reglas discrepan: con nuestro WACC del 6,4 % la regla da Vender; con la prima de riesgo que hoy pide el mercado da Mantener (valor de 136,60 CHF y rentabilidad del 13,8 %). Manda la relativa. La convicción es baja porque la diferencia está en la tasa de descuento, no en las cifras: nuestro EBITDA de 2026e coincide con el consenso. La subiría hacia Vender un orgánico negativo en el segundo semestre de 2026 (ventas del 2S26 por debajo de 620 M); hacia Comprar, una caída del precio por debajo de 111,33 CHF.</w:t>
      </w:r>
    </w:p>
    <w:p>
      <w:pPr>
        <w:spacing w:after="100"/>
      </w:pPr>
      <w:r>
        <w:rPr>
          <w:b/>
        </w:rPr>
        <w:t xml:space="preserve">El negocio.</w:t>
      </w:r>
      <w:r>
        <w:t xml:space="preserve"> Burkhalter es el mayor instalador eléctrico y de técnica de edificios de Suiza, con unos 1.208 M de ventas y cerca del 6 % de un mercado fragmentado (estimación) [1]. Es un negocio de mano de obra (personal = 43,5 % de los ingresos), licitado por precio y con un margen EBIT estable pero bajo (5,4-6,1 % en 2021-2025) [1]. El ROIC publicado del 55,8 % está inflado porque el fondo de comercio (435,2 M) se compensa contra el patrimonio; con él, ronda el 11 %, por encima del WACC pero sin un foso amplio. La calidad del negocio </w:t>
      </w:r>
      <w:r>
        <w:rPr>
          <w:b/>
        </w:rPr>
        <w:t xml:space="preserve">sí</w:t>
      </w:r>
      <w:r>
        <w:t xml:space="preserve"> sostiene el crecimiento que proyectamos (1,8 % anual), porque no pide ganar cuota ni capital; lo que no ha demostrado es poder de precios.</w:t>
      </w:r>
    </w:p>
    <w:p>
      <w:pPr>
        <w:spacing w:after="100"/>
      </w:pPr>
      <w:r>
        <w:rPr>
          <w:b/>
        </w:rPr>
        <w:t xml:space="preserve">Finanzas.</w:t>
      </w:r>
      <w:r>
        <w:t xml:space="preserve"> Caja neta (51,8 M a fin de 2025) y un flujo libre que convierte el 127 % del beneficio en 2020-2025, con ayuda del cobro de clientes [1]. La señal que preocupa está en el semestre: ventas planas (+0,1 %) con cinco compras, facturación de 559,0 a 517,8 M y obra pendiente de facturar de 27,8 a 69,5 M [6]. El orgánico es negativo.</w:t>
      </w:r>
    </w:p>
    <w:p>
      <w:pPr>
        <w:spacing w:after="100"/>
      </w:pPr>
      <w:r>
        <w:rPr>
          <w:b/>
        </w:rPr>
        <w:t xml:space="preserve">Equipo y gobierno.</w:t>
      </w:r>
      <w:r>
        <w:t xml:space="preserve"> Resta. Cumple seis de trece criterios: el comité de auditoría lo preside un antiguo CEO, no hay auditoría interna, la retribución variable recibió más del 22 % de votos en contra en las tres últimas juntas y un consejero vendió unos 7,5 M CHF, parte en el máximo de abril [21, 22, 31]. A favor: la guía cualitativa de BPA se ha cumplido cinco años seguidos y no hay accionista de control [30].</w:t>
      </w:r>
    </w:p>
    <w:p>
      <w:pPr>
        <w:spacing w:after="100"/>
      </w:pPr>
      <w:r>
        <w:rPr>
          <w:b/>
        </w:rPr>
        <w:t xml:space="preserve">Valoración.</w:t>
      </w:r>
      <w:r>
        <w:t xml:space="preserve"> El DCF da 119,25 CHF; los escenarios ponderados, 114,54, y los comparables, 87,79 (14,2 veces el EBITDA de los próximos 12 meses frente a una mediana de 8,0 veces, en parte por normas contables y tipos distintos). El DCF inverso dice que el precio supone un crecimiento del 3,3 % anual hasta 2032e, frente al 1,9 % de nuestro caso base, o un margen EBITDA del 7,7 %, por encima del máximo de la serie (6,9 %). Comprar hoy rinde un 6,2 % anual: lo que vale un bono en francos con un dividendo del 4,2 %. Los analistas (precio objetivo medio de 148,18 CHF, todos en mantener) incluyen compras que nosotros no proyectamos [38].</w:t>
      </w:r>
    </w:p>
    <w:p>
      <w:pPr>
        <w:spacing w:after="100"/>
      </w:pPr>
      <w:r>
        <w:rPr>
          <w:b/>
        </w:rPr>
        <w:t xml:space="preserve">Riesgos y catalizadores.</w:t>
      </w:r>
      <w:r>
        <w:t xml:space="preserve"> El riesgo mayor es el margen: en 2017-2020 el EBIT del negocio eléctrico se redujo a la mitad con ventas planas, y un bajista así deja el valor en 78,28 CHF [5]. El segundo, los tipos: con medio punto más de WACC y medio menos de crecimiento terminal, 102,84 CHF. Catalizadores: resultados de 2026 el 12-abr-2027 y junta el 11-may-2027 [54].</w:t>
      </w:r>
    </w:p>
    <w:p>
      <w:pPr>
        <w:spacing w:after="100"/>
      </w:pPr>
      <w:r>
        <w:rPr>
          <w:b/>
        </w:rPr>
        <w:t xml:space="preserve">Qué cambiaría la decisión.</w:t>
      </w:r>
      <w:r>
        <w:t xml:space="preserve"> Comprar por debajo de 111,33 CHF y vender por encima de 151,46. Pasaríamos a Vender si el orgánico de 2026 sale por debajo del −2 % o el margen EBITDA del 1S27 baja del 5,8 %.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107,99 CHF</w:t>
      </w:r>
      <w:r>
        <w:t xml:space="preserve"> (rentabilidad -9,2 % (base -1,4 %)) · Valor intrínseco: 111,78 CHF (-10,3 % sobre 124,60) · con la prima implícita del mercado: 136,60 (+9,6 %)</w:t>
      </w:r>
    </w:p>
    <w:p>
      <w:pPr>
        <w:spacing w:after="100"/>
      </w:pPr>
      <w:r>
        <w:t xml:space="preserve">Burkhalter es el mayor grupo suizo de instalaciones eléctricas y técnicas de edificios: 1.207,5 M CHF de ventas en 2025, 87 sociedades locales y un margen EBIT del 6,1 % [1, 6]. Desde la fusión con poenina en 2022 combina electricidad con climatización y fontanería, convierte el beneficio en caja y reparte el 90 % como dividendo [1, 9].</w:t>
      </w:r>
    </w:p>
    <w:p>
      <w:pPr>
        <w:spacing w:after="100"/>
      </w:pPr>
      <w:r>
        <w:t xml:space="preserve">El precio, 124,60 CHF, es 19,1 veces el beneficio de los próximos 12 meses y 15,7 veces el EBITDA de los últimos 12, con una prima del 17-22 % sobre su media de 2020-2025 y muy por encima de sus comparables europeos. El DCF inverso dice que el mercado descuenta un crecimiento del 3,3 % anual hasta 2032e, o un margen EBITDA del 7,7 % para siempre: más de lo que el negocio ha dado sin compras.</w:t>
      </w:r>
    </w:p>
    <w:p>
      <w:pPr>
        <w:spacing w:after="100"/>
      </w:pPr>
      <w:r>
        <w:t xml:space="preserve">El mercado acierta en que es un negocio estable, con caja y dividendo en francos, y en que los tipos suizos justifican múltiplos más altos que los de sus comparables. Se equivoca, a nuestro juicio, en el crecimiento: el orgánico del 1S26 fue negativo y el BPA sube por margen y compras [6]. Para invertir hay que creer que la electrificación de los edificios devuelve el orgánico al 3 % anual o aceptar una rentabilidad del 6 % en francos.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107,99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4,39 = 58,39 · 17,9x × 6,57 = 117,60 · 18,3x × 7,56 = 138,35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 -1,4 %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148,18 (nuestro base -20,6 %)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111,78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 -37,2 %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6,4 % y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98,42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98,42 y 125,76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125,76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111,33 CHF, pasaríamos a Comprar; por encima de 151,46 CHF, a Vender.</w:t>
      </w:r>
    </w:p>
    <w:p>
      <w:pPr>
        <w:pStyle w:val="ListParagraph"/>
        <w:numPr>
          <w:ilvl w:val="0"/>
          <w:numId w:val="2"/>
        </w:numPr>
        <w:spacing w:after="60"/>
      </w:pPr>
      <w:r>
        <w:t xml:space="preserve">Si el crecimiento orgánico de 2026 queda por debajo del −2 %, pasaríamos a Vender.</w:t>
      </w:r>
    </w:p>
    <w:p>
      <w:pPr>
        <w:pStyle w:val="ListParagraph"/>
        <w:numPr>
          <w:ilvl w:val="0"/>
          <w:numId w:val="2"/>
        </w:numPr>
        <w:spacing w:after="60"/>
      </w:pPr>
      <w:r>
        <w:t xml:space="preserve">Si el margen EBITDA del 1S27 baja del 5,8 % (el del 1S25), revisaríamos el caso base hacia el bajista.</w:t>
      </w:r>
    </w:p>
    <w:p>
      <w:pPr>
        <w:pStyle w:val="ListParagraph"/>
        <w:numPr>
          <w:ilvl w:val="0"/>
          <w:numId w:val="2"/>
        </w:numPr>
        <w:spacing w:after="60"/>
      </w:pPr>
      <w:r>
        <w:t xml:space="preserve">Si el orgánico vuelve a más del 3 % en el 1S27 con la facturación al alza, subiríamos el caso base y pasaríamos a Comprar por debajo de 130 CHF.</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las ventas del 3,3 % anual hasta 2032e con márgenes del 7,4 %, o un margen EBITDA del 7,7 % para siempre con un crecimiento del 1,9 %; en la práctica, que las compras pequeñas sigan sumando y que el margen siga subiendo.</w:t>
      </w:r>
    </w:p>
    <w:p>
      <w:pPr>
        <w:keepNext/>
        <w:spacing w:after="100"/>
      </w:pPr>
      <w:r>
        <w:rPr>
          <w:b/>
          <w:bCs/>
        </w:rPr>
        <w:t xml:space="preserve">Lo que creemos nosotros.</w:t>
      </w:r>
    </w:p>
    <w:p>
      <w:pPr>
        <w:spacing w:after="100"/>
      </w:pPr>
      <w:r>
        <w:t xml:space="preserve">Orgánico del 2,0-2,5 % en 2027-2028 que converge al 1 %, sin compras, y un margen EBITDA del 7,4 %, por debajo del consenso (7,6 % en 2028e). Nuestro EBITDA de 2028e es un 5,9 % menor que el del consenso.</w:t>
      </w:r>
    </w:p>
    <w:p>
      <w:pPr>
        <w:keepNext/>
        <w:spacing w:after="100"/>
      </w:pPr>
      <w:r>
        <w:rPr>
          <w:b/>
          <w:bCs/>
        </w:rPr>
        <w:t xml:space="preserve">Por qué podemos tener razón.</w:t>
      </w:r>
    </w:p>
    <w:p>
      <w:pPr>
        <w:spacing w:after="100"/>
      </w:pPr>
      <w:r>
        <w:t xml:space="preserve">Las ventas del 1S26 se estancaron pese a cinco compras y la facturación cayó un 7 % [6]. El mercado suizo de la construcción lleva siete años plano en términos nominales [13] y los contratos se licitan por precio [1]. Las compras que el consenso incluye no crean valor evidente si se pagan con acciones a 20 veces el beneficio.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12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Caja y dividendo</w:t>
      </w:r>
      <w:r>
        <w:t xml:space="preserve">: caja neta de 51,8 M a fin de 2025 y un dividendo de 5,20 CHF (4,2 %) [1].</w:t>
      </w:r>
    </w:p>
    <w:p>
      <w:pPr>
        <w:pStyle w:val="ListParagraph"/>
        <w:numPr>
          <w:ilvl w:val="0"/>
          <w:numId w:val="2"/>
        </w:numPr>
        <w:spacing w:after="60"/>
      </w:pPr>
      <w:r>
        <w:rPr>
          <w:b/>
        </w:rPr>
        <w:t xml:space="preserve">Guía cumplida</w:t>
      </w:r>
      <w:r>
        <w:t xml:space="preserve">: el BPA subió cada año de 2021 a 2025, de 3,99 a 5,78 CHF [1, 27].</w:t>
      </w:r>
    </w:p>
    <w:p>
      <w:pPr>
        <w:pStyle w:val="ListParagraph"/>
        <w:numPr>
          <w:ilvl w:val="0"/>
          <w:numId w:val="2"/>
        </w:numPr>
        <w:spacing w:after="60"/>
      </w:pPr>
      <w:r>
        <w:rPr>
          <w:b/>
        </w:rPr>
        <w:t xml:space="preserve">Poco capital</w:t>
      </w:r>
      <w:r>
        <w:t xml:space="preserve">: capex del 0,8 % de las ventas y una conversión en caja del 127 % del beneficio en 2020-2025.</w:t>
      </w:r>
    </w:p>
    <w:p>
      <w:pPr>
        <w:pStyle w:val="ListParagraph"/>
        <w:numPr>
          <w:ilvl w:val="0"/>
          <w:numId w:val="2"/>
        </w:numPr>
        <w:spacing w:after="60"/>
      </w:pPr>
      <w:r>
        <w:rPr>
          <w:b/>
        </w:rPr>
        <w:t xml:space="preserve">Electrificación</w:t>
      </w:r>
      <w:r>
        <w:t xml:space="preserve">: el Gebäudeprogramm pagó 516,4 M CHF en 2025, 186 M para instalaciones técnicas [16].</w:t>
      </w:r>
    </w:p>
    <w:p>
      <w:pPr>
        <w:pStyle w:val="ListParagraph"/>
        <w:numPr>
          <w:ilvl w:val="0"/>
          <w:numId w:val="2"/>
        </w:numPr>
        <w:spacing w:after="60"/>
      </w:pPr>
      <w:r>
        <w:rPr>
          <w:b/>
        </w:rPr>
        <w:t xml:space="preserve">Con la prima del mercado</w:t>
      </w:r>
      <w:r>
        <w:t xml:space="preserve"> el valor sería de 136,60 CHF (+9,6 %).</w:t>
      </w:r>
    </w:p>
    <w:p>
      <w:pPr>
        <w:pStyle w:val="Heading2"/>
      </w:pPr>
      <w:r>
        <w:t xml:space="preserve">En contra</w:t>
      </w:r>
    </w:p>
    <w:p>
      <w:pPr>
        <w:pStyle w:val="ListParagraph"/>
        <w:numPr>
          <w:ilvl w:val="0"/>
          <w:numId w:val="2"/>
        </w:numPr>
        <w:spacing w:after="60"/>
      </w:pPr>
      <w:r>
        <w:rPr>
          <w:b/>
        </w:rPr>
        <w:t xml:space="preserve">Orgánico negativo</w:t>
      </w:r>
      <w:r>
        <w:t xml:space="preserve">: ventas del 1S26 +0,1 % con cinco compras y facturación −7 % [6].</w:t>
      </w:r>
    </w:p>
    <w:p>
      <w:pPr>
        <w:pStyle w:val="ListParagraph"/>
        <w:numPr>
          <w:ilvl w:val="0"/>
          <w:numId w:val="2"/>
        </w:numPr>
        <w:spacing w:after="60"/>
      </w:pPr>
      <w:r>
        <w:rPr>
          <w:b/>
        </w:rPr>
        <w:t xml:space="preserve">Cara frente a sus comparables</w:t>
      </w:r>
      <w:r>
        <w:t xml:space="preserve">: 19,1 veces el beneficio frente a 16,1 veces de mediana.</w:t>
      </w:r>
    </w:p>
    <w:p>
      <w:pPr>
        <w:pStyle w:val="ListParagraph"/>
        <w:numPr>
          <w:ilvl w:val="0"/>
          <w:numId w:val="2"/>
        </w:numPr>
        <w:spacing w:after="60"/>
      </w:pPr>
      <w:r>
        <w:rPr>
          <w:b/>
        </w:rPr>
        <w:t xml:space="preserve">ROIC inflado</w:t>
      </w:r>
      <w:r>
        <w:t xml:space="preserve">: 55,8 % publicado, ≈ 11 % con el fondo de comercio compensado (435,2 M) [1].</w:t>
      </w:r>
    </w:p>
    <w:p>
      <w:pPr>
        <w:pStyle w:val="ListParagraph"/>
        <w:numPr>
          <w:ilvl w:val="0"/>
          <w:numId w:val="2"/>
        </w:numPr>
        <w:spacing w:after="60"/>
      </w:pPr>
      <w:r>
        <w:rPr>
          <w:b/>
        </w:rPr>
        <w:t xml:space="preserve">Asimetría desfavorable</w:t>
      </w:r>
      <w:r>
        <w:t xml:space="preserve">: el bajista pierde un 37,2 % y el alcista gana un 13,5 %.</w:t>
      </w:r>
    </w:p>
    <w:p>
      <w:pPr>
        <w:pStyle w:val="ListParagraph"/>
        <w:numPr>
          <w:ilvl w:val="0"/>
          <w:numId w:val="2"/>
        </w:numPr>
        <w:spacing w:after="60"/>
      </w:pPr>
      <w:r>
        <w:rPr>
          <w:b/>
        </w:rPr>
        <w:t xml:space="preserve">Gobierno flojo</w:t>
      </w:r>
      <w:r>
        <w:t xml:space="preserve">: 6 de 13 criterios, comité de auditoría no independiente y más del 22 % de votos en contra de la retribución variable [21, 22].</w:t>
      </w:r>
    </w:p>
    <w:p>
      <w:pPr>
        <w:pStyle w:val="ListParagraph"/>
        <w:numPr>
          <w:ilvl w:val="0"/>
          <w:numId w:val="2"/>
        </w:numPr>
        <w:spacing w:after="60"/>
      </w:pPr>
      <w:r>
        <w:rPr>
          <w:b/>
        </w:rPr>
        <w:t xml:space="preserve">Dividendo fiscalmente menos atractivo</w:t>
      </w:r>
      <w:r>
        <w:t xml:space="preserve"> cuando se agoten las reservas de capital, en unos tres años [9].</w:t>
      </w:r>
    </w:p>
    <w:p>
      <w:pPr>
        <w:pStyle w:val="Heading2"/>
      </w:pPr>
      <w:r>
        <w:t xml:space="preserve">Qué tiene que pasar para que la tesis funcione</w:t>
      </w:r>
    </w:p>
    <w:p>
      <w:pPr>
        <w:spacing w:after="100"/>
      </w:pPr>
      <w:r>
        <w:t xml:space="preserve">La tesis depende de si el orgánico de 2026 es un bache o una tendencia. La señal está en las ventas y en la facturación del segundo semestre (resultados del 12-abr-2027): ventas del 2S26 por debajo de 620 M, o una obra pendiente de facturar que no se convierte en facturas, confirmarían que el BPA crece solo por margen y 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 (1S26, con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3,3 %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permanente vale en torno a un 15 %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pendiente de facturar (activos por obra)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200 M a fin de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las ventas netas mientras la facturación cae.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de la Confederación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es muy sensible a la tasa de descuento.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en contra de la retribución variable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(junta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presión de los accionistas sobre el gobierno.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 14,2x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20,9x / 19,1x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Ruth y Ernst Burkhalter fundaron la empresa en Zúrich en 1959 como negocio individual de instalaciones eléctricas. En 1987 la vendieron al grupo Zellweger-Luwa y unos diez años después recuperó la independencia mediante una compra por la dirección (MBO). Burkhalter Holding cotiza en la SIX Swiss Exchange desde junio de 2008 y desde entonces ha hecho 45 adquisiciones hasta 2025 (47 contando las de comienzos de 2026) [1, 9]. El cambio decisivo fue la fusión con poenina holding, también cotizada, aprobada el 29 de junio de 2022 con efectos contables desde el 1 de enero de 2022: convirtió a un grupo de electricidad en un proveedor de instalaciones técnicas de todos los oficios (calefacción, ventilación, climatización, fontanería y electricidad) [1]. Las ventas pasaron de 539,5 M CHF en 2021 a 1.207,5 M en 2025 [1]. Preside Gaudenz F. Domenig y el consejero delegado es Zeno Böhm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Ruth y Ernst Burkhalter fundan en Zúrich una empresa individual de instalaciones eléctricas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al grupo Zellweger-Luwa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recupera la independencia mediante una compra por la dirección (MBO), unos diez años después de la venta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 en junio de 2008; empieza una estrategia de compras de instaladores locales que suma 45 operaciones hasta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poenina holding (aprobada el 29 de junio, con efectos desde el 1 de enero de 2022): el grupo pasa de solo electricidad a cubrir también calefacción, ventilación, climatización y fontanería; las ventas suben de 539,5 M CHF (2021) a 800,8 M (2022) y 1.127,3 M (2023)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Mathieu Ingenieure (Visp, ingeniería de climatización, 1 de abril) y Gattiker Elektro (Uster, 15 de julio); ventas de 1.207,5 M CHF, EBIT de 73,8 M y BPA de 5,78 CHF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28 de septiembre los votantes suizos aprueban la reforma que suprimirá el valor locativo (Eigenmietwert) y las deducciones fiscales por reformas, no antes de 2028; la empresa espera que adelante obras de renovación [1,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compras hasta septiembre: BZ-Dépannage (Lonay, 15 de enero), Enplan (Herisau, 28 de enero), Elektro Gasser (Lalden, 29 de enero), Caotec (Brusio, 26 de febrero), Progressio Holding con anplaq (Tamins, 1 de mayo) y AZ systems (Landquart, automatización de edificios, 2 de septiembre) [1,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de las filiales de calefacción, ventilación, climatización y fontanería en un ERP común, prevista para terminar en el ejercicio 2026 [1].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Burkhalter es un grupo de instalaciones técnicas de edificios que trabaja solo en Suiza y Liechtenstein. A cierre de 2025 tenía 83 sociedades jurídicamente independientes en 169 centros y 5.356 empleados equivalentes a jornada completa, de los que 1.031 eran aprendices (19 % de la plantilla) [1, 9]. Hay dos ramas. Electricidad: 50 sociedades en 116 centros hacen instalaciones, servicio y mantenimiento y cuadros eléctricos, más planificación, automatización de edificios, cargadores, fotovoltaica y el departamento Swiss Projects, que coordina obras de clientes con varias sedes. Calefacción, ventilación, climatización y fontanería: 33 sociedades en 53 centros, con planificación, cubiertas, chapistería y construcción de plantas como complemento [1]. No fabrica ni investiga: compra casi todo el material a proveedores suizos y lo instala en obra [1]. Unos 200 proveedores con acuerdo marco suministran alrededor del 80 % del material [10]. Trabaja en vivienda, industria, comercio, edificios públicos (escuelas, hospitales), hoteles y viviendas unifamiliares [10]. Cada filial la dirige con autonomía su gerente y el grupo reporta un único segmento [1].</w:t>
      </w:r>
    </w:p>
    <w:p>
      <w:pPr>
        <w:pStyle w:val="Heading2"/>
      </w:pPr>
      <w:r>
        <w:t xml:space="preserve">Cómo gana dinero</w:t>
      </w:r>
    </w:p>
    <w:p>
      <w:pPr>
        <w:spacing w:after="100"/>
      </w:pPr>
      <w:r>
        <w:t xml:space="preserve">La empresa cobra por obras de instalación, renovación y servicio, contratadas por proyecto y en su mayoría por licitación. No vende productos ni cobra licencias [1]. El coste principal es la mano de obra: en 2025 los gastos de personal fueron 530,1 M CHF (43,5 % de los ingresos operativos de 1.217,4 M), el material 387,7 M (31,8 %) y los subcontratistas 110,7 M (9,1 %); el EBITDA quedó en 83,0 M (6,8 %) y el EBIT en 73,8 M (6,1 %) [1]. Las amortizaciones son pequeñas (9,2 M) porque el fondo de comercio de las compras se compensa contra el patrimonio bajo Swiss GAAP FER [1]. La cartera de pedidos cubre de cinco a seis meses, y los encargos cortos de servicio completan la carga [1]. El margen depende de la utilización de los instaladores y del acierto al presupuestar cada proyecto: la propia empresa señala el riesgo de proyecto y de valorar la obra en curso como uno de los principales [1]. En el primer semestre de 2026 las ventas fueron 587,3 M CHF (+0,1 %) con un EBIT de 31,1 M (+5,2 %)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(segmento único)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(segmento único)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Entre los clientes hay contratistas generales, administraciones públicas, inversores institucionales, multinacionales, pymes, estudios de arquitectura y particulares [10]. La empresa no publica la concentración de clientes. Tampoco cuantifica la fidelidad: según el informe anual, todos los contratos medianos y grandes se licitan y suele ganar la oferta más barata; los públicos tienen que licitarse por ley y el precio es un criterio clave [1]. La cartera de cinco a seis meses indica contratos cortos, completados con órdenes de servicio [1]. El poder de precios no se ve en las cifras: entre 2021 y 2025 el margen EBIT se movió entre el 5,4 % y el 6,1 % [1]. Swiss Projects funciona como interlocutor único para clientes con sedes en varias partes del país [1]. La empresa se presenta como diversificada por región, cliente, oficio y equipo directivo, y sin riesgo de divisa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frente a 2024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(FTE,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1.031 aprendices (983 en 2024)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Sociedades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Fusiones internas; 169 sedes (166)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empresas en el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en 2026 hasta el 2-sep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 compras desde la salida a bolsa de 2008 [1][6][9]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por FTE (miles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Cálculo propio: ventas netas / FTE medios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 sociedades en jun-26: 51 de electricidad y 36 de técnica de edificios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las instalaciones técnicas de edificios en Suiza y Liechtenstein: electricidad, calefacción, ventilación, climatización y fontanería, en obra nueva, renovación y mantenimiento. Ni la estadística oficial ni las asociaciones publican su facturación, así que se usan dos aproximaciones. Por arriba está el gasto total en construcción del BFS, 67.376 M CHF en 2024 [12, 13], del que las instalaciones son solo una parte. Por abajo, el empleo que declaran las dos asociaciones: EIT.swiss reúne a algo más de 2.000 empresas eléctricas con más de 40.000 empleados [14] y suissetec a unas 3.500 empresas de fontanería, calefacción, climatización, ventilación y solar con unos 50.000 [15]. Burkhalter cifra en unas 6.500 las empresas del sector [1]. El tamaño se estima multiplicando esos ≈ 90.000 empleados por las ventas por empleado de Burkhalter.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 20.300 M CHF de ventas de instalaciones técnicas en 2024-2025 (≈ 90.000 empleados [14, 15] × 0,2255 M CHF de ventas por FTE de Burkhalter en 2025 [1]). Para comparar, el gasto total en construcción en Suiza fue de 67.376 M CHF en 2024 [13], con 26.372 M en renovación, ampliación y derribo y 34.995 M en obra nueva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HF (gasto total en construcción en Suiza, BFS, a precios corrientes; aproximación del ciclo, no del mercado de instalacion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del parque de edificios frente a obra nueva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renovación, ampliación y derribo subió de 21.484 M CHF en 2017 a 26.372 M en 2024 (≈ +3,0 % anual), mientras la obra nueva bajó de 39.851 M a 34.995 M (≈ −1,8 % anual) [12,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bombas de calor, fotovoltaica y cargadores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Oficina Federal de Energía, los edificios suponen ≈ 40 % del consumo de energía de Suiza [10]. El Gebäudeprogramm repartió 516,4 M CHF en 2025, 186 M de ellos para instalaciones técnicas, y más de 4.600 M desde 2010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Supresión del valor locativo (Eigenmietwert)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Aprobada en votación el 28-sep-2025; las deducciones por reformas desaparecen no antes de 2028, lo que adelanta obras hasta entonces y puede frenarlas después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construcción e inmigración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KOF de la inversión en construcción: −1,4 % en 2024, −0,5 % en 2025, +1,9 % en 2026 y +1,5 % en 2027. Saldo migratorio: 98.851 personas en 2023, 83.392 en 2024 y 74.675 en 2025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Falta de técnicos cualificados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lo cita entre los factores del mercado para 2026 [9]. Cada año acaban la formación ≈ 3.000 aprendices de los oficios de EIT.swiss [14], que tiene más de 40.000 empleados. Burkhalter forma a 1.031 aprendices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6.500 empresas; los contratos medianos y grandes se licitan y suele ganar el más barato [1]. Los márgenes EBIT son de un dígito: Burkhalter 6,1 %, BKW Infraestructura y Edificios 4,1 %, Bravida 5,9 % en 2025 [1, 17,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Contratistas generales y administraciones adjudican por licitación con el precio como criterio clave; en el sector público la licitación es obligatoria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material es el 31,8 % de los ingresos operativos de Burkhalter, que compra con acuerdos marco a unos 200 proveedores (≈ 80 % del material) [1, 10]. Pesa más la mano de obra escasa (43,5 % en personal)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a escala local cuesta poco y hay ≈ 6.500 empresas [1]. Lo que limita es contratar instaladores titulados: la empresa cita la falta de técnicos cualificados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instalaciones no se pueden hacer a distancia ni sin técnico. La propia norma suiza de baja tensión (NIN) incorporó en 2025 un apartado sobre generación combinada, lo que sigue exigiendo instaladores [10].</w:t>
            </w:r>
          </w:p>
        </w:tc>
      </w:tr>
    </w:tbl>
    <w:p>
      <w:pPr>
        <w:spacing w:after="160" w:before="0"/>
      </w:pPr>
    </w:p>
    <w:p>
      <w:pPr>
        <w:pStyle w:val="Heading2"/>
      </w:pPr>
      <w:r>
        <w:t xml:space="preserve">Ciclo</w:t>
      </w:r>
    </w:p>
    <w:p>
      <w:pPr>
        <w:spacing w:after="100"/>
      </w:pPr>
      <w:r>
        <w:t xml:space="preserve">La inversión en construcción cayó un 1,4 % en 2024 y un 0,5 % en 2025, y KOF prevé +1,9 % en 2026 y +1,5 % en 2027 [9]. El gasto total en construcción está estancado en términos nominales: 66.672 M CHF en 2017, 66.785 M en 2020 (−0,6 %) y 67.376 M en 2024 (−0,6 %) [12, 13]. Con las fuentes leídas no hay datos de 2008-09 ni de 2022. En 2020 el gasto total bajó solo un 0,6 % [12]. Las ventas de Burkhalter en el primer semestre de 2026 se estancaron (+0,1 %) [6].</w:t>
      </w:r>
    </w:p>
    <w:p>
      <w:pPr>
        <w:pStyle w:val="Heading2"/>
      </w:pPr>
      <w:r>
        <w:t xml:space="preserve">Regulación</w:t>
      </w:r>
    </w:p>
    <w:p>
      <w:pPr>
        <w:spacing w:after="100"/>
      </w:pPr>
      <w:r>
        <w:t xml:space="preserve">La ley de CO₂ revisada (aprobada en marzo de 2024 y aplicable desde 2025) mantiene la financiación del Gebäudeprogramm de la Confederación y los cantones [15, 16], que pagó 516,4 M CHF en 2025: 186 M para instalaciones técnicas, 142 M para aislamiento y 106 M para renovaciones integrales [16]. La empresa cuenta con que la Confederación lo prorrogue [1, 9]. Varios cantones prohíben ya las calefacciones fósiles, lo que según Burkhalter le da más pedidos [10]. La supresión del valor locativo, aprobada el 28-sep-2025, eliminará no antes de 2028 las deducciones fiscales por reformas [1]. En 2025 la norma de instalaciones de baja tensión (NIN) añadió un apartado sobre generación combinada [10].</w:t>
      </w:r>
    </w:p>
    <w:p>
      <w:pPr>
        <w:pStyle w:val="Heading2"/>
      </w:pPr>
      <w:r>
        <w:t xml:space="preserve">Tendencias y disrupción</w:t>
      </w:r>
    </w:p>
    <w:p>
      <w:pPr>
        <w:spacing w:after="100"/>
      </w:pPr>
      <w:r>
        <w:t xml:space="preserve">Hay tres tendencias. La primera es pasar de la obra nueva a la renovación: el gasto en renovación subió ≈ 3 % anual entre 2017 y 2024 y la obra nueva bajó [12, 13]. La segunda, la electrificación del parque: fotovoltaica, bombas de calor y cargadores. Burkhalter instaló 19.489 módulos solares en 2025 frente a 17.328 en 2024, aunque bajaron los inversores, los cargadores y las bombas de calor [10]. La tercera es la integración de oficios y la digitalización (BIM, automatización de edificios), que favorece a los grupos multioficio como Burkhalter tras la fusión con poenina [1, 10]. La consolidación sigue: Burkhalter, BKW y SPIE compran instaladores locales en Suiza [1, 17,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entre los mayores instaladores de Suiza, con ≈ 6 % del mercado de instalaciones técnicas (1.207,6 M CHF de ventas frente a ≈ 20.300 M estimados; por empleo, 5.356 FTE frente a ≈ 90.000 empleados de las asociaciones) [1, 14, 15]. Ninguna fuente leída publica un ranking ni las cuotas.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BKW, segmento Infraestructura y Edificios (BKW Building Solutions, BKW Infra Services, ingeniería)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BKW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de 1.975,3 M CHF y EBIT de 80,0 M en 2025. 1.193,8 M de sus ventas netas se hacen en Suiza y 698,2 M fuera. Incluye ingeniería y redes, así que no es comparable de forma directa. Crece con compras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10.379,9 M EUR en 2025, convertidas a 0,9314 CHF/EUR [20]; el margen es EBITA. Su segmento Europa Central (incluye Suiza) vendió 882,0 M EUR con un margen EBITA del 6,0 % y siguió comprando empresas en Suiza en 2025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Bravida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 nórdica con el mismo modelo (instalaciones multioficio y compras locales); no está en Suiza. Ventas de 28.208 M SEK y EBIT de 1.668 M en 2025, convertidas a 0,08607 CHF/SEK [19,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Bouygues Energies &amp; Services (Suiza)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 (grupo francés)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Instalador multioficio en Suiza; no publica cuentas separadas de Suiza.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Groupe E Connect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 de instalaciones de la eléctrica Groupe E en la Suiza francófona; no publica cuentas separadas.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local de obra; no hay efecto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contratos medianos y grandes se licitan y suele ganar el precio más bajo [1]. Los clientes con varias sedes que usan Swiss Projects y los contratos de servicio dan algo de continuidad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tiene patentes ni I+D [1]. Las filiales mantienen sus marcas locales y el grupo forma a 1.031 aprendices [1]. Tiene certificaciones ISO 9001, 14001, 45001 y 27001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centralizadas con acuerdos marco a ≈ 200 proveedores (≈ 80 % del material) [2], servicios compartidos y un ERP común [1]. El margen EBIT del 6,1 % supera el 4,1 % de BKW Infraestructura y Edificios y es parecido al 5,9 % de Bravida [1, 11,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169 centros en todo el país y puede atender clientes nacionales [1]. Ha hecho 47 compras desde 2008 y lleva seis en 2026 hasta septiembre [3, 4]. El margen EBIT se mantuvo entre el 5,4 % y el 6,1 % entre 2021 y 2025 [1].</w:t>
            </w:r>
          </w:p>
        </w:tc>
      </w:tr>
    </w:tbl>
    <w:p>
      <w:pPr>
        <w:spacing w:after="160" w:before="0"/>
      </w:pPr>
    </w:p>
    <w:p>
      <w:pPr>
        <w:pStyle w:val="Heading2"/>
      </w:pPr>
      <w:r>
        <w:t xml:space="preserve">Amenazas</w:t>
      </w:r>
    </w:p>
    <w:p>
      <w:pPr>
        <w:spacing w:after="100"/>
      </w:pPr>
      <w:r>
        <w:t xml:space="preserve">La amenaza más probable es la competencia por adquisiciones e instaladores. BKW (cuyo segmento tiene más ingresos que Burkhalter) y SPIE, que en 2025 compró en Suiza y apunta a un margen EBITA del 8 % en 2028, compran las mismas empresas locales [17, 18], lo que encarece las compras. La falta de técnicos sube los salarios, y el personal es el 43,5 % de los ingresos operativos [1, 9]. Con licitaciones decididas por precio, un ciclo de construcción débil presiona los márgenes; las ventas se estancaron en el primer semestre de 2026 (+0,1 %) [1, 6]. Si terminan las ayudas o los incentivos fiscales (deducciones por reformas, no antes de 2028), la demanda de renovación energética podría bajar [1,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2020-2025: ingresos </w:t>
      </w:r>
      <w:r>
        <w:rPr>
          <w:b/>
          <w:bCs/>
        </w:rPr>
        <w:t xml:space="preserve">19,4 %</w:t>
      </w:r>
      <w:r>
        <w:t xml:space="preserve">, EBITDA </w:t>
      </w:r>
      <w:r>
        <w:rPr>
          <w:b/>
          <w:bCs/>
        </w:rPr>
        <w:t xml:space="preserve">30,4 %</w:t>
      </w:r>
      <w:r>
        <w:t xml:space="preserve">, BPA </w:t>
      </w:r>
      <w:r>
        <w:rPr>
          <w:b/>
          <w:bCs/>
        </w:rPr>
        <w:t xml:space="preserve">18,9 %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497,6 M (2020) a 1.207,5 M (2025), casi todo inorgánico: la fusión con poenina en 2022 (pagada en acciones) y unas 40 M de compras en 2023. Desde 2023 el crecimiento es lento: +5,3 % en 2024 y +1,8 % en 2025; en el 1S26, +0,1 % [1][6]. El margen EBIT subió de 3,8 % (2020) a 5,4 % (2021), 6,0 % (2022), 5,7 % (2023), 5,9 % (2024) y 6,1 % (2025) [1][3][5]. En 2025 los servicios de terceros bajaron de 124,5 M a 110,7 M con más ventas, y el personal subió de 504,6 M a 530,1 M [1]. El beneficio por acción creció un 7,2 % en 2025 con ventas +1,8 % [1]. Antes de poenina el negocio eléctrico vendía unos 500 M al año y su EBIT cayó de 37,9 M (2017) a 18,7 M (2020) [5].</w:t>
      </w:r>
    </w:p>
    <w:p>
      <w:pPr>
        <w:pStyle w:val="Heading2"/>
      </w:pPr>
      <w:r>
        <w:t xml:space="preserve">Ajustes y partidas no recurrentes</w:t>
      </w:r>
    </w:p>
    <w:p>
      <w:pPr>
        <w:spacing w:after="100"/>
      </w:pPr>
      <w:r>
        <w:t xml:space="preserve">Se usan cifras reportadas bajo Swiss GAAP FER [1]. El fondo de comercio no pasa por la cuenta: se compensa contra el patrimonio al comprar (FER 30). Con una amortización teórica a cinco años, el resultado de 2025 habría sido una pérdida de 5,9 M (amortización teórica de 67,3 M) y el de 2024 de 9,2 M [1]; en 2023, pérdida de 12,4 M; en 2022, beneficio de 7,9 M [3]. No hay partidas no recurrentes separadas. La cuenta es por naturaleza: coste_ventas = materiales + servicios de terceros. gastos_financieros: intereses (2024-2025) o gasto financiero total (2020-2023, incluye comisiones) [1][3][5].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Burkhalter no celebra conferencias con analistas por trimestre: presenta los resultados anuales en una rueda de prensa (13-abr-2026) y los semestrales solo con el informe escrito (7-sep-2026) [6][9]. En abril la dirección destacó el BPA de 5,78 CHF (+7,2 %), el dividendo de 5,20 CHF, un payout del 93 % de media en cinco años, reservas de capital para repartir con exención fiscal durante unos tres años y la ausencia de riesgo de divisa [9]. Citó como apoyos la renovación por eficiencia energética, el programa federal de edificios y la abolición del valor locativo (Eigenmietwert), y como freno la falta de mano de obra cualificada; ve oportunidades de compra sobre todo en HVACP [9]. Usó la previsión del KOF de inversión en construcción: -0,5 % en 2025, +1,9 % en 2026 y +1,5 % en 2027 [9]. En septiembre confirmó la guía (BPA 2026 moderadamente superior) con ventas planas (+0,1 %) en el 1S26 pese a cinco compras, y EBIT +5,2 % [6]. No hay consenso previo publicado por semestre en las fuentes leídas, por lo que vs_consenso queda vacío.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Fusión con poenina holding (HVACP), consolidada desde el 1-ene-2022 y pagada en acciones (4,23 M de acciones nuevas): las ventas pasan de 539,5 M a 800,8 M; 2020-2021 son solo el negocio eléctrico.; 2023: Compras de Imwinkelried, LKE Haustechnik, Strässle, Bötschi, Riggenbach y otras: 40,4 M en caja más 22,0 M en acciones nuevas; fondo de comercio de 38,1 M compensado contra el patrimonio.).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corto: activo de 463,8 M a fin de 2025, con un patrimonio de 139,4 M después de haber compensado 435,2 M de fondo de comercio acumulado [1]. El circulante lo forman obra en curso por cobrar (146,9 M) y clientes (125,3 M) frente a obra en curso facturada por adelantado (114,8 M), proveedores (42,6 M) y periodificaciones (77,4 M) [1]. En 2025 los clientes bajaron 29,9 M y la caja neta pasó a +51,4 M (tras 1,9 M netos negativos en 2024) [1]. Hay estacionalidad: a 30-jun la caja cae por el dividendo de mayo y sube la obra en curso (183,9 M a 30-jun-2026)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315</w:t>
      </w:r>
      <w:r>
        <w:t xml:space="preserve">, conversión </w:t>
      </w:r>
      <w:r>
        <w:rPr>
          <w:b/>
          <w:bCs/>
        </w:rPr>
        <w:t xml:space="preserve">127 %</w:t>
      </w:r>
      <w:r>
        <w:t xml:space="preserve"> del beneficio neto; adquisiciones 73, dividendos 203, recompras 11.</w:t>
      </w:r>
    </w:p>
    <w:p>
      <w:pPr>
        <w:spacing w:after="100"/>
      </w:pPr>
      <w:r>
        <w:t xml:space="preserve">El flujo operativo pasó de 24,2 M (2020) a 109,8 M (2025) [1][5]. En 2024 y 2025 superó con creces al beneficio (90,9 M frente a 57,2 M y 109,8 M frente a 61,3 M) gracias a la reducción de clientes (+15,2 M y +30,5 M de caja) [1]; en 2023 la subida de clientes restó 46,7 M [3]. El capex es pequeño: 9,3 M en 2025 (0,8 % de las ventas) y 14,4 M en 2024 [1]; la empresa no separa mantenimiento y crecimiento. La caja se reparte casi entera: dividendos de 51,5 M en 2025, 47,2 M en 2024 y 44,5 M en 2023 [1][3]. Los intereses pagados se clasifican en financiación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Normas Swiss GAAP FER. El fondo de comercio se compensa contra el patrimonio al comprar (FER 30), sin pasar nunca por la cuenta: con amortización teórica a cinco años, 2023, 2024 y 2025 habrían sido pérdidas (-12,4 M, -9,2 M y -5,9 M) [1][3]. Los arrendamientos operativos (155,3 M de compromisos) no están en el balance [1]. Las cuentas por obra en curso se valoran por grado de avance y la propia empresa cita el riesgo de estimaciones erróneas [1]. No hay pagos en acciones a la dirección ni derechos de opción [1]. No hay capitalización de I+D. El auditor es el mismo desde 2002; rotación del socio prevista en 2028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compensado contra el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435,2 M acumulados a fin de 2025 frente a 139,4 M de patrimonio: el ROE (44 %) y el ROIC publicados están inflados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 operativos fuera de balance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de 155,3 M (vehículos y locales), en EBITDA como gasto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Obra en curso por grado de avance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Activos por obra 146,9 M y pasivos 114,8 M; riesgo de estimación citado por la empresa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68,1 % · </w:t>
      </w:r>
      <w:r>
        <w:rPr>
          <w:b/>
          <w:bCs/>
        </w:rPr>
        <w:t xml:space="preserve">WACC</w:t>
      </w:r>
      <w:r>
        <w:t xml:space="preserve">: 6,4 %.</w:t>
      </w:r>
    </w:p>
    <w:p>
      <w:pPr>
        <w:spacing w:after="100"/>
      </w:pPr>
      <w:r>
        <w:rPr>
          <w:b/>
        </w:rPr>
        <w:t xml:space="preserve">El ROIC publicado (55,8 % en 2025) no mide la rentabilidad del capital que han puesto los accionistas.</w:t>
      </w:r>
      <w:r>
        <w:t xml:space="preserve"> Burkhalter compensa el fondo de comercio contra el patrimonio, así que su capital invertido no incluye los 435,2 M pagados de más en las compras, poenina incluida [1]. Con ese fondo de comercio a coste, el capital invertido sube a unos 545 M y el ROIC después de impuestos baja a cerca del 11 % (estimación propia: 61,6 M de beneficio operativo después de impuestos de 2025 sobre ≈ 110 M de capital operativo más 435,2 M de fondo de comercio bruto) [1]. Sigue por encima del WACC del 6,4 %, pero la creación de valor es mucho más modesta de lo que dicen el ROIC del 55,8 % y el ROIC incremental del 68,1 %. Lo que mueve el ROIC es la rotación: el negocio apenas necesita activo fijo (capex del 0,8 % de las ventas) y el circulante, con anticipos de clientes, ronda el 11 % de las ventas. El margen EBIT (6,1 % en 2025) es similar al de Bravida (5,9 %) y menor que el de SPIE (7,6 %)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74,3 M a 31-dic-2025 (38,0 M a 30-jun-2026, tras pagar 55,2 M de dividendo) más líneas sin disponer: UBS 60 M (0 dispuesto) y Zürcher Kantonalbank 40 M (0 dispuesto)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con UBS: deuda / EBITDA nunca por encima de 2,5x; cumplido siempre en 2024 y 2025 [1]. La deuda financiera es casi solo hipotecaria (11 hipotecas sobre naves propias por 22,3 M, al 0,8-2,21 %) más crédito bancario a corto (0,6 M a fin de 2025; 30,1 M a fin de 2024; 13,6 M a 30-jun-2026) [1][6]. Arrendamientos operativos fuera de balance: compromisos de 155,3 M a 31-dic-2025 (vehículos 63,9 M, locales 89,2 M), 36,5 M a un año [1]. Garantías de consorcios y uniones temporales por 6,8 M [1]. Provisiones a largo 12,0 M y a corto 3,6 M [1]. Pagos aplazados o condicionados de compras: 1,7 M pagados en 2025 y 1,3 M en el 1S26 [1][6].</w:t>
      </w:r>
    </w:p>
    <w:p>
      <w:pPr>
        <w:pStyle w:val="Heading1"/>
      </w:pPr>
      <w:r>
        <w:t xml:space="preserve">12. Asignación de capital</w:t>
      </w:r>
    </w:p>
    <w:p>
      <w:pPr>
        <w:pStyle w:val="Confianza"/>
        <w:spacing w:after="100"/>
      </w:pPr>
      <w:r>
        <w:t xml:space="preserve">Confianza: Media</w:t>
      </w:r>
    </w:p>
    <w:p>
      <w:pPr>
        <w:spacing w:after="100"/>
      </w:pPr>
      <w:r>
        <w:t xml:space="preserve">Reparte casi todo el beneficio: dividendo 5,20 CHF por 2025 (4,85 por 2024), un 90 % de payout; 93 % de media en los últimos cinco años según la empresa [1][9]. La mitad del dividendo de 2025 sale de reservas de aportaciones de capital (exenta de la retención suiza del 35 %); la empresa dice que le quedan reservas de capital para unos tres años [1][9]. No hay programa de recompra: la autocartera es mínima (1.400 acciones) [1]. Las compras de empresas se pagan con caja y, a veces, con acciones nuevas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(electricidad)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compensado 6,1 M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(electricidad)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(9,3 M neto de caja adquirida + 1,0 M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6,7 M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poenina holding (HVACP) y otras compras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4.227.466 acciones nuevas a 75 CHF (317,1 M) más 22,2 M en caja por otras compras; la fusión aportó 13,6 M de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283,2 M compensado. Ventas de 539,5 M (2021) a 800,8 M (2022) y margen EBIT de 5,4 % a 6,0 % [3][4].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Imwinkelried, LKE Haustechnik, Strässle, Bötschi, Riggenbach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40,4 M en caja + 22,0 M en acciones nuevas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38,1 M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meinrad buchli, Elektro Bernina, Kippel Leo + Söhne, Elektro R. Räss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(4,1 M neto + 2,7 M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0,8 M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Mathieu Ingenieure, Gattiker Elektro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(2,6 M neto + 1,7 M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6,4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BZ-Dépannage, Enplan, Elektro Gasser, Caotec, Progressio/anplaq (1S26); AZ systems (2-sep)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(1S26: 11,6 M neto + 1,3 M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datos aún [6].</w:t>
            </w:r>
          </w:p>
        </w:tc>
      </w:tr>
    </w:tbl>
    <w:p>
      <w:pPr>
        <w:spacing w:after="160" w:before="0"/>
      </w:pPr>
    </w:p>
    <w:p>
      <w:pPr>
        <w:spacing w:after="100"/>
      </w:pPr>
      <w:r>
        <w:t xml:space="preserve">La dirección asigna el capital de forma sencilla: reparte el 90 % del beneficio y compra con el resto. En 2020-2025 generó 315 M de flujo libre; 203 M fueron a dividendos y 73 M a compras en caja, y la gran operación, poenina, se pagó con 4,23 M de acciones nuevas (317,1 M) [1, 4]. El resultado de poenina es aceptable pero no brillante: el BPA pasó de 3,99 CHF en 2021 a 5,78 CHF en 2025 (+45 %) con un 77 % más de acciones, y el margen EBIT del grupo solo subió del 5,4 % al 6,1 % [1, 5]. Con un PER de unas 21 veces, emitir acciones para comprar empresas pequeñas a múltiplos que no se publican no crea valor evidente. La mitad del dividendo sale de reservas de aportaciones de capital, exentas de la retención suiza del 35 %, y la empresa dice que le quedan para unos tres años [9]: después, el dividendo neto para el inversor suizo será menor. No hay recompras.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Zeno Böhm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(y director de Burkhalter Services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2009; CFO de 2010 a 2021 y CEO desde el 1-ene-2022, en sucesión interna [21]. Antes, gestión hotelera (Schloss-Hotel Swiss-Chalet, Park Hotel Weggis) [21]. Con él al frente el BPA pasó de 3,99 CHF (2021) a 5,78 CHF (2025), con la fusión con Poenina de 2022 por medio, y el EBIT de 29,3 a 73,8 M CHF [21]. Tiene 4.079 acciones (0,04 %)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Domenig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2010: jefe de proyecto y subdirector de la filial Electra Buin SA (Scuol) y su director general de 2013 a 2021; CFO desde enero de 2022 [21]. Ingeniero (HTW Chur), EMBA HSG y MAS en finanzas corporativas (IFZ) [21]. Preside el patronato de la caja de pensiones del grupo [21]. No tiene acciones [21]. El informe no declara parentesco con el presidente, Gaudenz F. Domenig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Gaudenz F. Domenig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y consejero desde 2000, presidente desde 2003 [21]. Abogado (Zúrich y Nueva York), consultor de la firma PRAGER DREIFUSS AG, que factura servicios jurídicos al grupo (31.000 CHF en 2025) y cobra 72.000 CHF al año por la oficina del presidente [21]. Tiene 640.300 acciones (6,0 %) [21]. En la junta de 2026 su reelección obtuvo el 73,48 % a favor y el 26,42 % en contra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Marco Syfrig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 (función de asesoría en Burkhalter Services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y consejero delegado de Burkhalter de 2008 a 2021; desde 2022 consejero «ejecutivo» con contrato de asesoría (180.000 CHF de sueldo base de 300.000 CHF) [21]. Presidió poenina holding de 2017 a 2022 y preside el comité de auditoría [21]. No tiene acciones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Superar las cifras de 2019 (BPA de 2019: 3,72 CHF) [27].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3,99 CHF (2020: 2,43 CHF) [27].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Superar las cifras de 2021, año de la fusión con Poenina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4,73 CHF, +18,5 % [28].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estable frente a 2022, «quizá incluso» al alza, con riesgos de inflación, materiales y tipos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4,95 CHF, +4,7 % [29].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Subir el BPA de forma moderada frente a 2023 [29].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5,39 CHF, +8,9 %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Subir el BPA de forma moderada frente a 2024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5,78 CHF, +7,2 %; EBIT +6,0 %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Subir el BPA de forma moderada frente a 2025 (5,78 CHF) [21], guía reiterada con el semestre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BPA del 1S26 de 2,44 CHF (+8,0 %) con ventas planas (587,3 M CHF, +0,1 %) [26].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publica una guía solo cualitativa sobre el BPA (superar, mantener o subir «moderadamente») y la ha cumplido los cinco años de 2021 a 2025 [2, 21, 27, 28, 29]. Es una guía poco exigente: con un BPA que sube entre el 4,7 % y el 8,9 % anual desde 2023, «moderado» deja mucho margen. El equipo es estable y de la casa: el CEO Zeno Böhm fue CFO doce años y el CFO Urs Domenig dirigió una filial nueve; ambos llegaron a sus cargos el 1-ene-2022 en una sucesión interna ordenada [21]. La dirección son solo dos personas, sin comité ejecutivo, y las 83 filiales reportan directamente al CEO [21]. El riesgo de persona clave es alto y el grupo no publica un plan de sucesión. La dirección tiene muy poco capital: 4.079 acciones entre los dos [21].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Gaudenz F. Domenig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Marco Syfrig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Willy Hüppi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Michèle Novak-Moser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Nina Remmers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Diego A. Brüesch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Willy Hüppi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7,66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Ingro Finanz AG (herederos de Peter Grogg: Madeleine Grogg, Nicole Grogg Hötzer, Daniela Grogg)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 inversor financiero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1.510.979 acciones; las acciones pasaron a la comunidad hereditaria al morir Peter Grogg en junio de 2025, y en agosto de 2026 se notificó el cambio de domicilio [30]. Tenía el 10,7 % en 2022, el 11,4 % en 2023 y el 14,0 % a cierre de 2025 [21, 28,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916.468 acciones a 31-dic-2025; 7,4 % en 2023 [21,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Gaudenz F. Domenig (presidente)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640.300 acciones, sin cambios desde 2022 [21,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Jean-Claude Bregy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(MBO de 1998)</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al 4,924 % (523.000 acciones) el 6-ene-2026 por una sentencia de divorcio [30]; tenía el 5,3 % (566.000) a cierre de 2025 y el 6,5 % (676.000) en 2022-2023 [21, 28,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Diego A. Brüesch (Brüesch Holding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 fundador de Poenina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359.459 acciones, sin cambios desde 2022 [21,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 Safra Sarasin Investmentfonds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 (320.500 acciones) a 31-dic-2025; 5,3 % en 2023; en marzo de 2026 notificó una bajada por debajo del 3 % [21, 29,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Willy Hüppi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97.403 acciones a 31-dic-2025 frente a 133.833 un año antes: vendió 36.430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1.400 acciones a 31-dic-2025, frente a 8.400 un año antes (compró 10.852 y vendió 17.852 a 117,93 CHF de media)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(anónimo en la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(anónimo en la SIX; nueve ventas entre el 1 y el 17 de diciembre a 140,0-140,2 CHF)</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(anónimo en la SIX; tres ventas del 20 y 21 de abril a 186,3-187,0 CHF)</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(anónimo en la SIX; dos ventas del 16 y 17 de junio a 166 CHF)</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 ejecutivo (anónimo en la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dirección cobra un fijo garantizado de al menos el 80 % de su salario objetivo, más un bonus anual en efectivo de hasta el 60 % del objetivo, ligado al EBIT presupuestado del grupo y a objetivos personales [21]. En 2025 y 2024 el bonus fue el 100 % del máximo posible [21]. El bonus a largo plazo es el 10 % del exceso del BPA medio de dos años sobre un BPA de referencia, multiplicado por las acciones; se paga en efectivo 18 meses después [21]. No hay acciones, cláusula de recuperación (clawback) ni indemnizaciones por despido [21]. En 2025 el CEO cobró 1,885 M CHF: 0,56 de fijo, 0,42 de bonus, 0,656 de bonus a largo plazo, 0,237 de cargas sociales y 0,012 de otros [21]. Con un BPA que sube cada año, el bonus a largo plazo crece cada año: 0,597 M CHF en 2024, el primer año que se pagó, y 0,656 en 2025 [21]. </w:t>
      </w:r>
      <w:r>
        <w:rPr>
          <w:b/>
        </w:rPr>
        <w:t xml:space="preserve">La retribución variable de la dirección recibió el 25,31 % de votos en contra en 2025, el 22,82 % en 2026 y el 23,27 % en 2024</w:t>
      </w:r>
      <w:r>
        <w:t xml:space="preserve"> [22, 23, 24]. La empresa no explica qué hizo ante ese rechazo [21].</w:t>
      </w:r>
    </w:p>
    <w:p>
      <w:pPr>
        <w:pStyle w:val="Heading2"/>
      </w:pPr>
      <w:r>
        <w:t xml:space="preserve">Operaciones vinculadas, estructura de control y defensas</w:t>
      </w:r>
    </w:p>
    <w:p>
      <w:pPr>
        <w:spacing w:after="100"/>
      </w:pPr>
      <w:r>
        <w:t xml:space="preserve">No hay accionista de control: el mayor es Ingro Finanz AG, de la familia del fallecido Peter Grogg, con el 14,2 %, y no tiene consejero [21, 30]. Consejo y dirección suman el 10,4 % [21]. Hay una sola clase de acciones nominativas, una acción un voto, sin límites de voto ni quórums reforzados en los estatutos [21, 32]. Los nominees que no declaran al titular solo se inscriben con voto hasta el 3 %, y la junta puede quitar esa regla por mayoría simple [21]. No hay opting-out ni opting-up de la OPA obligatoria, ni cláusulas de cambio de control [21]. Los estatutos dan al consejo, hasta el 15-may-2028, un margen de capital de hasta 1.042.567 acciones nuevas (≈ 9,8 % del capital) y le permiten excluir el derecho de suscripción preferente para compras de empresas [32]. El consejo lo usó en junio de 2026 para emitir 39.484 acciones con las que pagó parte de la compra de Progressio y anplaq [33]. Las operaciones vinculadas son pequeñas pero continuas: honorarios jurídicos y oficina del despacho del presidente (31.000 y 72.000 CHF), asesoría y alquileres de la sociedad de Brüesch (132.000 y 131.000 CHF) y el contrato de asesoría de Syfrig [21].</w:t>
      </w:r>
    </w:p>
    <w:p>
      <w:pPr>
        <w:pStyle w:val="Heading2"/>
      </w:pPr>
      <w:r>
        <w:t xml:space="preserve">Señales de alerta</w:t>
      </w:r>
    </w:p>
    <w:p>
      <w:pPr>
        <w:pStyle w:val="ListParagraph"/>
        <w:numPr>
          <w:ilvl w:val="0"/>
          <w:numId w:val="2"/>
        </w:numPr>
        <w:spacing w:after="60"/>
      </w:pPr>
      <w:r>
        <w:t xml:space="preserve">Votos en contra altos en la junta de 2026: 26,42 % contra la reelección del presidente, 26,94 % contra Syfrig, 29,50 % contra Brüesch, 32,74 % contra el presidente como miembro del comité de remuneración y 21,72 % contra el auditor KPMG [22].</w:t>
      </w:r>
    </w:p>
    <w:p>
      <w:pPr>
        <w:pStyle w:val="ListParagraph"/>
        <w:numPr>
          <w:ilvl w:val="0"/>
          <w:numId w:val="2"/>
        </w:numPr>
        <w:spacing w:after="60"/>
      </w:pPr>
      <w:r>
        <w:t xml:space="preserve">El comité de auditoría lo preside Marco Syfrig, antiguo CEO (hasta 2021) y consejero ejecutivo con contrato de asesoría; de sus tres miembros solo uno es independiente [21].</w:t>
      </w:r>
    </w:p>
    <w:p>
      <w:pPr>
        <w:pStyle w:val="ListParagraph"/>
        <w:numPr>
          <w:ilvl w:val="0"/>
          <w:numId w:val="2"/>
        </w:numPr>
        <w:spacing w:after="60"/>
      </w:pPr>
      <w:r>
        <w:t xml:space="preserve">No hay auditoría interna [21].</w:t>
      </w:r>
    </w:p>
    <w:p>
      <w:pPr>
        <w:pStyle w:val="ListParagraph"/>
        <w:numPr>
          <w:ilvl w:val="0"/>
          <w:numId w:val="2"/>
        </w:numPr>
        <w:spacing w:after="60"/>
      </w:pPr>
      <w:r>
        <w:t xml:space="preserve">El margen de capital permite emitir hasta un 9,8 % de acciones nuevas sin derecho de suscripción preferente para compras de empresas, hasta mayo de 2028 [32, 33].</w:t>
      </w:r>
    </w:p>
    <w:p>
      <w:pPr>
        <w:pStyle w:val="ListParagraph"/>
        <w:numPr>
          <w:ilvl w:val="0"/>
          <w:numId w:val="2"/>
        </w:numPr>
        <w:spacing w:after="60"/>
      </w:pPr>
      <w:r>
        <w:t xml:space="preserve">KPMG audita la sociedad desde 2002, 24 años; el socio firmante rota en 2028 [21].</w:t>
      </w:r>
    </w:p>
    <w:p>
      <w:pPr>
        <w:pStyle w:val="ListParagraph"/>
        <w:numPr>
          <w:ilvl w:val="0"/>
          <w:numId w:val="2"/>
        </w:numPr>
        <w:spacing w:after="60"/>
      </w:pPr>
      <w:r>
        <w:t xml:space="preserve">El presidente lleva 23 años en el cargo y Willy Hüppi 20 años en el consejo; no hay vicepresidente ni consejero coordinador [21].</w:t>
      </w:r>
    </w:p>
    <w:p>
      <w:pPr>
        <w:pStyle w:val="ListParagraph"/>
        <w:numPr>
          <w:ilvl w:val="0"/>
          <w:numId w:val="2"/>
        </w:numPr>
        <w:spacing w:after="60"/>
      </w:pPr>
      <w:r>
        <w:t xml:space="preserve">Un consejero no ejecutivo vendió acciones por unos 7,5 M CHF entre noviembre de 2025 y abril de 2026; las ventas de abril (2,5 M CHF a ≈187 CHF) coinciden con el máximo de 52 semanas del 22-abr-2026 [31]. Cuadran con las 36.430 acciones que dejó de tener Willy Hüppi en 2025, pero la SIX no publica el nombre [21, 31].</w:t>
      </w:r>
    </w:p>
    <w:p>
      <w:pPr>
        <w:pStyle w:val="ListParagraph"/>
        <w:numPr>
          <w:ilvl w:val="0"/>
          <w:numId w:val="2"/>
        </w:numPr>
        <w:spacing w:after="60"/>
      </w:pPr>
      <w:r>
        <w:t xml:space="preserve">El bonus anual de la dirección se pagó al 100 % del máximo en 2024 y 2025; la retribución variable recibió más del 22 % de votos en contra en las tres últimas juntas [21, 22, 23, 24].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el informe semestral (firmado el 4-sep-2026 y publicado el 7-sep-2026) la dirección confirmó la guía del ejercicio dada con los resultados de 2025: espera que el BPA de 2026 vuelva a crecer «moderadamente» frente a los 5,78 CHF de 2025. El primer semestre cerró con un BPA de 2,44 CHF (+8,0 %), un beneficio de 25,9 M CHF (+8,1 %), un EBIT de 31,1 M (+5,2 %) y ventas planas de 587,3 M CHF (586,8 M en 1S25) [21]. No publica objetivos cuantitativos a medio plazo de ventas ni de márgenes; la estrategia de crecimiento se apoya en compras pequeñas (cinco hasta junio de 2026 y AZ systems en septiembre)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 analistas [37]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 analistas [37]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 analistas [37]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135,00 – 180,00</w:t>
            </w:r>
          </w:p>
        </w:tc>
      </w:tr>
    </w:tbl>
    <w:p>
      <w:pPr>
        <w:spacing w:after="160" w:before="0"/>
      </w:pPr>
    </w:p>
    <w:p>
      <w:pPr>
        <w:pStyle w:val="Heading2"/>
      </w:pPr>
      <w:r>
        <w:t xml:space="preserve">Revisiones de estimaciones</w:t>
      </w:r>
    </w:p>
    <w:p>
      <w:pPr>
        <w:spacing w:after="100"/>
      </w:pPr>
      <w:r>
        <w:t xml:space="preserve">MarketScreener no publica en texto el historial de revisiones (solo un gráfico), así que no hay cifras de cambio a 3 y 12 meses [38]. Hechos: el consenso de 2026 espera ventas de 1.192 M CHF, por debajo de los 1.208 M de 2025, coherente con un primer semestre de ventas planas (587,3 M) [21, 37]; el BPA esperado de 2026 (6,21 CHF) supone +7,5 % sobre 2025 y exige un segundo semestre por encima de 3,77 CHF frente a los 3,52 CHF del 2S25 [21, 37]. La acción cayó un 8,4 % el día siguiente a la publicación del semestre [35].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multiplicó su precio por más de dos entre 2021 y el máximo de 192,40 CHF del 22-abr-2026: subió un 60,2 % en 2025, cuando la fusión con poenina ya se veía en el BPA y el mercado buscó valores suizos defensivos [35]. Desde abril ha caído un 36,1 %, hasta el mínimo de 116,60 CHF del 15-sep-2026, y en el año pierde un 8,5 % frente al +7,1 % del SPI [35]. La mayor caída diaria, −8,4 % el 8-sep-2026, llegó con el semestre: ventas planas pese a cinco compras [6, 35]. A cinco años rinde un 18,5 % anual frente al 6,5 % del SPI; a diez años, solo un 4,5 % frente al 9,4 %, porque en 2017-2020 el negocio eléctrico perdió la mitad del margen y la acción, un 52 % [5, 35]. Beta de 0,58 frente al SPI y volatilidad del 23 %. Liquidez baja: unos 2,7 M CHF al día [35]. En Suiza no hay registro público de posiciones cortas [31].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Burkhalter cotiza a 15,7 veces el EBITDA y a 20,9 veces el beneficio de los últimos 12 meses, con una prima del 22 % y del 17 % sobre sus medias de los seis cierres de 2020-2025 (12,9 y 17,8 veces), en el percentil 67 [35]. La subida del múltiplo se explica por tres cambios: la fusión con poenina, que dio un grupo más grande y diversificado; unos tipos suizos muy bajos (el bono a 10 años rinde el 0,59 %) [51], y el atractivo de un dividendo del 4 % en francos. Tras la caída desde abril, el múltiplo ya no está en máximos (en el cierre de 2025, 24,3 veces el beneficio) [35], pero tampoco en la zona de 2021-2022 (15,8-16,2 veces), cuando el crecimiento orgánico era parecido al actual.</w:t>
      </w:r>
    </w:p>
    <w:p>
      <w:pPr>
        <w:pStyle w:val="Heading1"/>
      </w:pPr>
      <w:r>
        <w:t xml:space="preserve">18. Comparables cotizados</w:t>
      </w:r>
    </w:p>
    <w:p>
      <w:pPr>
        <w:pStyle w:val="Confianza"/>
        <w:spacing w:after="100"/>
      </w:pPr>
      <w:r>
        <w:t xml:space="preserve">Confianza: Media</w:t>
      </w:r>
    </w:p>
    <w:p>
      <w:pPr>
        <w:spacing w:after="100"/>
      </w:pPr>
      <w:r>
        <w:t xml:space="preserve">Seis instaladores y prestadores de servicios técnicos de edificios cotizados: los nórdicos Bravida e Instalco, con el mismo modelo de red de filiales locales y compras pequeñas; SPIE, que también compra en Suiza; EMCOR, el mayor de EE. UU.; Implenia, constructora suiza del mismo mercado final, y Bilfinger, servicios técnicos industriales [40, 41, 42, 43, 45, 46]. Comfort Systems USA sale de la mediana: crece un 31 % anual por los centros de datos y cotiza a 21,4 veces el EBITDA de los próximos 12 meses [44]. Ninguno es un comparable puro: ningún otro instalador cotizado vende solo en Suiza.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Burkhalter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Bravida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Implenia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Bilfinger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 / 8,0x / 10,5x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9,9x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16,1x / 16,9x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 / 1,0x / 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3,0 + 0,69 × crecimiento; R² = 0,79. Para el crecimiento esperado de la empresa (3,8 %), el múltiplo ajustado es 5,6x y el valor por acción, 49,28.</w:t>
      </w:r>
    </w:p>
    <w:p>
      <w:pPr>
        <w:spacing w:after="100"/>
      </w:pPr>
      <w:r>
        <w:t xml:space="preserve">Burkhalter cotiza a 14,2 veces el EBITDA de los próximos 12 meses y 19,1 veces el beneficio, frente a medianas de 8,0 y 16,1 veces de sus comparables, con menos crecimiento esperado (3,8 % frente a 7,8 %) y un margen EBITDA menor (6,9 % frente a 8,6 %) [40, 41, 42, 43, 44, 45, 46]. Parte de la prima es contable: los comparables en NIIF 16 sacan el alquiler del EBITDA y Burkhalter no, lo que eleva su EV/EBITDA; por eso el PER es la referencia más limpia. Otra parte es la divisa: el bono suizo rinde el 0,59 %, unos tres puntos menos que el Bund, y un franco a ese tipo justifica múltiplos más altos [51]. Aun así, a la mediana del PER valdría 105,24 CHF y a la del EV/EBITDA, 70,33 CHF. La regresión múltiplo-crecimiento (R² de 0,79) daría 49,28 CHF, pero mezcla crecimiento comprado y crecimiento de centros de datos: no se usa. Pesan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Poenina Holding AG (Suiza; fontanería, climatización, cubiertas)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Burkhalter Holding AG (fusión por canje de acciones)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entre iguales por canje: IFBC juzgó adecuada una relación de 0,73 acciones de Burkhalter por acción de Poenina (horquilla 0,55-0,97); la relación implícita en bolsa era 0,72. Poenina: ingresos de explotación 383,2 M y EBITDA 25,6 M CHF en 2021; capitalización 281,4 M a 25-mar-2022 (Burkhalter: 545,5 M, 32,6 M y 395,9 M) [48]. Sin prima de control publicada.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Equans (servicios técnicos y de instalaciones, Francia y 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Bouygues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100 % de 7.100 M EUR incluida la deuda por arrendamientos NIIF 16 (6.700 M EUR sin ella según Bouygues), convertido a CHF a 0,9313 (tipo del corte) [49]. Bouygues dio el múltiplo sobre el resultado operativo corriente de 2026 (11,4x, con sinergias), no sobre el EBITDA: no se usa.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Caverion (instalaciones técnicas de edificios, Finlandia y norte de 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Triton (Crayfish BidCo), en puja con Bain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inicial de 8,00 EUR por acción (≈ 1.092 M EUR de fondos propios), subida a 8,95 EUR y ajustada a 8,75 EUR tras el dividendo; prima del 86,6 % sobre el cierre de 4,69 EUR anterior a la primera oferta de Bain [50]. No se publicó un múltiplo de EBITDA del valor empresa.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Caverion (escisión de YIT)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(escisión)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transacción europea comparable con datos públicos según IFBC (Refinitiv): valor empresa sobre EBITDA de los 12 meses previos de 9,93x [48]. Fuera del periodo de 5-7 años y sin prima de control: solo referencia.</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No hay transacciones con múltiplo publicado que sirvan: la compra de Equans por Bouygues (7.100 M EUR) se publicó sobre el resultado operativo de 2026 con sinergias, la de Caverion por Triton solo con la prima (86,6 %) y la fusión con poenina fue un canje de acciones sin prima de control [48, 49, 50]. La única referencia con múltiplo, la salida a bolsa de Caverion en 2013 (9,9 veces el EBITDA), es antigua y no lleva control [48]. Las transacciones no pesan en el valor objetivo. Burkhalter es opable en teoría (sin accionista de control, una acción un voto y sin cláusulas de cambio de control), pero el mayor accionista, la familia Grogg con el 14,2 %, no ha dado señales de vender [21, 30].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+0,8 % (año fijo): el semestre cerró con ventas planas (+0,1 %) pese a cinco compras, y las seis compras de 2026 aportan unos 20 M de ventas anuales, menos del 2 % [6]. El consenso espera incluso una caída (1.192 M) [37]. 2027e-2028e +2,5 %: orgánico, sin compras, con un punto de volumen (renovación energética, bombas de calor y fotovoltaica) y uno y medio de precio; la previsión del KOF para la inversión en construcción es de +1,9 % en 2026 y +1,5 % en 2027 [9]. Luego baja hasta el 1,0 % de 2032e. El consenso (+8,1 % en 2027e) incluye compras [37]. No proyectamos compras porque exigirían proyectar también su precio.</w:t>
      </w:r>
    </w:p>
    <w:p>
      <w:pPr>
        <w:keepNext/>
        <w:spacing w:after="100"/>
      </w:pPr>
      <w:r>
        <w:rPr>
          <w:b/>
          <w:bCs/>
        </w:rPr>
        <w:t xml:space="preserve">Márgenes.</w:t>
      </w:r>
    </w:p>
    <w:p>
      <w:pPr>
        <w:spacing w:after="100"/>
      </w:pPr>
      <w:r>
        <w:t xml:space="preserve">Margen EBITDA del 7,2 % en 2026e, coherente con un primer semestre del 6,0 % (5,8 % un año antes) y un segundo semestre que en 2024-2025 dio el 7,6-7,9 % [1, 6]. Sube al 7,4 % en 2028e y se queda ahí. Es el máximo de la serie (6,9 % en 2025) más medio punto, por debajo del consenso (7,6 % en 2028e) [37]. El margen no tiene recorrido largo: los contratos se licitan, suele ganar el precio más bajo y el personal es el 43,5 % de los ingresos operativos [1].</w:t>
      </w:r>
    </w:p>
    <w:p>
      <w:pPr>
        <w:keepNext/>
        <w:spacing w:after="100"/>
      </w:pPr>
      <w:r>
        <w:rPr>
          <w:b/>
          <w:bCs/>
        </w:rPr>
        <w:t xml:space="preserve">Inversión y circulante.</w:t>
      </w:r>
    </w:p>
    <w:p>
      <w:pPr>
        <w:spacing w:after="100"/>
      </w:pPr>
      <w:r>
        <w:t xml:space="preserve">Capex del 0,9 % de las ventas y amortización del 0,8 %, los de 2025 (0,8 % y 0,8 %) y por debajo del 1,2 % de 2023-2024 [1]. Sin NIIF 16, el alquiler ya está en el EBITDA y no hace falta sumarlo al capex. Circulante comercial con obra en curso y anticipos del 11 % de las ventas, el de 2025 (10,9 %), por debajo del 14-18 % de 2022-2024: ojo, en el 1S26 la obra pendiente de facturar subió hasta 183,9 M [6]. Tipo impositivo del 16,5 % (16,4 % en 2025) [1].</w:t>
      </w:r>
    </w:p>
    <w:p>
      <w:pPr>
        <w:keepNext/>
        <w:spacing w:after="100"/>
      </w:pPr>
      <w:r>
        <w:rPr>
          <w:b/>
          <w:bCs/>
        </w:rPr>
        <w:t xml:space="preserve">Coste del capital.</w:t>
      </w:r>
    </w:p>
    <w:p>
      <w:pPr>
        <w:spacing w:after="100"/>
      </w:pPr>
      <w:r>
        <w:t xml:space="preserve">Tasa libre del 0,59 %, el bono de la Confederación a 10 años del 30-sep-2026 [51]. Beta de 0,90: entre la ajustada de la acción frente al SPI (0,72 mensual y 0,79 semanal a cinco años) y la sectorial desapalancada de Damodaran (1,09-1,14), porque el SPI es un índice defensivo y la poca liquidez rebaja la beta medida [35, 53]. Prima de mercado del 5,5 % y prima adicional de un punto por tamaño (1.328 M CHF) y liquidez (2,7 M CHF diarios). Deuda del 3 % a un 2,0 % (hipotecas al 0,8-2,21 %) [1]. Coste del capital del 6,54 % y WACC del 6,39 %; con la prima implícita del mercado (4,20 %), el 5,26 % [52].</w:t>
      </w:r>
    </w:p>
    <w:p>
      <w:pPr>
        <w:keepNext/>
        <w:spacing w:after="100"/>
      </w:pPr>
      <w:r>
        <w:rPr>
          <w:b/>
          <w:bCs/>
        </w:rPr>
        <w:t xml:space="preserve">Valor terminal.</w:t>
      </w:r>
    </w:p>
    <w:p>
      <w:pPr>
        <w:spacing w:after="100"/>
      </w:pPr>
      <w:r>
        <w:t xml:space="preserve">Crecimiento a perpetuidad del 1,0 %: la inflación esperada del franco, sin crecimiento real, porque el mercado de construcción suizo lleva siete años plano en términos nominales (66.672 M CHF en 2017 y 67.376 M en 2024) [13]. Con el bono al 0,59 %, un terminal del 2 % sería incoherente. El múltiplo de salida implícito es de 13,4 veces el EBITDA, por debajo del actual (15,7 veces) y por encima de la mediana de los comparables (8,0 veces), que cotizan con tipos más altos.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(hoy: 5,9 %)</w:t>
            </w:r>
          </w:p>
        </w:tc>
      </w:tr>
    </w:tbl>
    <w:p>
      <w:pPr>
        <w:spacing w:after="160" w:before="0"/>
      </w:pPr>
    </w:p>
    <w:p>
      <w:pPr>
        <w:spacing w:after="100"/>
      </w:pPr>
      <w:r>
        <w:t xml:space="preserve">La proyección apenas necesita inversión neta de la amortización (reinversión acumulada de 26 M, el 5 % del NOPAT, con un capex bruto medio del 0,9 % de las ventas). En un negocio de activos ligeros, el crecimiento medio del 1,8 % tiene que salir de subir precios y de ganar volumen sin capital nuevo, y la prueba es el poder de precios y la cuota (6,1 % del mercado en 2032e, frente al 5,9 %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Semestre plano (+0,1 %) con cinco compras; las seis compras del año suman ≈ 20 M de ventas anuales, ≈ 1 % del año; el orgánico es negativo (estimación propia)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en construcción +1,5 % (KOF) y renovación energética; sin compras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año de las deducciones fiscales por reformas antes de la supresión del valor locativo (no antes de 2028)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Electrificación (bombas de calor, fotovoltaica, cargadores) y Gebäudeprogramm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hacia la inflación del franco más un volumen pequeño.</w:t>
            </w:r>
          </w:p>
        </w:tc>
      </w:tr>
    </w:tbl>
    <w:p>
      <w:pPr>
        <w:spacing w:after="160" w:before="0"/>
      </w:pPr>
    </w:p>
    <w:p>
      <w:pPr>
        <w:spacing w:after="100"/>
      </w:pPr>
      <w:r>
        <w:t xml:space="preserve">Sí. El crecimiento que proyectamos es modesto (1,9 % anual en 2027e-2032e), apenas necesita capital (reinversión del 5 % del beneficio operativo después de impuestos) y deja la cuota en torno al 6 % de un mercado de instalaciones de unos 20.300 M CHF que suponemos crece un 1,5 % anual hasta 22.500 M en 2032e (estimación propia) [1, 14, 15]. No pide ganar cuota ni poder de precios por encima de la inflación de salarios. El matiz: el orgánico de 2026 es negativo y Burkhalter no ha demostrado poder de precios (margen EBIT del 5,4-6,1 % en 2021-2025); su crecimiento de los últimos años ha sido comprado [1]. El foso es estrecho.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 (base: 1,9 %)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(base: 7,4 %)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6,4 %)</w:t>
            </w:r>
          </w:p>
        </w:tc>
      </w:tr>
    </w:tbl>
    <w:p>
      <w:pPr>
        <w:spacing w:after="160" w:before="0"/>
      </w:pPr>
    </w:p>
    <w:p>
      <w:pPr>
        <w:spacing w:after="100"/>
      </w:pPr>
      <w:r>
        <w:t xml:space="preserve">El DCF da 119,25 CHF por acción, un 4,3 % por debajo del precio de 124,60 CHF, con un 73 % del valor en el terminal y un múltiplo de salida implícito de 13,4 veces el EBITDA. </w:t>
      </w:r>
      <w:r>
        <w:rPr>
          <w:b/>
        </w:rPr>
        <w:t xml:space="preserve">El precio descuenta más crecimiento del que el negocio ha dado sin compras.</w:t>
      </w:r>
      <w:r>
        <w:t xml:space="preserve"> El DCF inverso dice que los 124,60 CHF suponen un crecimiento de las ventas del 3,3 % anual en 2027e-2032e con nuestros márgenes, frente al 1,9 % de nuestro caso base; o, con nuestro crecimiento, un margen EBITDA del 7,7 % para siempre, por encima del máximo de la serie (6,9 % en 2025). Comprar a este precio rinde un 6,2 % anual si se cumple el caso base, casi igual que el WACC del 6,4 % y por encima del 5,3 % que pide hoy el mercado. No es una valoración exigente en términos absolutos: es la de un bono en francos con un dividendo del 4,2 %. El valor es muy sensible a la tasa: con el WACC y el crecimiento terminal medio punto más favorables, 143,07 CHF; medio punto peor, 102,84 CHF.</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suiza se frena (como en 2017-2020, cuando el margen EBIT del negocio eléctrico bajó del 7,4 % al 3,8 %) y el fin de las deducciones por reformas desde 2028 corta la renovación: ventas −6 % en 2027 y −3 % en 2028, margen EBITDA 1,5 puntos menor esos dos años y un punto menos para siempre por licitaciones y salarios; medio punto más de WACC [1, 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2,0-2,5 % en 2027-2028 que converge al 1 %, margen EBITDA del 7,4 % y sin compras; el dividendo sigue en el 90 %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electrificación de los edificios y el Gebäudeprogramm llevan el orgánico al 4-4,5 % y el margen al 8,1 %, el nivel de los segundos semestres de 2024-2025; ventas un 4 % anual de media.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CHF) · precio actual 12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114,54 CHF (-8,1 %).</w:t>
      </w:r>
    </w:p>
    <w:p>
      <w:pPr>
        <w:spacing w:after="100"/>
      </w:pPr>
      <w:r>
        <w:t xml:space="preserve">La asimetría es desfavorable: el alcista vale 141,36 CHF (+13,5 %) y el bajista 78,28 CHF (−37,2 %), 0,36 veces. El bajista no es cosmético: Burkhalter ya vivió una caída así en 2017-2020, cuando con ventas planas el EBIT del negocio eléctrico pasó de 37,9 M a 18,7 M y la acción perdió la mitad [5, 35]. Pierde tanto porque con un WACC del 6,4 % y un crecimiento terminal del 1 % cada punto de margen permanente vale mucho. El valor ponderado es de 114,54 CHF (−8,1 %). Con la prima de riesgo que hoy pide el mercado (4,20 %) el bajista sube a 95,62 CHF y el alcista a 179,38 CHF: la asimetría pasa a 1,89 veces. La conclusión depende de la tasa de descuento más que de las cifras.</w:t>
      </w:r>
    </w:p>
    <w:p>
      <w:pPr>
        <w:pStyle w:val="Heading1"/>
      </w:pPr>
      <w:r>
        <w:t xml:space="preserve">22. Suma de partes</w:t>
      </w:r>
    </w:p>
    <w:p>
      <w:pPr>
        <w:pStyle w:val="Confianza"/>
        <w:spacing w:after="100"/>
      </w:pPr>
      <w:r>
        <w:t xml:space="preserve">Confianza: Media</w:t>
      </w:r>
    </w:p>
    <w:p>
      <w:pPr>
        <w:spacing w:after="100"/>
      </w:pPr>
      <w:r>
        <w:t xml:space="preserve">No se usa. Burkhalter publica un solo segmento y no separa las ventas de electricidad (unas 50 sociedades) y de climatización y fontanería (unas 33) [1]. Sin cifras por negocio, una suma de partes sería inventada.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CHF) · precio actual 12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111,78 CHF (-10,3 % sobre 124,60).</w:t>
      </w:r>
    </w:p>
    <w:p>
      <w:pPr>
        <w:spacing w:after="100"/>
      </w:pPr>
      <w:r>
        <w:t xml:space="preserve">Pesos: DCF 55 %, escenarios 25 % y comparables 20 %; transacciones, cero. El DCF manda porque la caja de Burkhalter es predecible (conversión del 127 % del beneficio en flujo libre en 2020-2025, ayudada por el cobro de clientes) y el negocio apenas necesita capital. Los escenarios pesan un 25 % porque el riesgo de margen es real y tiene precedente. Los comparables pesan solo un 20 % porque mezclan normas contables y divisas con tipos de interés mucho más altos; dan 87,79 CHF. No hay transacciones con múltiplo utilizable. Todos los métodos quedan por debajo del precio: el DCF un 4,3 %, los escenarios un 8,1 % y los comparables un 29,5 %. El valor objetivo, 111,78 CHF, queda por debajo del precio objetivo medio de los analistas (148,18 CHF) y de su mínimo (135 CHF) [38]. Con la prima implícita del mercado, el valor objetivo sería de 136,60 CHF.</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(19.7x) ÷ 1.1 (tope: la mediana de 5 años, 15.7x,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r>
    </w:tbl>
    <w:p>
      <w:pPr>
        <w:spacing w:after="160" w:before="0"/>
      </w:pPr>
    </w:p>
    <w:p>
      <w:pPr>
        <w:spacing w:after="100"/>
      </w:pPr>
      <w:r>
        <w:rPr>
          <w:b/>
          <w:bCs/>
        </w:rPr>
        <w:t xml:space="preserve">Objetivo a 12 meses (ponderado):</w:t>
      </w:r>
      <w:r>
        <w:t xml:space="preserve"> 107,99 CHF · rentabilidad -9,2 % (base -1,4 %) · señal Mantener.</w:t>
      </w:r>
    </w:p>
    <w:p>
      <w:pPr>
        <w:spacing w:after="100"/>
      </w:pPr>
      <w:r>
        <w:t xml:space="preserve">Para comparar, con la regla v2 (historia al cierre, mismo precio): 15,8x / 16,9x / 18,4x, -9,4 % Mantener; con el tope anterior del base (×1,3, 14-oct mediodía): -10,0 % Mantener. Decide la regla vigente (v3 con tope ×1,1; METODO-VIGENTE.md).</w:t>
      </w:r>
    </w:p>
    <w:p>
      <w:pPr>
        <w:keepNext/>
        <w:spacing w:after="100"/>
      </w:pPr>
      <w:r>
        <w:rPr>
          <w:b/>
          <w:bCs/>
        </w:rPr>
        <w:t xml:space="preserve">Frente al consenso (solo contraste).</w:t>
      </w:r>
    </w:p>
    <w:p>
      <w:pPr>
        <w:spacing w:after="100"/>
      </w:pPr>
      <w:r>
        <w:t xml:space="preserve">Nuestro BPA base de 2028e (6,57) se separa un -8,8 % del consenso (7,20) y nuestro precio base (111,03) un -25,1 % del objetivo medio de los analistas (148,18).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111,78 (-10,3 %) frente al objetivo a 12 meses ponderado 107,63 (-9,4 % con dividendo; base -6,7 %).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Oct-dic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anunciadas por ad hoc (Plasco AG el 1-oct-2026) y previsión de invierno del KOF para la construcción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compras pequeñas sostienen las ventas publicadas; una previsión de construcción por debajo del +1 % para 2027 confirmaría el riesgo de volumen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Cumplir la guía exige un BPA por encima de 5,78 CHF; el mercado mirará el orgánico del segundo semestre y la obra pendiente de facturar (183,9 M a junio)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de 2026 y votos de remuneración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5,51 CHF; un voto en contra de la retribución variable por encima del 25 % por cuarto año seguido presionaría al consejo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orgánico sin el efecto de las compras de 2026 y del margen del primer semestre (6,0 %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entrada en vigor de la supresión del valor locativo (no antes de 2028) y continuidad del Gebäudeprogramm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reformas hasta su entrada en vigor y puede frenarlas después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las reservas de aportaciones de capital para el dividendo exento de retención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neto para el inversor suizo baja; puede restar demanda de la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negativo tapado por compras: ventas del 1S26 +0,1 % con cinco compras, facturación de 559,0 a 517,8 M y obra pendiente de facturar al alza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−20 % si el orgánico se queda en cero (estimación propia con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5-6 meses y renovación energética apoyada por el Gebäudeprogramm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2S26 por debajo de 620 M o facturación del año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en márgenes por licitaciones al precio más bajo y por la falta de técnicos (personal = 43,5 % de los ingresos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−37,2 % (escenario bajista: 78,28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para compras de material y 1.031 aprendices propios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1S27 por debajo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los tipos suizos: el valor descansa en un bono al 0,59 %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con medio punto más de WACC y medio menos de crecimiento terminal (102,84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dividendo alto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la Confederación a 10 años por encima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más caras y de peor calidad por la competencia de SPIE y BKW por las mismas empresas locales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y pagadas en caja; 47 desde 2008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compensado por compra por encima de 2 veces las ventas compradas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ventaja fiscal del dividendo (reservas de aportaciones de capital para unos tres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(menor demanda de inversores suizos;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Payout del 90 % que se mantiene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dividendo sin tramo de reservas de capital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comité de auditoría presidido por un antiguo CEO, sin auditoría interna, votos en contra de más del 22 % a la retribución variable y ventas de un consejero (≈ 7,5 M CHF en 2025-2026)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cumplida cinco años seguidos; sin accionista de control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auditor, salida del CFO o nuevas ventas de consejeros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Dirección de dos personas con 87 filiales que reportan al CEO, sin plan de sucesión publicado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 clave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interna ordenada en 2022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imprevista del CEO o del CFO</w:t>
            </w:r>
          </w:p>
        </w:tc>
      </w:tr>
    </w:tbl>
    <w:p>
      <w:pPr>
        <w:spacing w:after="160" w:before="0"/>
      </w:pPr>
    </w:p>
    <w:p>
      <w:pPr>
        <w:pStyle w:val="Heading2"/>
      </w:pPr>
      <w:r>
        <w:t xml:space="preserve">Pre-mortem</w:t>
      </w:r>
    </w:p>
    <w:p>
      <w:pPr>
        <w:spacing w:after="100"/>
      </w:pPr>
      <w:r>
        <w:t xml:space="preserve">Octubre de 2029: la acción ha caído un 40 %, a unos 75 CHF. La historia más probable empieza el 12-abr-2027: Burkhalter cumple la guía de BPA de 2026 gracias a las compras y al margen, pero la facturación orgánica cae por segundo año y la obra pendiente de facturar se convierte en descuentos. En 2028 entra en vigor la supresión del valor locativo y los propietarios dejan de adelantar reformas; la construcción suiza se estanca. Las licitaciones se deciden por precio y los salarios de los electricistas suben por la falta de técnicos: el margen EBITDA vuelve al 5,5 % de los primeros semestres, como en 2017-2020 con el negocio eléctrico. El dividendo baja con el beneficio y pierde la exención de las reservas de capital; los inversores suizos que la tenían como bono la venden. Con los tipos suizos de vuelta al 1 %, el mercado deja de pagar 20 veces el beneficio. El indicador que lo habría anticipado: las ventas planas del 1S26 con cinco compras y el salto de la obra pendiente de facturar de 27,8 a 69,5 M.</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Hay tres asuntos que mueven las cifras. El primero son las personas: el personal es el 43,5 % de los ingresos operativos [1], la rotación (sin aprendices) fue del 14,5 % en 2025 con objetivo del 12 % en 2030, y forma a 1.031 aprendices [1, 10]. El segundo, la seguridad laboral: 658 accidentes laborales en 2025 (694 en 2024), un índice de accidentes de 15,3 (15,9 en 2024) con objetivo de 14 en 2030 y ningún fallecido entre 2023 y 2025 [10]. El tercero, el clima como oportunidad de negocio: la empresa vive de la renovación energética. Sus emisiones propias son pequeñas (9.964 t CO₂e de alcance 1+2, ≈ 92 % de la flota de vehículos), con el objetivo de que dos tercios de los vehículos de mandos sean eléctricos en 2028 y de que más del 50 % de los proveedores con acuerdo marco tengan objetivos climáticos en 2030 [9, 10].</w:t>
      </w:r>
    </w:p>
    <w:p>
      <w:pPr>
        <w:pStyle w:val="Heading2"/>
      </w:pPr>
      <w:r>
        <w:t xml:space="preserve">Controversias</w:t>
      </w:r>
    </w:p>
    <w:p>
      <w:pPr>
        <w:spacing w:after="100"/>
      </w:pPr>
      <w:r>
        <w:t xml:space="preserve">En los informes de sostenibilidad de 2023-2025 no constan denuncias por corrupción ni por infracciones de la competencia (0 cada año) ni reclamaciones de protección de datos [10]. Registra una infracción significativa de la ley en 2024 y ninguna en 2023 ni en 2025, sin detallar cuál [10]. El canal de denuncias recibió 5 avisos en 2025 (3 en 2024); ninguno llegó al consejo [10]. No se han buscado controversias en prensa.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crecimiento orgánico del 1S26 y por qué la facturación cayó un 7 % mientras la obra pendiente de facturar subía de 27,8 a 69,5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2026 es un bache o el principio de una caída del volumen; el precio descuenta un 3,3 %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subida del margen del 1S26 se debe a menos servicios de terceros y cuánto es sostenible si el volumen cae?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permanente mueve el valor en torno a un 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de EBITDA se han pagado las compras de 2024-2026 y cuánto aportaron al EBIT?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fondo de comercio se compensa contra el patrimonio y no se puede comprobar si las compras crean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política de dividendo habrá cuando se agoten las reservas de aportaciones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exento es buena parte del atractivo para el inversor suizo.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cartera actual son reformas que los propietarios adelantan por la supresión del valor locativo?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relevante, 2028-2029 tendrían un hueco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preside el comité de auditoría un antiguo CEO con contrato de asesoría y por qué no hay auditoría interna con 87 sociedades?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principal debilidad de control en un grupo descentralizado que contabiliza obra por grado de avance.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para el CEO y el CFO, y existe parentesco entre el CFO y el presidente?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son dos personas y el parentesco no se publica.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Neutro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artículo «Schweizer Dividenden-Aktie löst sich von 18-Monate-Tief» y sus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prensa suiza leyó el semestre en dos sentidos: rentabilidad por encima de lo esperado y flujo de caja «sólido», con una rentabilidad por dividendo comparable a la de Swiss Re o Swisscom, frente a un crecimiento orgánico inesperadamente débil y la recogida de beneficios tras el máximo de abril. Zürcher Kantonalbank mantiene «ponderar como el mercado» y lo presenta como una apuesta pura por Suiza [55]. Los comentarios de lectores no muestran debate.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Global, «Burkhalter Aktie: Kurs stürzt 7 Prozent ab» (sección de discusión)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Atribuye la caída del 8-sep a las ventas estancadas y al escepticismo sobre el crecimiento orgánico, más una guía de BPA solo «moderadamente» al alza; la sección de discusión no tiene mensajes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ficha de la acción (foro, señales de theScreener y resumen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de la acción no tiene mensajes. Los cuatro analistas que recoge están en neutral (las dos últimas notas, del 10-sep y del 16-sep, mantienen) y el indicador de theScreener marca sentimiento negativo de los analistas desde el 17-jul-2026. La última noticia es una compra pequeña en el Valais (1-oct-2026)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comentarios de BRKN; wikifolio (carteras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comentarios en Investing.com ni operaciones destacadas o comentarios de gestores en wikifolio: la acción apenas se discute entre particulares fuera de Suiza [58, 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negativo tras seis compras en 2026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 dan la razón: ventas del 1S26 +0,1 % pese a seis compras en el año, con la facturación a la baja y más obra pendiente de facturar (sección de resultados recientes); el orgánico es probablemente negativo. La prensa lo señaló como la causa de la caída [55, 56].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alto y defensivo (rentabilidad ≈ 4,2-4,3 %)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a corto plazo (5,20 CHF por acción), pero el reparto ronda el 90 % del beneficio y la mitad sale de reservas de aportaciones de capital con fecha de caducidad (sección de asignación de capital). La prensa lo usa como argumento defensivo [55].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caja mejor de lo esperado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del 1S26 subió un 8,0 % y el EBIT un 5,2 % con ventas planas; los analistas citados por la prensa califican el flujo de caja de sólido [55].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la prima defensiva tras el máximo de abril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desde el máximo de abril (192,40 CHF) ya ha recortado el múltiplo: el PER ha pasado de unas 24 veces al cierre de 2025 a unas 21 veces el BPA de los últimos 12 meses (sección de múltiplos históricos). La prensa habla de recogida de beneficios [55].</w:t>
            </w:r>
          </w:p>
        </w:tc>
      </w:tr>
    </w:tbl>
    <w:p>
      <w:pPr>
        <w:spacing w:after="160" w:before="0"/>
      </w:pPr>
    </w:p>
    <w:p>
      <w:pPr>
        <w:spacing w:after="100"/>
      </w:pPr>
      <w:r>
        <w:t xml:space="preserve">Burkhalter apenas se discute entre particulares: los foros de cash.ch, Investing.com y wikifolio no tienen mensajes recientes, y lo que hay es prensa suiza y analistas [55, 57, 58, 59]. Ese silencio tras una caída del 36 % desde el máximo no es capitulación, sino desinterés por un valor pequeño y de baja liquidez. El tono de la prensa coincide con el de los analistas (todos en mantener) y con el riesgo central del informe: un crecimiento orgánico negativo tapado por compras, frente a un margen que sigue subiendo [55, 56]. No aporta un riesgo nuevo ni contradice al consenso.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59 (33 primarias); citas distintas en el texto: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6,1 % en 2032e frente al 5,9 %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11,0 % frente a 10,9 % real: genera una variación de circulante de 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7,3x a 8,7x según qué comparable se quite (64,19 a 76,47 por acción): la muestra es frágil; explícalo y no le des mucho peso. Explicación: Seis comparables con bases contables distintas (NIIF 16 y US GAAP frente a Swiss GAAP FER sin arrendamientos): la mediana del EV/EBITDA es frágil y la valoración por comparables solo pesa un 20 %, con el PER como referencia principal.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Instalco (12,0x → 8,7x): el salto implica un crecimiento del EBITDA que no cuadra con el de las ventas. ¿EBITDA de proveedores distintos, o un cambio de perímetro? Explicación: Instalco: misma fuente (MarketScreener) para los dos múltiplos; el consenso espera un EBITDA muy superior al de 2025 con un crecimiento de ventas del 11 % que incluye compras. No se ha verificado la causa y no mueve la mediana de forma relevante.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-20,6 %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fuentes (33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17 del informe 2025 (solo tramos de vencimiento); 2) informe 2024; 3) presentación de resultados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(ventas por oficio: electricidad frente a HVACP)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3 de segmentos del informe 2025; 2) nota de segmentos del informe semestral 2026; 3) presentación de resultados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2026; 2) presentación 2026; 3) no hay consenso semestral en fuentes primarias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tamano (facturación del mercado de instalaciones técnicas)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y documentos de EIT.swiss (solo número de empresas y empleados); 2) suissetec (solo empresas y empleos); 3) búsqueda de estudios de mercado y del BFS por rama (no hay cifra pública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2021-2022 del gasto en construcción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BFS T 9.4.1.22 (2021 solo en tasas provisionales); 2) nota de prensa del BFS de 2023 (solo tasas); 3) opendata.swiss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y 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Previsión KOF (solo 2026-2027, en la presentación de Burkhalter); 2) asociaciones EIT.swiss y suissetec (sin cuotas); 3) informes anuales de Burkhalter, BKW y SPIE (sin cuotas en Suiza)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en Suiza de Bouygues E&amp;S, Groupe E Connect, Equans y otros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los grupos (no desglosan Suiza); 2) informe de SPIE (Suiza dentro de Europa Central); 3) búsqueda web sin cuentas públicas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no financiero 2025 (no cita calificaciones externas); 2) presentación de resultados de 2026 (apartado de estándares y ratings sin cifras legibles en el texto); 3) informe anual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votación de las juntas 2024-2026 [22, 23, 24]: dan votos totales, no el voto del capital libre; 2) no hay accionista de control ni pacto, así que no hay votos de control que descontar;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Parentesco entre el CFO Urs Domenig y el presidente Gaudenz F. Domenig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capítulo de gobierno corporativo y operaciones vinculadas (nota 28) [21]: no lo menciona; 2) informes 2021-2023 [27, 28, 29]: no lo mencionan; 3) búsqueda web: sin fuente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el reparto está en un gráfico sin texto; 2) Yahoo Finance: solo la recomendación media («hold») y 4 analistas; 3) web de la empresa (página de analistas): lista los cuatro bancos sin su recomendación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 estimaciones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solo gráfico; 2) Yahoo Finance: sin tendencia de estimaciones para BRKN.SW en la ficha; 3) prensa: sin cifras de revisión publicadas tras 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empresas[].roic_pct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páginas Finances de cada comparable: solo ROE; 2) Yahoo Finance (capital invertido de la ficha): definición distinta y otro proveedor; 3) cálculo propio con las cuentas de cada comparable: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operaciones[].ev_ebitda (mínimo de 3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Documentos oficiales: opinión de IFBC de la fusión Burkhalter-Poenina (sin EV/EBITDA de la operación), comunicado de ENGIE sobre Equans (solo valor empresa) y declaración del consejo de Caverion (sin múltiplo); 2) búsqueda de comunicados de Bouygues y Triton: el múltiplo publicado de Equans es sobre resultado operativo 2026 (11,4x), no EBITDA; 3) IFBC con datos de Refinitiv: solo la escisión de Caverion de 2013 (9,93x)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sectorial de Damodaran para Europa (Engineering/Construction)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betaEurope.xls de Damodaran con descargar.mjs: formato .xls antiguo (BIFF) ilegible sin librería; 2) betaEurope.xlsx: HTTP 404; 3) tabla HTML de EE. UU. (Betas.html): leída y usada como referencia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con debate (revisadas)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foros de cash.ch y finanzen.ch (sin mensajes; finanzen.ch y finanzen.net dan 403); 2) Investing.com, Stocktwits (403), wallstreet-online (sin hilo de Burkhalter) y wikifolio; 3) búsqueda web de debates y comentarios de lectores en prensa suiza y alemana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https://www.burkhalter.ch/fileadmin/buma/doc/Ueber_uns/Publikationen/2026/Burkhalter_FB_2025_EN.pdf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https://www.burkhalter.ch/fileadmin/buma/doc/Ueber_uns/Publikationen/2025/Burkhalter_FB_2024_EN.pdf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https://www.burkhalter.ch/fileadmin/buma/doc/Ueber_uns/Publikationen/2024/Burkhalter_FB_2023_EN.pdf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https://www.burkhalter.ch/fileadmin/buma/doc/Ueber_uns/Publikationen/2023/Burkhalter_GB_22_en.pdf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https://www.burkhalter.ch/fileadmin/buma/doc/Ueber_uns/Publikationen/2022/Burkhalter_GB21_en_WEB.pdf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https://www.burkhalter.ch/fileadmin/buma/doc/Ueber_uns/Publikationen/2026/Burkhalter_HJB26_EN.pdf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https://www.burkhalter.ch/fileadmin/buma/doc/Ueber_uns/Publikationen/2025/Burkhalter_HJB25_EN.pdf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https://www.burkhalter.ch/fileadmin/buma/doc/Ueber_uns/Publikationen/2024/Burkhalter_HJB24_EN.pdf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Bilanz-Medienkonferenz 2026 (presentación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https://www.burkhalter.ch/fileadmin/buma/doc/Ueber_uns/Publikationen/2026/BMK_Praesentation_2026.pdf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https://www.burkhalter.ch/fileadmin/buma/doc/Ueber_uns/Publikationen/2026/Burkhalter_NFB_2025_EN.pdf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Bauausgaben in der Schweiz im Jahr 2023: Provisorische Ergebnisse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Bundesamt für Statistik (BFS)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https://dam-api.bfs.admin.ch/hub/api/dam/assets/32109817/master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 9.4.1.22 Bauausgaben nach Art der Arbeiten und nach Kantonen, zu laufenden Preisen (2005-2021)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Bundesamt für Statistik (BFS)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https://dam-api.bfs.admin.ch/hub/api/dam/assets/23024086/master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Marktzahlen 2024/2025 (con datos del BFS)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Holzbau Schweiz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https://www.holzbau-schweiz.ch/wp-content/uploads/2025/06/250819_hbch_jb_de_marktzahlen.pdf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Politische Schwerpunkte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EIT.swiss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https://www.eit.swiss/fileadmin/user_upload/documents/Branche/Politik/2024_Politische_Schwerpunkte.pdf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Vernehmlassungsantwort Ausführungsbestimmungen zum CO2-Gesetz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suissetec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https://suissetec.ch/files/PDFs/Kommunikation/Stellungnahmen/Deutsch/Vernehmlassung%20CO2-Verordnung.pdf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 Gebäudeprogramm in Zahlen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 Gebäudeprogramm (Bund und Kantone)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https://www.dasgebaeudeprogramm.ch/de/das-gebaudeprogramm/das-gebaudeprogramm-in-zahlen/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BKW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https://www.bkw.ch/fileadmin/GB25/GB_2025/Geschaeftsbericht_2025_Englisch.pdf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Full-Year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SPIE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https://www.spie.com/sites/www.spie.com/files/2026-03/SPIE%20-%20Press%20release%20FY%202025%20results_0.pdf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April-June 2026 (con cifras de enero-diciembre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Bravida Holding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https://mb.cision.com/Main/8835/4373948/4190906.pdf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(CHF y SEK,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https://data-api.ecb.europa.eu/service/data/EXR/D.CHF+SEK.EUR.SP00.A?startPeriod=2025-12-29&amp;endPeriod=2025-12-31&amp;format=csvdata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Finanzielle Berichterstattung 2025 (Geschäftsbericht, Corporate Governance, Vergütungsbericht, Konzernrechnung)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https://www.burkhalter.ch/fileadmin/buma/doc/Ueber_uns/Publikationen/2026/Burkhalter_FB_2025_DE.pdf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Abstimmungsresultate ordentliche Generalversammlung 2026 (12-may-2026)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https://www.burkhalter.ch/fileadmin/buma/doc/Ueber_uns/Publikationen/2026/Burkhalter_Abstimmungsresultate_GV_2026.pdf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Abstimmungsresultate ordentliche Generalversammlung 2025 (13-may-2025)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https://www.burkhalter.ch/fileadmin/buma/doc/Ueber_uns/Publikationen/2025/Burkhalter_Abstimmungsresultate_GV_2025.pdf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Abstimmungsresultate ordentliche Generalversammlung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https://www.burkhalter.ch/fileadmin/buma/doc/Ueber_uns/Publikationen/2024/Burkhalter_Abstimmungsresultate_GV_2024.pdf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Einladung zur ordentlichen Generalversammlung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https://www.burkhalter.ch/fileadmin/buma/doc/Ueber_uns/Publikationen/2026/Burkhalter_Einladung_GV_2026.pdf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Halbjahresbericht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https://www.burkhalter.ch/fileadmin/buma/doc/Ueber_uns/Publikationen/2026/Burkhalter_HJB26_DE.pdf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https://www.burkhalter.ch/fileadmin/buma/doc/Ueber_uns/Publikationen/2022/Burkhalter_GB21_de_WEB.pdf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https://www.burkhalter.ch/fileadmin/buma/doc/Ueber_uns/Publikationen/2023/Burkhalter_GB_2022_de.pdf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Finanzielle Berichterstattung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https://www.burkhalter.ch/fileadmin/buma/doc/Ueber_uns/Publikationen/2024/Burkhalter_FB_2023_DE.pdf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Significant shareholders: notificaciones de Burkhalter Holding AG (Ingro Finanz AG ZA02-000000000SI87 y ZA02-000000000QH49; J.-C. Bregy ZA01-000000000RIG8; J. Safra Sarasin ZA03-000000000RR71)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https://www.ser-ag.com/sheldon/significant_shareholders/v1/overview.json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transactions: operaciones de directivos de Burkhalter Holding AG (ISIN CH0212255803), nov-2025 a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https://www.ser-ag.com/sheldon/management_transactions/v1/overview.json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Statuten der Burkhalter Holding AG (versión de agosto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https://www.burkhalter.ch/fileadmin/buma/doc/Ueber_uns/Publikationen/Burkhalter_Statuten_08_2023.pdf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Burkhalter Gruppe gibt erfolgreichen Abschluss der Kapitalerhöhung bekannt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https://eqs-cockpit.com/c/fncls.ssp?u=cf646ad74010960b3d71b1ce75e22823&amp;inline_display=1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Medienmitteilungen (lista de hechos relevantes ad hoc,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https://www.burkhalter.ch/de/ueber-uns/investor-relations/medienmitteilungen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BRKN.SW, CHSPI.SW y EXH4.DE (hasta 2026-10-09)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https://finance.yahoo.com/quote/BRKN.SW/history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Analysten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https://www.burkhalter.ch/de/ueber-uns/investor-relations/analysten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 estimaciones financieras 2023-2028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https://www.marketscreener.com/quote/stock/BURKHALTER-HOLDING-AG-13303338/finances/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 consenso de analistas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https://www.marketscreener.com/quote/stock/BURKHALTER-HOLDING-AG-13303338/consensus/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 (BRKN.SW): ficha, estadísticas y estimaciones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https://finance.yahoo.com/quote/BRKN.SW/analysis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SPIE SA: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https://uk.marketscreener.com/quote/stock/SPIE-SA-22363257/finances/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Bravida Holding AB: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https://uk.marketscreener.com/quote/stock/BRAVIDA-HOLDING-AB-PUBL-26320463/finances/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Instalco AB: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https://uk.marketscreener.com/quote/stock/INSTALCO-AB-34879325/finances/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https://uk.marketscreener.com/quote/stock/EMCOR-GROUP-INC-12447/finances/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Comfort Systems USA: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https://uk.marketscreener.com/quote/stock/COMFORT-SYSTEMS-USA-INC-12605/finances/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Implenia AG: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https://uk.marketscreener.com/quote/stock/IMPLENIA-AG-173800/finances/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Bilfinger SE: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https://uk.marketscreener.com/quote/stock/BILFINGER-SE-436147/finances/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 (eurofxref-hist),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Fairness Opinion sobre la fusión Burkhalter-Poenina (IFBC, 28-mar-2022)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IFBC AG / 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https://www.burkhalter.ch/fileadmin/buma/doc/Ueber_uns/Publikationen/2022/Fairness_Opinion_220328.pdf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 enters into exclusive negotiations with Bouygues for the sale of EQUANS for a valuation of EUR 7.1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https://en.newsroom.engie.com/news/engie-enters-into-exclusive-negotiations-with-bouygues-for-the-sale-of-equans-for-a-valuation-of-eur7-1-billion-35e7-314df.html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of the Board of Directors of Caverion Corporation regarding the tender offer by Crayfish BidCo Oy (Triton)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Caverion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https://www.caverion.com/contentassets/971ee0413d3d47f899765b6d102e16be/integrated/board-statement-on-triton-offer-eng.pdf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Rendimientos de obligaciones al contado por deudor y plazo, diarios (cubo rendeiduebd): Confederación a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Nacional Suizo (data.snb.ch)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https://data.snb.ch/api/cube/rendeiduebd/data/csv/en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datos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Termine 2026 und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https://www.burkhalter.ch/de/ueber-uns/investor-relations/termine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Schweizer Dividenden-Aktie löst sich von 18-Monate-Tief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https://www.cash.ch/news/top-news/schweizer-dividenden-aktie-lost-sich-von-18-monate-tief-967634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Aktie: Kurs stürzt 7 Prozent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https://www.boerse-global.de/burkhalter-aktie-kurs-stuerzt-7-prozent-ab/825947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Hldg N: ficha, foro y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https://www.cash.ch/aktien/burkhalter-hldg-n-21225580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 (BRKN):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https://www.investing.com/equities/burkhalter-holding-ag-commentary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(CH0212255803) en wikifolio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wikifolio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https://www.wikifolio.com/en/int/s/ch0212255803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88,0 %</w:t>
      </w:r>
      <w:r>
        <w:t xml:space="preserve"> · Secciones con menos del 60 % de campos cubiertos: </w:t>
      </w:r>
      <w:r>
        <w:rPr>
          <w:b/>
          <w:bCs/>
        </w:rPr>
        <w:t xml:space="preserve">ninguna</w:t>
      </w:r>
      <w:r>
        <w:t xml:space="preserve"> · Generado el 14 oct 2026.</w:t>
      </w:r>
    </w:p>
    <w:p>
      <w:pPr>
        <w:pStyle w:val="Nota"/>
        <w:spacing w:after="100"/>
      </w:pPr>
      <w:r>
        <w:t xml:space="preserve">Burkhalter presenta sus cuentas en Swiss GAAP FER, no en NIIF [1]. Dos diferencias pesan en el análisis: el fondo de comercio de las compras se compensa contra el patrimonio el día de la compra (435,2 M acumulados a fin de 2025), lo que deja el patrimonio en 139,4 M e infla el ROIC y el ROE; y no hay NIIF 16, así que los alquileres (32,0 M en 2025) están dentro del EBITDA y los compromisos de arrendamiento (155,3 M) no son deuda [1]. Por eso el EV/EBITDA de Burkhalter no es comparable directamente con el de competidores en NIIF 16 y el informe se apoya más en el PER. La cuenta es por naturaleza. Las cuentas completas cubren 2020-2025; 2020-2021 son solo el negocio eléctrico, antes de la fusión con poenina (efectiva desde el 1-ene-2022) [3, 5]. La empresa publica semestres, no trimestres, y un solo segmento, sin ventas por oficio [1, 6]. Precio de cierre del viernes 9-oct-2026 (124,60 CHF), porque el corte cae en domingo [35]. Las operaciones de directivos de la SIX son anónimas y en Suiza no hay registro público de posiciones cortas [31].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Burkhalter Holding AG (BRKN)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124,60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(116,60 – 192,40)</c:v>
                </c:pt>
                <c:pt idx="1">
                  <c:v>Precio objetivo de los analistas (135,00 – 180,00)</c:v>
                </c:pt>
                <c:pt idx="2">
                  <c:v>Comparables: EV/EBITDA NTM (49,72 – 92,26)</c:v>
                </c:pt>
                <c:pt idx="3">
                  <c:v>Comparables: PER NTM (82,36 – 110,47)</c:v>
                </c:pt>
                <c:pt idx="4">
                  <c:v>DCF (WACC y g ± 0,5) (102,84 – 143,07)</c:v>
                </c:pt>
                <c:pt idx="5">
                  <c:v>Escenarios (bajista – alcista) (78,28 – 141,36)</c:v>
                </c:pt>
                <c:pt idx="6">
                  <c:v>DCF con la prima implícita del mercado (4,2 %)</c:v>
                </c:pt>
                <c:pt idx="7">
                  <c:v>Precio actual (124,60)</c:v>
                </c:pt>
              </c:strCache>
            </c:strRef>
          </c:cat>
          <c:val>
            <c:numRef>
              <c:f>Hoja1!$B$2:$B$9</c:f>
              <c:numCache>
                <c:formatCode>#,##0</c:formatCode>
                <c:ptCount val="8"/>
                <c:pt idx="0">
                  <c:v>116.6</c:v>
                </c:pt>
                <c:pt idx="1">
                  <c:v>135</c:v>
                </c:pt>
                <c:pt idx="2">
                  <c:v>49.72</c:v>
                </c:pt>
                <c:pt idx="3">
                  <c:v>82.36</c:v>
                </c:pt>
                <c:pt idx="4">
                  <c:v>102.84</c:v>
                </c:pt>
                <c:pt idx="5">
                  <c:v>78.28</c:v>
                </c:pt>
                <c:pt idx="6">
                  <c:v>135.08</c:v>
                </c:pt>
                <c:pt idx="7">
                  <c:v>123.98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(116,60 – 192,40)</c:v>
                </c:pt>
                <c:pt idx="1">
                  <c:v>Precio objetivo de los analistas (135,00 – 180,00)</c:v>
                </c:pt>
                <c:pt idx="2">
                  <c:v>Comparables: EV/EBITDA NTM (49,72 – 92,26)</c:v>
                </c:pt>
                <c:pt idx="3">
                  <c:v>Comparables: PER NTM (82,36 – 110,47)</c:v>
                </c:pt>
                <c:pt idx="4">
                  <c:v>DCF (WACC y g ± 0,5) (102,84 – 143,07)</c:v>
                </c:pt>
                <c:pt idx="5">
                  <c:v>Escenarios (bajista – alcista) (78,28 – 141,36)</c:v>
                </c:pt>
                <c:pt idx="6">
                  <c:v>DCF con la prima implícita del mercado (4,2 %)</c:v>
                </c:pt>
                <c:pt idx="7">
                  <c:v>Precio actual (124,60)</c:v>
                </c:pt>
              </c:strCache>
            </c:strRef>
          </c:cat>
          <c:val>
            <c:numRef>
              <c:f>Hoja1!$C$2:$C$9</c:f>
              <c:numCache>
                <c:formatCode>#,##0</c:formatCode>
                <c:ptCount val="8"/>
                <c:pt idx="0">
                  <c:v>75.80000000000001</c:v>
                </c:pt>
                <c:pt idx="1">
                  <c:v>45</c:v>
                </c:pt>
                <c:pt idx="2">
                  <c:v>42.540000000000006</c:v>
                </c:pt>
                <c:pt idx="3">
                  <c:v>28.11</c:v>
                </c:pt>
                <c:pt idx="4">
                  <c:v>40.22999999999999</c:v>
                </c:pt>
                <c:pt idx="5">
                  <c:v>63.08000000000001</c:v>
                </c:pt>
                <c:pt idx="6">
                  <c:v>35.839999999999975</c:v>
                </c:pt>
                <c:pt idx="7">
                  <c:v>1.2399999999999949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Grupo (segmento único)</c:v>
                </c:pt>
              </c:strCache>
            </c:strRef>
          </c:tx>
          <c:spPr>
            <a:solidFill>
              <a:srgbClr val="2A78D6"/>
            </a:solidFill>
            <a:ln w="12700">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497.6</c:v>
                </c:pt>
                <c:pt idx="1">
                  <c:v>539.5</c:v>
                </c:pt>
                <c:pt idx="2">
                  <c:v>800.8</c:v>
                </c:pt>
                <c:pt idx="3">
                  <c:v>1127.3</c:v>
                </c:pt>
                <c:pt idx="4">
                  <c:v>1186.8</c:v>
                </c:pt>
                <c:pt idx="5">
                  <c:v>1207.5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Grupo (segmento único)</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Suiza y Liechtenstein</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CHF (gasto total en construcción en Suiza, BFS, a precios corrientes; aproximación del ciclo, no del mercado de instalaciones))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2017</c:v>
                </c:pt>
                <c:pt idx="1">
                  <c:v>2018</c:v>
                </c:pt>
                <c:pt idx="2">
                  <c:v>2019</c:v>
                </c:pt>
                <c:pt idx="3">
                  <c:v>2020</c:v>
                </c:pt>
                <c:pt idx="4">
                  <c:v>2023</c:v>
                </c:pt>
                <c:pt idx="5">
                  <c:v>2024</c:v>
                </c:pt>
              </c:strCache>
            </c:strRef>
          </c:cat>
          <c:val>
            <c:numRef>
              <c:f>Hoja1!$B$2:$B$7</c:f>
              <c:numCache>
                <c:formatCode>#,##0</c:formatCode>
                <c:ptCount val="6"/>
                <c:pt idx="0">
                  <c:v>66672</c:v>
                </c:pt>
                <c:pt idx="1">
                  <c:v>67269</c:v>
                </c:pt>
                <c:pt idx="2">
                  <c:v>67180</c:v>
                </c:pt>
                <c:pt idx="3">
                  <c:v>66785</c:v>
                </c:pt>
                <c:pt idx="4">
                  <c:v>67783</c:v>
                </c:pt>
                <c:pt idx="5">
                  <c:v>67376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2</c:v>
                </c:pt>
                <c:pt idx="3">
                  <c:v>3</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Burkhalter</c:v>
                </c:pt>
                <c:pt idx="1">
                  <c:v>BKW, segmento Infraestructura y Edificios (BKW Building Solutions, BKW Infra Services, ingeniería)</c:v>
                </c:pt>
                <c:pt idx="2">
                  <c:v>SPIE</c:v>
                </c:pt>
                <c:pt idx="3">
                  <c:v>Bravida</c:v>
                </c:pt>
                <c:pt idx="4">
                  <c:v>Bouygues Energies &amp; Services (Suiza)</c:v>
                </c:pt>
                <c:pt idx="5">
                  <c:v>Groupe E Connect</c:v>
                </c:pt>
              </c:strCache>
            </c:strRef>
          </c:cat>
          <c:val>
            <c:numRef>
              <c:f>Hoja1!$B$2:$B$7</c:f>
              <c:numCache>
                <c:formatCode>0.0"%"</c:formatCode>
                <c:ptCount val="6"/>
                <c:pt idx="0">
                  <c:v>6.1</c:v>
                </c:pt>
                <c:pt idx="1">
                  <c:v>4.1</c:v>
                </c:pt>
                <c:pt idx="2">
                  <c:v>7.6</c:v>
                </c:pt>
                <c:pt idx="3">
                  <c:v>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1</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497.6</c:v>
                </c:pt>
                <c:pt idx="1">
                  <c:v>539.5</c:v>
                </c:pt>
                <c:pt idx="2">
                  <c:v>800.8</c:v>
                </c:pt>
                <c:pt idx="3">
                  <c:v>1127.3</c:v>
                </c:pt>
                <c:pt idx="4">
                  <c:v>1186.8</c:v>
                </c:pt>
                <c:pt idx="5">
                  <c:v>1207.5</c:v>
                </c:pt>
                <c:pt idx="6">
                  <c:v>1217</c:v>
                </c:pt>
                <c:pt idx="7">
                  <c:v>1248</c:v>
                </c:pt>
                <c:pt idx="8">
                  <c:v>1279</c:v>
                </c:pt>
                <c:pt idx="9">
                  <c:v>1304</c:v>
                </c:pt>
                <c:pt idx="10">
                  <c:v>1330</c:v>
                </c:pt>
                <c:pt idx="11">
                  <c:v>1350</c:v>
                </c:pt>
                <c:pt idx="12">
                  <c:v>1364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22</c:v>
                </c:pt>
                <c:pt idx="1">
                  <c:v>32.6</c:v>
                </c:pt>
                <c:pt idx="2">
                  <c:v>54</c:v>
                </c:pt>
                <c:pt idx="3">
                  <c:v>73.1</c:v>
                </c:pt>
                <c:pt idx="4">
                  <c:v>79.6</c:v>
                </c:pt>
                <c:pt idx="5">
                  <c:v>83</c:v>
                </c:pt>
                <c:pt idx="6">
                  <c:v>88</c:v>
                </c:pt>
                <c:pt idx="7">
                  <c:v>91</c:v>
                </c:pt>
                <c:pt idx="8">
                  <c:v>95</c:v>
                </c:pt>
                <c:pt idx="9">
                  <c:v>97</c:v>
                </c:pt>
                <c:pt idx="10">
                  <c:v>98</c:v>
                </c:pt>
                <c:pt idx="11">
                  <c:v>100</c:v>
                </c:pt>
                <c:pt idx="12">
                  <c:v>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65.7</c:v>
                </c:pt>
                <c:pt idx="1">
                  <c:v>66.8</c:v>
                </c:pt>
                <c:pt idx="2">
                  <c:v>59.6</c:v>
                </c:pt>
                <c:pt idx="3">
                  <c:v>56.5</c:v>
                </c:pt>
                <c:pt idx="4">
                  <c:v>57.4</c:v>
                </c:pt>
                <c:pt idx="5">
                  <c:v>58.7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4.4</c:v>
                </c:pt>
                <c:pt idx="1">
                  <c:v>6</c:v>
                </c:pt>
                <c:pt idx="2">
                  <c:v>6.7</c:v>
                </c:pt>
                <c:pt idx="3">
                  <c:v>6.5</c:v>
                </c:pt>
                <c:pt idx="4">
                  <c:v>6.7</c:v>
                </c:pt>
                <c:pt idx="5">
                  <c:v>6.9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3.8</c:v>
                </c:pt>
                <c:pt idx="1">
                  <c:v>5.4</c:v>
                </c:pt>
                <c:pt idx="2">
                  <c:v>6</c:v>
                </c:pt>
                <c:pt idx="3">
                  <c:v>5.7</c:v>
                </c:pt>
                <c:pt idx="4">
                  <c:v>5.9</c:v>
                </c:pt>
                <c:pt idx="5">
                  <c:v>6.1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2.9</c:v>
                </c:pt>
                <c:pt idx="1">
                  <c:v>4.4</c:v>
                </c:pt>
                <c:pt idx="2">
                  <c:v>4.8</c:v>
                </c:pt>
                <c:pt idx="3">
                  <c:v>4.6</c:v>
                </c:pt>
                <c:pt idx="4">
                  <c:v>4.8</c:v>
                </c:pt>
                <c:pt idx="5">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2">
                  <c:v>7.9</c:v>
                </c:pt>
                <c:pt idx="3">
                  <c:v>3</c:v>
                </c:pt>
                <c:pt idx="4">
                  <c:v>3.4</c:v>
                </c:pt>
                <c:pt idx="5">
                  <c:v>0.3</c:v>
                </c:pt>
                <c:pt idx="6">
                  <c:v>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c:v>
                </c:pt>
                <c:pt idx="1">
                  <c:v>42</c:v>
                </c:pt>
                <c:pt idx="2">
                  <c:v>52</c:v>
                </c:pt>
                <c:pt idx="3">
                  <c:v>55</c:v>
                </c:pt>
                <c:pt idx="4">
                  <c:v>48</c:v>
                </c:pt>
                <c:pt idx="5">
                  <c:v>38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c:v>
                </c:pt>
                <c:pt idx="1">
                  <c:v>7</c:v>
                </c:pt>
                <c:pt idx="2">
                  <c:v>8</c:v>
                </c:pt>
                <c:pt idx="3">
                  <c:v>6</c:v>
                </c:pt>
                <c:pt idx="4">
                  <c:v>6</c:v>
                </c:pt>
                <c:pt idx="5">
                  <c:v>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14</c:v>
                </c:pt>
                <c:pt idx="1">
                  <c:v>16</c:v>
                </c:pt>
                <c:pt idx="2">
                  <c:v>22</c:v>
                </c:pt>
                <c:pt idx="3">
                  <c:v>18</c:v>
                </c:pt>
                <c:pt idx="4">
                  <c:v>14</c:v>
                </c:pt>
                <c:pt idx="5">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20.3</c:v>
                </c:pt>
                <c:pt idx="1">
                  <c:v>23.099999999999998</c:v>
                </c:pt>
                <c:pt idx="2">
                  <c:v>44.9</c:v>
                </c:pt>
                <c:pt idx="3">
                  <c:v>52.1</c:v>
                </c:pt>
                <c:pt idx="4">
                  <c:v>74.6</c:v>
                </c:pt>
                <c:pt idx="5">
                  <c:v>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14.6</c:v>
                </c:pt>
                <c:pt idx="1">
                  <c:v>23.9</c:v>
                </c:pt>
                <c:pt idx="2">
                  <c:v>38.5</c:v>
                </c:pt>
                <c:pt idx="3">
                  <c:v>51.9</c:v>
                </c:pt>
                <c:pt idx="4">
                  <c:v>57.2</c:v>
                </c:pt>
                <c:pt idx="5">
                  <c:v>61.3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36.6</c:v>
                </c:pt>
                <c:pt idx="1">
                  <c:v>56.1</c:v>
                </c:pt>
                <c:pt idx="2">
                  <c:v>46.6</c:v>
                </c:pt>
                <c:pt idx="3">
                  <c:v>39.7</c:v>
                </c:pt>
                <c:pt idx="4">
                  <c:v>41.7</c:v>
                </c:pt>
                <c:pt idx="5">
                  <c:v>55.8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6.4</c:v>
                </c:pt>
                <c:pt idx="1">
                  <c:v>6.4</c:v>
                </c:pt>
                <c:pt idx="2">
                  <c:v>6.4</c:v>
                </c:pt>
                <c:pt idx="3">
                  <c:v>6.4</c:v>
                </c:pt>
                <c:pt idx="4">
                  <c:v>6.4</c:v>
                </c:pt>
                <c:pt idx="5">
                  <c:v>6.4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20.5</c:v>
                </c:pt>
                <c:pt idx="1">
                  <c:v>32.9</c:v>
                </c:pt>
                <c:pt idx="2">
                  <c:v>37</c:v>
                </c:pt>
                <c:pt idx="3">
                  <c:v>39.9</c:v>
                </c:pt>
                <c:pt idx="4">
                  <c:v>43.8</c:v>
                </c:pt>
                <c:pt idx="5">
                  <c:v>44.7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-1.39</c:v>
                </c:pt>
                <c:pt idx="1">
                  <c:v>-0.89</c:v>
                </c:pt>
                <c:pt idx="2">
                  <c:v>-0.22</c:v>
                </c:pt>
                <c:pt idx="3">
                  <c:v>0.29</c:v>
                </c:pt>
                <c:pt idx="4">
                  <c:v>-0.02</c:v>
                </c:pt>
                <c:pt idx="5">
                  <c:v>-0.62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c:v>
                </c:pt>
              </c:strCache>
            </c:strRef>
          </c:cat>
          <c:val>
            <c:numRef>
              <c:f>Hoja1!$B$2:$B$4</c:f>
              <c:numCache>
                <c:formatCode>#,##0</c:formatCode>
                <c:ptCount val="3"/>
                <c:pt idx="0">
                  <c:v>1.5</c:v>
                </c:pt>
                <c:pt idx="1">
                  <c:v>3.9</c:v>
                </c:pt>
                <c:pt idx="2">
                  <c:v>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c:v>
                </c:pt>
                <c:pt idx="1">
                  <c:v>10.3</c:v>
                </c:pt>
                <c:pt idx="2">
                  <c:v>8.6</c:v>
                </c:pt>
                <c:pt idx="3">
                  <c:v>41.7</c:v>
                </c:pt>
                <c:pt idx="4">
                  <c:v>6.8</c:v>
                </c:pt>
                <c:pt idx="5">
                  <c:v>4.2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22.2</c:v>
                </c:pt>
                <c:pt idx="1">
                  <c:v>14.4</c:v>
                </c:pt>
                <c:pt idx="2">
                  <c:v>22.8</c:v>
                </c:pt>
                <c:pt idx="3">
                  <c:v>44.5</c:v>
                </c:pt>
                <c:pt idx="4">
                  <c:v>47.2</c:v>
                </c:pt>
                <c:pt idx="5">
                  <c:v>51.5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3.2</c:v>
                </c:pt>
                <c:pt idx="1">
                  <c:v>1.9</c:v>
                </c:pt>
                <c:pt idx="2">
                  <c:v>0.9</c:v>
                </c:pt>
                <c:pt idx="3">
                  <c:v>1.9</c:v>
                </c:pt>
                <c:pt idx="4">
                  <c:v>1.6</c:v>
                </c:pt>
                <c:pt idx="5">
                  <c:v>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Otro externo</c:v>
                </c:pt>
                <c:pt idx="3">
                  <c:v>Independiente</c:v>
                </c:pt>
              </c:strCache>
            </c:strRef>
          </c:cat>
          <c:val>
            <c:numRef>
              <c:f>Hoja1!$B$2:$B$5</c:f>
              <c:numCache>
                <c:formatCode>0</c:formatCode>
                <c:ptCount val="4"/>
                <c:pt idx="0">
                  <c:v>2</c:v>
                </c:pt>
                <c:pt idx="1">
                  <c:v>1</c:v>
                </c:pt>
                <c:pt idx="2">
                  <c:v>1</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Ingro Finanz AG (herederos de Peter Grogg: Madeleine Grogg, Nicole Grogg Hötzer, Daniela Grogg)</c:v>
                </c:pt>
                <c:pt idx="1">
                  <c:v>UBS Fund Management (Switzerland) AG</c:v>
                </c:pt>
                <c:pt idx="2">
                  <c:v>Gaudenz F. Domenig (presidente)</c:v>
                </c:pt>
                <c:pt idx="3">
                  <c:v>Jean-Claude Bregy</c:v>
                </c:pt>
                <c:pt idx="4">
                  <c:v>Diego A. Brüesch (Brüesch Holding AG)</c:v>
                </c:pt>
                <c:pt idx="5">
                  <c:v>J. Safra Sarasin Investmentfonds AG</c:v>
                </c:pt>
                <c:pt idx="6">
                  <c:v>Willy Hüppi (consejero)</c:v>
                </c:pt>
                <c:pt idx="7">
                  <c:v>Autocartera</c:v>
                </c:pt>
              </c:strCache>
            </c:strRef>
          </c:cat>
          <c:val>
            <c:numRef>
              <c:f>Hoja1!$B$2:$B$9</c:f>
              <c:numCache>
                <c:formatCode>0.0"%"</c:formatCode>
                <c:ptCount val="8"/>
                <c:pt idx="0">
                  <c:v>14.17</c:v>
                </c:pt>
                <c:pt idx="1">
                  <c:v>8.6</c:v>
                </c:pt>
                <c:pt idx="2">
                  <c:v>6</c:v>
                </c:pt>
                <c:pt idx="3">
                  <c:v>4.92</c:v>
                </c:pt>
                <c:pt idx="4">
                  <c:v>3.4</c:v>
                </c:pt>
                <c:pt idx="5">
                  <c:v>3</c:v>
                </c:pt>
                <c:pt idx="6">
                  <c:v>0.92</c:v>
                </c:pt>
                <c:pt idx="7">
                  <c:v>0.01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32.1</c:v>
                </c:pt>
                <c:pt idx="1">
                  <c:v>-3.9</c:v>
                </c:pt>
                <c:pt idx="2">
                  <c:v>-35.1</c:v>
                </c:pt>
                <c:pt idx="3">
                  <c:v>2.5</c:v>
                </c:pt>
                <c:pt idx="4">
                  <c:v>-8</c:v>
                </c:pt>
                <c:pt idx="5">
                  <c:v>-1.5</c:v>
                </c:pt>
                <c:pt idx="6">
                  <c:v>27.1</c:v>
                </c:pt>
                <c:pt idx="7">
                  <c:v>26.5</c:v>
                </c:pt>
                <c:pt idx="8">
                  <c:v>2.8</c:v>
                </c:pt>
                <c:pt idx="9">
                  <c:v>60.2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19</c:v>
                </c:pt>
                <c:pt idx="2">
                  <c:v>-8.3</c:v>
                </c:pt>
                <c:pt idx="3">
                  <c:v>30.4</c:v>
                </c:pt>
                <c:pt idx="4">
                  <c:v>7.1</c:v>
                </c:pt>
                <c:pt idx="5">
                  <c:v>26.2</c:v>
                </c:pt>
                <c:pt idx="6">
                  <c:v>-15.1</c:v>
                </c:pt>
                <c:pt idx="7">
                  <c:v>7</c:v>
                </c:pt>
                <c:pt idx="8">
                  <c:v>7.8</c:v>
                </c:pt>
                <c:pt idx="9">
                  <c:v>20.4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4">
                  <c:v>16.6</c:v>
                </c:pt>
                <c:pt idx="5">
                  <c:v>10.7</c:v>
                </c:pt>
                <c:pt idx="6">
                  <c:v>11.3</c:v>
                </c:pt>
                <c:pt idx="7">
                  <c:v>13.6</c:v>
                </c:pt>
                <c:pt idx="8">
                  <c:v>12.1</c:v>
                </c:pt>
                <c:pt idx="9">
                  <c:v>17.3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12.9</c:v>
                </c:pt>
                <c:pt idx="1">
                  <c:v>12.9</c:v>
                </c:pt>
                <c:pt idx="2">
                  <c:v>12.9</c:v>
                </c:pt>
                <c:pt idx="3">
                  <c:v>12.9</c:v>
                </c:pt>
                <c:pt idx="4">
                  <c:v>12.9</c:v>
                </c:pt>
                <c:pt idx="5">
                  <c:v>12.9</c:v>
                </c:pt>
                <c:pt idx="6">
                  <c:v>12.9</c:v>
                </c:pt>
                <c:pt idx="7">
                  <c:v>12.9</c:v>
                </c:pt>
                <c:pt idx="8">
                  <c:v>12.9</c:v>
                </c:pt>
                <c:pt idx="9">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Burkhalter</c:v>
                </c:pt>
                <c:pt idx="1">
                  <c:v>SPIE</c:v>
                </c:pt>
                <c:pt idx="2">
                  <c:v>Bravida</c:v>
                </c:pt>
                <c:pt idx="3">
                  <c:v>Instalco</c:v>
                </c:pt>
                <c:pt idx="4">
                  <c:v>EMCOR</c:v>
                </c:pt>
                <c:pt idx="5">
                  <c:v>Implenia</c:v>
                </c:pt>
                <c:pt idx="6">
                  <c:v>Bilfinger</c:v>
                </c:pt>
              </c:strCache>
            </c:strRef>
          </c:cat>
          <c:val>
            <c:numRef>
              <c:f>Hoja1!$B$2:$B$8</c:f>
              <c:numCache>
                <c:formatCode>0.0"x"</c:formatCode>
                <c:ptCount val="7"/>
                <c:pt idx="0">
                  <c:v>14.2</c:v>
                </c:pt>
                <c:pt idx="1">
                  <c:v>7.3</c:v>
                </c:pt>
                <c:pt idx="2">
                  <c:v>11.1</c:v>
                </c:pt>
                <c:pt idx="3">
                  <c:v>8.7</c:v>
                </c:pt>
                <c:pt idx="4">
                  <c:v>14.2</c:v>
                </c:pt>
                <c:pt idx="5">
                  <c:v>5.1</c:v>
                </c:pt>
                <c:pt idx="6">
                  <c:v>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Burkhalter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3.8</c:v>
                </c:pt>
              </c:numCache>
            </c:numRef>
          </c:xVal>
          <c:yVal>
            <c:numRef>
              <c:f>Hoja1!$C$2</c:f>
              <c:numCache>
                <c:formatCode>0.0"x"</c:formatCode>
                <c:ptCount val="1"/>
                <c:pt idx="0">
                  <c:v>14.2</c:v>
                </c:pt>
              </c:numCache>
            </c:numRef>
          </c:yVal>
          <c:smooth val="0"/>
        </c:ser>
        <c:ser>
          <c:idx val="1"/>
          <c:order val="1"/>
          <c:tx>
            <c:strRef>
              <c:f>Hoja1!$A$3</c:f>
              <c:strCache>
                <c:ptCount val="1"/>
                <c:pt idx="0">
                  <c:v>SPIE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7.7</c:v>
                </c:pt>
              </c:numCache>
            </c:numRef>
          </c:xVal>
          <c:yVal>
            <c:numRef>
              <c:f>Hoja1!$C$3</c:f>
              <c:numCache>
                <c:formatCode>0.0"x"</c:formatCode>
                <c:ptCount val="1"/>
                <c:pt idx="0">
                  <c:v>7.3</c:v>
                </c:pt>
              </c:numCache>
            </c:numRef>
          </c:yVal>
          <c:smooth val="0"/>
        </c:ser>
        <c:ser>
          <c:idx val="2"/>
          <c:order val="2"/>
          <c:tx>
            <c:strRef>
              <c:f>Hoja1!$A$4</c:f>
              <c:strCache>
                <c:ptCount val="1"/>
                <c:pt idx="0">
                  <c:v>Bravida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7.9</c:v>
                </c:pt>
              </c:numCache>
            </c:numRef>
          </c:xVal>
          <c:yVal>
            <c:numRef>
              <c:f>Hoja1!$C$4</c:f>
              <c:numCache>
                <c:formatCode>0.0"x"</c:formatCode>
                <c:ptCount val="1"/>
                <c:pt idx="0">
                  <c:v>11.1</c:v>
                </c:pt>
              </c:numCache>
            </c:numRef>
          </c:yVal>
          <c:smooth val="0"/>
        </c:ser>
        <c:ser>
          <c:idx val="3"/>
          <c:order val="3"/>
          <c:tx>
            <c:strRef>
              <c:f>Hoja1!$A$5</c:f>
              <c:strCache>
                <c:ptCount val="1"/>
                <c:pt idx="0">
                  <c:v>Instalco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11.4</c:v>
                </c:pt>
              </c:numCache>
            </c:numRef>
          </c:xVal>
          <c:yVal>
            <c:numRef>
              <c:f>Hoja1!$C$5</c:f>
              <c:numCache>
                <c:formatCode>0.0"x"</c:formatCode>
                <c:ptCount val="1"/>
                <c:pt idx="0">
                  <c:v>8.7</c:v>
                </c:pt>
              </c:numCache>
            </c:numRef>
          </c:yVal>
          <c:smooth val="0"/>
        </c:ser>
        <c:ser>
          <c:idx val="4"/>
          <c:order val="4"/>
          <c:tx>
            <c:strRef>
              <c:f>Hoja1!$A$6</c:f>
              <c:strCache>
                <c:ptCount val="1"/>
                <c:pt idx="0">
                  <c:v>EMCOR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15.1</c:v>
                </c:pt>
              </c:numCache>
            </c:numRef>
          </c:xVal>
          <c:yVal>
            <c:numRef>
              <c:f>Hoja1!$C$6</c:f>
              <c:numCache>
                <c:formatCode>0.0"x"</c:formatCode>
                <c:ptCount val="1"/>
                <c:pt idx="0">
                  <c:v>14.2</c:v>
                </c:pt>
              </c:numCache>
            </c:numRef>
          </c:yVal>
          <c:smooth val="0"/>
        </c:ser>
        <c:ser>
          <c:idx val="5"/>
          <c:order val="5"/>
          <c:tx>
            <c:strRef>
              <c:f>Hoja1!$A$7</c:f>
              <c:strCache>
                <c:ptCount val="1"/>
                <c:pt idx="0">
                  <c:v>Implenia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2.3</c:v>
                </c:pt>
              </c:numCache>
            </c:numRef>
          </c:xVal>
          <c:yVal>
            <c:numRef>
              <c:f>Hoja1!$C$7</c:f>
              <c:numCache>
                <c:formatCode>0.0"x"</c:formatCode>
                <c:ptCount val="1"/>
                <c:pt idx="0">
                  <c:v>5.1</c:v>
                </c:pt>
              </c:numCache>
            </c:numRef>
          </c:yVal>
          <c:smooth val="0"/>
        </c:ser>
        <c:ser>
          <c:idx val="6"/>
          <c:order val="6"/>
          <c:tx>
            <c:strRef>
              <c:f>Hoja1!$A$8</c:f>
              <c:strCache>
                <c:ptCount val="1"/>
                <c:pt idx="0">
                  <c:v>Bilfinger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3.3</c:v>
                </c:pt>
              </c:numCache>
            </c:numRef>
          </c:xVal>
          <c:yVal>
            <c:numRef>
              <c:f>Hoja1!$C$8</c:f>
              <c:numCache>
                <c:formatCode>0.0"x"</c:formatCode>
                <c:ptCount val="1"/>
                <c:pt idx="0">
                  <c:v>4.3</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Poenina Holding AG (Suiza; fontanería, climatización, cubiertas)</c:v>
                </c:pt>
                <c:pt idx="1">
                  <c:v>Equans (servicios técnicos y de instalaciones, Francia y Europa)</c:v>
                </c:pt>
                <c:pt idx="2">
                  <c:v>Caverion (instalaciones técnicas de edificios, Finlandia y norte de Europa)</c:v>
                </c:pt>
                <c:pt idx="3">
                  <c:v>Caverion (escisión de YIT)</c:v>
                </c:pt>
              </c:strCache>
            </c:strRef>
          </c:cat>
          <c:val>
            <c:numRef>
              <c:f>Hoja1!$B$2:$B$5</c:f>
              <c:numCache>
                <c:formatCode>0.0"x"</c:formatCode>
                <c:ptCount val="4"/>
                <c:pt idx="3">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62</c:v>
                </c:pt>
                <c:pt idx="1">
                  <c:v>63</c:v>
                </c:pt>
                <c:pt idx="2">
                  <c:v>66</c:v>
                </c:pt>
                <c:pt idx="3">
                  <c:v>68</c:v>
                </c:pt>
                <c:pt idx="4">
                  <c:v>69</c:v>
                </c:pt>
                <c:pt idx="5">
                  <c:v>71</c:v>
                </c:pt>
                <c:pt idx="6">
                  <c:v>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349</c:v>
                </c:pt>
                <c:pt idx="1">
                  <c:v>921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124,60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78.28</c:v>
                </c:pt>
                <c:pt idx="1">
                  <c:v>119.25</c:v>
                </c:pt>
                <c:pt idx="2">
                  <c:v>141.36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124,60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(116,60 – 192,40)</c:v>
                </c:pt>
                <c:pt idx="1">
                  <c:v>Precio objetivo de los analistas (135,00 – 180,00)</c:v>
                </c:pt>
                <c:pt idx="2">
                  <c:v>Comparables: EV/EBITDA NTM (49,72 – 92,26)</c:v>
                </c:pt>
                <c:pt idx="3">
                  <c:v>Comparables: PER NTM (82,36 – 110,47)</c:v>
                </c:pt>
                <c:pt idx="4">
                  <c:v>DCF (WACC y g ± 0,5) (102,84 – 143,07)</c:v>
                </c:pt>
                <c:pt idx="5">
                  <c:v>Escenarios (bajista – alcista) (78,28 – 141,36)</c:v>
                </c:pt>
                <c:pt idx="6">
                  <c:v>DCF con la prima implícita del mercado (4,2 %)</c:v>
                </c:pt>
                <c:pt idx="7">
                  <c:v>Precio actual (124,60)</c:v>
                </c:pt>
              </c:strCache>
            </c:strRef>
          </c:cat>
          <c:val>
            <c:numRef>
              <c:f>Hoja1!$B$2:$B$9</c:f>
              <c:numCache>
                <c:formatCode>#,##0</c:formatCode>
                <c:ptCount val="8"/>
                <c:pt idx="0">
                  <c:v>116.6</c:v>
                </c:pt>
                <c:pt idx="1">
                  <c:v>135</c:v>
                </c:pt>
                <c:pt idx="2">
                  <c:v>49.72</c:v>
                </c:pt>
                <c:pt idx="3">
                  <c:v>82.36</c:v>
                </c:pt>
                <c:pt idx="4">
                  <c:v>102.84</c:v>
                </c:pt>
                <c:pt idx="5">
                  <c:v>78.28</c:v>
                </c:pt>
                <c:pt idx="6">
                  <c:v>135.08</c:v>
                </c:pt>
                <c:pt idx="7">
                  <c:v>123.98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(116,60 – 192,40)</c:v>
                </c:pt>
                <c:pt idx="1">
                  <c:v>Precio objetivo de los analistas (135,00 – 180,00)</c:v>
                </c:pt>
                <c:pt idx="2">
                  <c:v>Comparables: EV/EBITDA NTM (49,72 – 92,26)</c:v>
                </c:pt>
                <c:pt idx="3">
                  <c:v>Comparables: PER NTM (82,36 – 110,47)</c:v>
                </c:pt>
                <c:pt idx="4">
                  <c:v>DCF (WACC y g ± 0,5) (102,84 – 143,07)</c:v>
                </c:pt>
                <c:pt idx="5">
                  <c:v>Escenarios (bajista – alcista) (78,28 – 141,36)</c:v>
                </c:pt>
                <c:pt idx="6">
                  <c:v>DCF con la prima implícita del mercado (4,2 %)</c:v>
                </c:pt>
                <c:pt idx="7">
                  <c:v>Precio actual (124,60)</c:v>
                </c:pt>
              </c:strCache>
            </c:strRef>
          </c:cat>
          <c:val>
            <c:numRef>
              <c:f>Hoja1!$C$2:$C$9</c:f>
              <c:numCache>
                <c:formatCode>#,##0</c:formatCode>
                <c:ptCount val="8"/>
                <c:pt idx="0">
                  <c:v>75.80000000000001</c:v>
                </c:pt>
                <c:pt idx="1">
                  <c:v>45</c:v>
                </c:pt>
                <c:pt idx="2">
                  <c:v>42.540000000000006</c:v>
                </c:pt>
                <c:pt idx="3">
                  <c:v>28.11</c:v>
                </c:pt>
                <c:pt idx="4">
                  <c:v>40.22999999999999</c:v>
                </c:pt>
                <c:pt idx="5">
                  <c:v>63.08000000000001</c:v>
                </c:pt>
                <c:pt idx="6">
                  <c:v>35.839999999999975</c:v>
                </c:pt>
                <c:pt idx="7">
                  <c:v>1.2399999999999949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