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Cadence Design Systems, Inc.</w:t>
      </w:r>
    </w:p>
    <w:p>
      <w:pPr>
        <w:spacing w:after="60"/>
        <w:rPr>
          <w:color w:val="52514E"/>
          <w:sz w:val="22"/>
          <w:szCs w:val="22"/>
        </w:rPr>
      </w:pPr>
      <w:r>
        <w:rPr>
          <w:color w:val="52514E"/>
          <w:sz w:val="22"/>
          <w:szCs w:val="22"/>
        </w:rPr>
        <w:t xml:space="preserve">CDNS · Nasdaq Global Select · ISIN US1273871087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352,84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455,51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+29,1 % (base +24,7 %)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147,55 USD · mercado 175,74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97.384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Cadence Design Systems,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CDNS / US1273871087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 Nasdaq-100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aplicación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José (California) · 1988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https://www.cadence.com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352,84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262,75 – 416,69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97.384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98.426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455,51 USD</w:t>
      </w:r>
      <w:r>
        <w:t xml:space="preserve"> frente a 352,84 · Rentabilidad a 12 meses </w:t>
      </w:r>
      <w:r>
        <w:rPr>
          <w:b/>
          <w:bCs/>
        </w:rPr>
        <w:t xml:space="preserve">+29,1 % (base +24,7 %)</w:t>
      </w:r>
      <w:r>
        <w:t xml:space="preserve"> · Valor intrínseco 147,55 USD · con la prima implícita del mercado: 175,74 (-50,2 %) · Alcista / bajista -51,5 % / -73,4 %</w:t>
      </w:r>
    </w:p>
    <w:p>
      <w:pPr>
        <w:spacing w:after="100"/>
      </w:pPr>
      <w:r>
        <w:rPr>
          <w:b/>
        </w:rPr>
        <w:t xml:space="preserve">La recomendación y por qué.</w:t>
      </w:r>
      <w:r>
        <w:t xml:space="preserve"> Mantener, con convicción media. Nuestro objetivo a 12 meses es de 388,98 USD frente a 352,84 USD (cierre del 9-oct-2026): una rentabilidad ponderada del 10,2 % y del 13,4 % en el caso base, sin dividendo, con una asimetría favorable (el alcista gana un 28,6 % y el bajista pierde un 14,5 %). El objetivo medio de los analistas, 401,44 USD [43], queda dentro de nuestro rango y casi en nuestro base. Pero el valor intrínseco es de 147,55 USD, un 58,2 % por debajo del precio, y la regla exige valor intrínseco ≥ precio para comprar. La convicción es media, la que dan los criterios: las dos reglas coinciden y la rentabilidad está lejos de los umbrales; la subiría una guía de 2027 con crecimiento orgánico por encima del 15 % y la bajaría una cartera de pedidos que deje de crecer.</w:t>
      </w:r>
    </w:p>
    <w:p>
      <w:pPr>
        <w:spacing w:after="100"/>
      </w:pPr>
      <w:r>
        <w:rPr>
          <w:b/>
        </w:rPr>
        <w:t xml:space="preserve">El negocio.</w:t>
      </w:r>
      <w:r>
        <w:t xml:space="preserve"> Cadence comparte con Synopsys el diseño de chips: ≈ 25 % de un mercado de ≈ 21.200 M USD que crece en torno al 9 % [26], con costes de cambio altísimos. El margen operativo non-GAAP subió del 37 % de 2021 al 45,5 % del 2T26 [4, 8] y el ROIC de 2025 (23,7 %) supera al WACC en 12,7 puntos. La calidad sí sostiene el crecimiento que proyectamos (veredicto: sí): un 10,0 % anual medio, sin capital neto y con una cuota en 2035e del 27,2 % frente al 25,0 % de hoy; lo que no está demostrado es que el precio por licencia resista a la IA.</w:t>
      </w:r>
    </w:p>
    <w:p>
      <w:pPr>
        <w:spacing w:after="100"/>
      </w:pPr>
      <w:r>
        <w:rPr>
          <w:b/>
        </w:rPr>
        <w:t xml:space="preserve">Finanzas.</w:t>
      </w:r>
      <w:r>
        <w:t xml:space="preserve"> La guía de 2026 es de 6.260-6.340 M de ingresos (+19 %, con Hexagon D&amp;E) y 8,05-8,15 USD de BPA non-GAAP [5]; el 2T26 creció un 24,2 % con una cartera récord de 8.100 M [4]. La diferencia entre el BPA non-GAAP (7,14 USD en 2025) y el GAAP (4,06 USD) es sobre todo la remuneración en acciones, 455 M, un 8,6 % de las ventas [1, 25], que nosotros tratamos como coste. La deuda neta es de 1.042 M tras pagar Hexagon en efectivo.</w:t>
      </w:r>
    </w:p>
    <w:p>
      <w:pPr>
        <w:spacing w:after="100"/>
      </w:pPr>
      <w:r>
        <w:rPr>
          <w:b/>
        </w:rPr>
        <w:t xml:space="preserve">Equipo y gobierno.</w:t>
      </w:r>
      <w:r>
        <w:t xml:space="preserve"> Suma poco y resta poco: Devgan y Wall son estables y la guía se cumple o supera (2025: 7,14 USD frente a 6,85-6,95 de julio) [1, 37]. No pudimos leer el proxy de 2026, así que el gobierno tiene confianza baja.</w:t>
      </w:r>
    </w:p>
    <w:p>
      <w:pPr>
        <w:spacing w:after="100"/>
      </w:pPr>
      <w:r>
        <w:rPr>
          <w:b/>
        </w:rPr>
        <w:t xml:space="preserve">Valoración.</w:t>
      </w:r>
      <w:r>
        <w:t xml:space="preserve"> El DCF da 139,69 USD con un WACC del 11,04 % (bono al 5,22 %) y 171,41 USD con la prima implícita del mercado. El DCF inverso dice que el precio descuenta un crecimiento del 19,3 % anual en 2027e-2035e, frente al 9,0 % de nuestro base, y una rentabilidad implícita del 6,4 %. Nuestra proyección coincide con el consenso en BPA (9,46 USD en 2027e frente a 9,40 [46]); la distancia es de tasa y de remuneración en acciones, no de cifras. Los comparables cotizan a 25,5 veces el BPA de los próximos 12 meses y Cadence a 38,7 veces. A 12 meses aplicamos el PER que hoy paga el mercado (37,3 veces nuestro BPA de 2027e), ya en la parte baja de su historia (mediana de 47,1 veces en 2022-2025).</w:t>
      </w:r>
    </w:p>
    <w:p>
      <w:pPr>
        <w:spacing w:after="100"/>
      </w:pPr>
      <w:r>
        <w:rPr>
          <w:b/>
        </w:rPr>
        <w:t xml:space="preserve">Riesgos y catalizadores.</w:t>
      </w:r>
      <w:r>
        <w:t xml:space="preserve"> El riesgo mayor es el múltiplo: con tipos altos o con la IA presionando el precio por licencia, el PER puede bajar a 31,7 veces (bajista, −14,5 %). China pesa un 12,8 % de las ventas [24]. El catalizador con fecha son los resultados del 3T26 el 26 de octubre [53]. Los foros están divididos y temen que la IA abarate el diseño de chips, un riesgo que el informe recoge en el bajista.</w:t>
      </w:r>
    </w:p>
    <w:p>
      <w:pPr>
        <w:spacing w:after="100"/>
      </w:pPr>
      <w:r>
        <w:rPr>
          <w:b/>
        </w:rPr>
        <w:t xml:space="preserve">Qué cambiaría la decisión.</w:t>
      </w:r>
      <w:r>
        <w:t xml:space="preserve"> Compraríamos por debajo de 147,55 USD (valor intrínseco) y venderíamos por encima de 432,19 USD. Pasaríamos a Vender si la guía de 2027 baja del 10 % de crecimiento o si el margen operativo non-GAAP cae por debajo del 43 %.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455,51 USD</w:t>
      </w:r>
      <w:r>
        <w:t xml:space="preserve"> (rentabilidad +29,1 % (base +24,7 %)) · Valor intrínseco: 147,55 USD (-58,2 % sobre 352,84) · con la prima implícita del mercado: 175,74 (-50,2 %)</w:t>
      </w:r>
    </w:p>
    <w:p>
      <w:pPr>
        <w:spacing w:after="100"/>
      </w:pPr>
      <w:r>
        <w:t xml:space="preserve">Cadence es la mitad de un duopolio: con Synopsys, vende las herramientas sin las que no se diseña un chip avanzado, en contratos plurianuales con un 77 % de ingresos recurrentes [23] y una cartera de 8.100 M [4]. Crece un 19 % en 2026 con un margen operativo non-GAAP del 45,5 % [4, 5] y un ROIC del 23,7 %.</w:t>
      </w:r>
    </w:p>
    <w:p>
      <w:pPr>
        <w:spacing w:after="100"/>
      </w:pPr>
      <w:r>
        <w:t xml:space="preserve">El precio descuenta mucho: 38,7 veces el BPA non-GAAP de los próximos 12 meses, y en el DCF inverso un crecimiento del 19,3 % anual hasta 2035, el doble del mercado. Con la remuneración en acciones como coste y un WACC del 11,04 %, el valor intrínseco es de 147,55 USD.</w:t>
      </w:r>
    </w:p>
    <w:p>
      <w:pPr>
        <w:spacing w:after="100"/>
      </w:pPr>
      <w:r>
        <w:t xml:space="preserve">El mercado acierta en la calidad y paga por la duración: diseño para IA, chiplets y simulación pueden sostener el crecimiento más de una década. Para invertir hay que creer que el mercado seguirá ignorando la remuneración en acciones y aceptando una rentabilidad implícita del 6,4 %. A 12 meses eso da un +10,2 %, insuficiente para comprar sin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 × 9,52 = 312,26 · 41,0x × 10,73 = 439,93 · 55,4x × 11,37 = 629,90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 / 24,7 %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401,44 (nuestro base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-51,5 % / -73,4 %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11,0 % y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 frente a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(10,0 %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147,55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147,55 y 506,12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506,12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147,55 USD (valor intrínseco), pasaríamos a Comprar.</w:t>
      </w:r>
    </w:p>
    <w:p>
      <w:pPr>
        <w:pStyle w:val="ListParagraph"/>
        <w:numPr>
          <w:ilvl w:val="0"/>
          <w:numId w:val="2"/>
        </w:numPr>
        <w:spacing w:after="60"/>
      </w:pPr>
      <w:r>
        <w:t xml:space="preserve">Si el precio supera 432,19 USD, pasaríamos a Vender.</w:t>
      </w:r>
    </w:p>
    <w:p>
      <w:pPr>
        <w:pStyle w:val="ListParagraph"/>
        <w:numPr>
          <w:ilvl w:val="0"/>
          <w:numId w:val="2"/>
        </w:numPr>
        <w:spacing w:after="60"/>
      </w:pPr>
      <w:r>
        <w:t xml:space="preserve">Si la guía de 2027 (febrero) queda por debajo del 10 % de crecimiento, pasaríamos a Vender.</w:t>
      </w:r>
    </w:p>
    <w:p>
      <w:pPr>
        <w:pStyle w:val="ListParagraph"/>
        <w:numPr>
          <w:ilvl w:val="0"/>
          <w:numId w:val="2"/>
        </w:numPr>
        <w:spacing w:after="60"/>
      </w:pPr>
      <w:r>
        <w:t xml:space="preserve">Si el margen operativo non-GAAP baja del 43 % dos trimestres seguidos, rebajaríamos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Cadence crecerá al 15-20 % muchos años gracias a la IA, y que el BPA non-GAAP (sin remuneración en acciones) es la medida del beneficio: lo paga a 38,7 veces los próximos 12 meses, con una rentabilidad implícita del 6,4 % con nuestras cifras.</w:t>
      </w:r>
    </w:p>
    <w:p>
      <w:pPr>
        <w:keepNext/>
        <w:spacing w:after="100"/>
      </w:pPr>
      <w:r>
        <w:rPr>
          <w:b/>
          <w:bCs/>
        </w:rPr>
        <w:t xml:space="preserve">Lo que creemos nosotros.</w:t>
      </w:r>
    </w:p>
    <w:p>
      <w:pPr>
        <w:spacing w:after="100"/>
      </w:pPr>
      <w:r>
        <w:t xml:space="preserve">Coincidimos en el BPA (9,46 USD en 2027e) y en la calidad, pero no en el precio de la duración: con la remuneración en acciones como coste y un bono al 5,22 %, los flujos valen 147,55 USD. A 12 meses esperamos que la acción siga al BPA (+10,2 % ponderado).</w:t>
      </w:r>
    </w:p>
    <w:p>
      <w:pPr>
        <w:keepNext/>
        <w:spacing w:after="100"/>
      </w:pPr>
      <w:r>
        <w:rPr>
          <w:b/>
          <w:bCs/>
        </w:rPr>
        <w:t xml:space="preserve">Por qué podemos tener razón.</w:t>
      </w:r>
    </w:p>
    <w:p>
      <w:pPr>
        <w:spacing w:after="100"/>
      </w:pPr>
      <w:r>
        <w:t xml:space="preserve">La remuneración en acciones (8,6 % de las ventas) es un coste recurrente que diluye, y el coste de capital de EE. UU. es hoy el más alto en quince años. No es una tesis bajista a 12 meses: sin catalizador, el múltiplo puede mantenerse.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52,8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Duopolio con costes de cambio altísimos</w:t>
      </w:r>
      <w:r>
        <w:t xml:space="preserve">: ≈ 25 % de un mercado de ≈ 21.200 M que crece al 9 % [26].</w:t>
      </w:r>
    </w:p>
    <w:p>
      <w:pPr>
        <w:pStyle w:val="ListParagraph"/>
        <w:numPr>
          <w:ilvl w:val="0"/>
          <w:numId w:val="2"/>
        </w:numPr>
        <w:spacing w:after="60"/>
      </w:pPr>
      <w:r>
        <w:rPr>
          <w:b/>
        </w:rPr>
        <w:t xml:space="preserve">Crecimiento que acelera</w:t>
      </w:r>
      <w:r>
        <w:t xml:space="preserve">: +24,2 % en el 2T26 y guía del +19 % para 2026 [4, 5].</w:t>
      </w:r>
    </w:p>
    <w:p>
      <w:pPr>
        <w:pStyle w:val="ListParagraph"/>
        <w:numPr>
          <w:ilvl w:val="0"/>
          <w:numId w:val="2"/>
        </w:numPr>
        <w:spacing w:after="60"/>
      </w:pPr>
      <w:r>
        <w:rPr>
          <w:b/>
        </w:rPr>
        <w:t xml:space="preserve">Margen al alza</w:t>
      </w:r>
      <w:r>
        <w:t xml:space="preserve">: operativo non-GAAP del 45,5 % en el 2T26, frente al 42,8 % un año antes [4].</w:t>
      </w:r>
    </w:p>
    <w:p>
      <w:pPr>
        <w:pStyle w:val="ListParagraph"/>
        <w:numPr>
          <w:ilvl w:val="0"/>
          <w:numId w:val="2"/>
        </w:numPr>
        <w:spacing w:after="60"/>
      </w:pPr>
      <w:r>
        <w:rPr>
          <w:b/>
        </w:rPr>
        <w:t xml:space="preserve">Visibilidad</w:t>
      </w:r>
      <w:r>
        <w:t xml:space="preserve">: cartera récord de 8.100 M, más de un año de ingresos [4].</w:t>
      </w:r>
    </w:p>
    <w:p>
      <w:pPr>
        <w:pStyle w:val="ListParagraph"/>
        <w:numPr>
          <w:ilvl w:val="0"/>
          <w:numId w:val="2"/>
        </w:numPr>
        <w:spacing w:after="60"/>
      </w:pPr>
      <w:r>
        <w:rPr>
          <w:b/>
        </w:rPr>
        <w:t xml:space="preserve">PER en la parte baja de su historia</w:t>
      </w:r>
      <w:r>
        <w:t xml:space="preserve">: 37,3 veces el BPA de 2027e frente a una mediana de 47,1 veces.</w:t>
      </w:r>
    </w:p>
    <w:p>
      <w:pPr>
        <w:pStyle w:val="Heading2"/>
      </w:pPr>
      <w:r>
        <w:t xml:space="preserve">En contra</w:t>
      </w:r>
    </w:p>
    <w:p>
      <w:pPr>
        <w:pStyle w:val="ListParagraph"/>
        <w:numPr>
          <w:ilvl w:val="0"/>
          <w:numId w:val="2"/>
        </w:numPr>
        <w:spacing w:after="60"/>
      </w:pPr>
      <w:r>
        <w:rPr>
          <w:b/>
        </w:rPr>
        <w:t xml:space="preserve">Valor intrínseco muy por debajo del precio</w:t>
      </w:r>
      <w:r>
        <w:t xml:space="preserve">: 147,55 USD, un 58,2 % menos.</w:t>
      </w:r>
    </w:p>
    <w:p>
      <w:pPr>
        <w:pStyle w:val="ListParagraph"/>
        <w:numPr>
          <w:ilvl w:val="0"/>
          <w:numId w:val="2"/>
        </w:numPr>
        <w:spacing w:after="60"/>
      </w:pPr>
      <w:r>
        <w:rPr>
          <w:b/>
        </w:rPr>
        <w:t xml:space="preserve">El precio pide un crecimiento del 19,3 % anual</w:t>
      </w:r>
      <w:r>
        <w:t xml:space="preserve"> hasta 2035, el doble del mercado.</w:t>
      </w:r>
    </w:p>
    <w:p>
      <w:pPr>
        <w:pStyle w:val="ListParagraph"/>
        <w:numPr>
          <w:ilvl w:val="0"/>
          <w:numId w:val="2"/>
        </w:numPr>
        <w:spacing w:after="60"/>
      </w:pPr>
      <w:r>
        <w:rPr>
          <w:b/>
        </w:rPr>
        <w:t xml:space="preserve">Remuneración en acciones del 8,6 % de las ventas</w:t>
      </w:r>
      <w:r>
        <w:t xml:space="preserve"> fuera del BPA que mira el mercado [25].</w:t>
      </w:r>
    </w:p>
    <w:p>
      <w:pPr>
        <w:pStyle w:val="ListParagraph"/>
        <w:numPr>
          <w:ilvl w:val="0"/>
          <w:numId w:val="2"/>
        </w:numPr>
        <w:spacing w:after="60"/>
      </w:pPr>
      <w:r>
        <w:rPr>
          <w:b/>
        </w:rPr>
        <w:t xml:space="preserve">China, un 12,8 % de las ventas</w:t>
      </w:r>
      <w:r>
        <w:t xml:space="preserve">, expuesta a controles de exportación [24].</w:t>
      </w:r>
    </w:p>
    <w:p>
      <w:pPr>
        <w:pStyle w:val="ListParagraph"/>
        <w:numPr>
          <w:ilvl w:val="0"/>
          <w:numId w:val="2"/>
        </w:numPr>
        <w:spacing w:after="60"/>
      </w:pPr>
      <w:r>
        <w:rPr>
          <w:b/>
        </w:rPr>
        <w:t xml:space="preserve">Prima del ≈ 60 % sobre Synopsys</w:t>
      </w:r>
      <w:r>
        <w:t xml:space="preserve"> en PER ajustado [51].</w:t>
      </w:r>
    </w:p>
    <w:p>
      <w:pPr>
        <w:pStyle w:val="Heading2"/>
      </w:pPr>
      <w:r>
        <w:t xml:space="preserve">Qué tiene que pasar para que la tesis funcione</w:t>
      </w:r>
    </w:p>
    <w:p>
      <w:pPr>
        <w:spacing w:after="100"/>
      </w:pPr>
      <w:r>
        <w:t xml:space="preserve">La tesis a 12 meses depende de que el mercado siga pagando unas 37 veces el BPA non-GAAP mientras este crece al 15-17 %. La señal de que no se cumple: una guía de 2027 con crecimiento orgánico de un dígito, la cartera de pedidos estancada o un PER de Synopsys por debajo de 20 veces que arrastre al sector.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 M USD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7.800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los ingresos de 12-24 meses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non-GAAP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en la guía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19,3 % anual.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BPA non-GAAP y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en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10 % o nuevas licencias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regulatorio [24].</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86,9x / 38,7x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Cadence nació en 1988 de la fusión de SDA Systems y ECAD, dos pioneros del diseño electrónico asistido por ordenador. En los años noventa y dos mil creció comprando (Cooper &amp; Chyan, Verisity, entre otras) y sufrió en 2008-09 pérdidas y un cambio de dirección. Lip-Bu Tan, primer ejecutivo de 2009 a 2021, la reorientó al crecimiento orgánico, la propiedad intelectual y el «diseño de sistemas», y multiplicó el margen operativo. Anirudh Devgan, su sucesor desde diciembre de 2021, ha acelerado la expansión hacia la simulación multifísica con compras (Future Facilities, OpenEye, BETA CAE, Hexagon D&amp;E) y hacia la IA aplicada al diseño de chips [29,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SDA Systems y ECAD: nace Cadence.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Lip-Bu Tan, primer ejecutivo: giro hacia margen, IP y sistemas.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Anirudh Devgan sucede a Tan como primer ejecutivo.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OpenEye (simulación molecular) por unos 500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BETA CAE y emisión de 2.500 M USD en bonos.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IP Artisan de Arm y de Secure-IC; acuerdo para comprar Hexagon D&amp;E (≈ 2.700 M EUR)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Hexagon D&amp;E (23-feb) y cartera récord de 8.100 M USD (jun) [4, 33].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Cadence vende el software y la propiedad intelectual con que se diseñan los chips y, cada vez más, los sistemas que los llevan. Tres familias: EDA de núcleo (diseño digital y firma, verificación funcional con los emuladores Palladium y Protium, diseño personalizado y analógico), propiedad intelectual de semiconductores (interfaces, memoria y, desde 2025, la IP Artisan comprada a Arm) y diseño y análisis de sistemas (simulación multifísica, placas y encapsulado; BETA CAE en 2024 y el negocio de diseño e ingeniería de Hexagon, MSC Software, cerrado el 23-feb-2026) [4, 6]. Sus clientes son los fabricantes de semiconductores, los hiperescaladores que diseñan sus propios chips y, con la simulación, la automoción y la aeronáutica. En 2025 facturó 5.297 M USD (+14 %) y cerró el 2T26 con una cartera de pedidos récord de 8.100 M [1, 4].</w:t>
      </w:r>
    </w:p>
    <w:p>
      <w:pPr>
        <w:pStyle w:val="Heading2"/>
      </w:pPr>
      <w:r>
        <w:t xml:space="preserve">Cómo gana dinero</w:t>
      </w:r>
    </w:p>
    <w:p>
      <w:pPr>
        <w:spacing w:after="100"/>
      </w:pPr>
      <w:r>
        <w:t xml:space="preserve">Licencias de software en contratos plurianuales (normalmente tres años) que se reconocen casi todas a lo largo del contrato, más ventas de hardware de emulación y de IP que se reconocen al entregar. En el 1T26 el 77 % de los ingresos fue recurrente [23]. El margen depende del apalancamiento: el coste es sobre todo plantilla de I+D, y el margen operativo non-GAAP subió del 42,8 % del 2T25 al 45,5 % del 2T26 [4]. La remuneración en acciones (455 M en 2025, un 8,6 % de las ventas) es el gran ajuste entre las cifras GAAP y las non-GAAP [25]. La estacionalidad viene del hardware y de la IP, que concentran ingresos en trimestres concretos; la cartera (8.100 M, con unos 4.000 M a reconocer en 12 meses al cierre del 1T26) da visibilidad [4, 7].</w:t>
      </w:r>
    </w:p>
    <w:p>
      <w:pPr>
        <w:keepNext w:val="false"/>
        <w:spacing w:after="160" w:before="120"/>
        <w:jc w:val="center"/>
      </w:pPr>
      <w:r>
        <w:drawing>
          <wp:inline xmlns:wp="http://schemas.openxmlformats.org/drawingml/2006/wordprocessingDrawing" distT="0" distB="0" distL="0" distR="0">
            <wp:extent cx="5760000" cy="2160000"/>
            <wp:effectExtent l="0" t="0" r="0" b="0"/>
            <wp:docPr id="1002" name="Gráfico 2"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Clientes, recurrencia y poder de precios</w:t>
      </w:r>
    </w:p>
    <w:p>
      <w:pPr>
        <w:spacing w:after="100"/>
      </w:pPr>
      <w:r>
        <w:t xml:space="preserve">Cadence no publica concentración de clientes por encima del 10 % en los extractos consultados. La base es concentrada por naturaleza: los grandes diseñadores de chips (fabricantes de procesadores, de memoria, hiperescaladores con chip propio) firman contratos plurianuales que se renuevan y amplían. La prueba del poder de precios es indirecta: el margen operativo non-GAAP subió del 37 % en 2021 al ~45 % en 2025 con crecimientos del 14-20 % [1, 8], y la cartera de pedidos pasó de 7.800 M a fin de 2025 a 8.100 M en junio de 2026 [1, 4]. China pesó 680 M en 2025 (12,8 % de las ventas, +19 %) y es el riesgo de concentración por país, por los controles de exportación de EE. UU. [24].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da visibilidad a 2026-2027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non-GAAP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pese a integrar Hexagon D&amp;E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resto es hardware de emulación e IP de reconocimiento inmediato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1.729 M USD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2.000 M USD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elevada en julio [2,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del diseño de sistemas electrónicos tal como lo mide la ESD Alliance de SEMI: herramientas de diseño de chips (EDA), propiedad intelectual de semiconductores, ingeniería asistida (CAE), diseño de placas y servicios, en todo el mundo. Es el perímetro donde compiten Cadence, Synopsys y Siemens EDA. Usamos la serie de la ESD Alliance porque es la única que suma los ingresos declarados por las empresas; los informes de consultoras de pago no estaban disponibles [26, 27,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21.200 M USD en 2025 (suma propia de los cuatro trimestres publicados por la ESD Alliance) [26, 27,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Chips para IA y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Cadence atribuye a la IA el crecimiento del 24,2 % del 2T26 y una cartera récord de 8.100 M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Hiperescaladores que diseñan su propio chip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Amplían la base de clientes más allá de los fabricantes tradicionales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Propiedad intelectual de semiconductores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la categoría que más creció en el 4T25: +18,3 %, hasta 2.083 M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Simulación multifísica y gemelos digitales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creció un 9,4 % en el 4T25 (1.887 M) [26]; Synopsys compró Ansys y Cadence, Hexagon D&amp;E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Controles de exportación 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pesa ≈ 13 % de las ventas de Cadence; Synopsys bajó su guía citando tensiones entre EE. UU. y China [24, 31].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con Synopsys, más Siemens EDA; compiten en funcionalidad y no en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grandes y concentrados que negocian contratos plurianuales, pero sin alternativa fácil.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es talento de ingeniería; no hay proveedores críticos.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Décadas de I+D y certificación con las fundiciones; los nuevos (IA, rivales chinos) entran por nichos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generativa puede abaratar partes del flujo de diseño; hoy la usan los propios incumbentes [30].</w:t>
            </w:r>
          </w:p>
        </w:tc>
      </w:tr>
    </w:tbl>
    <w:p>
      <w:pPr>
        <w:spacing w:after="160" w:before="0"/>
      </w:pPr>
    </w:p>
    <w:p>
      <w:pPr>
        <w:pStyle w:val="Heading2"/>
      </w:pPr>
      <w:r>
        <w:t xml:space="preserve">Ciclo</w:t>
      </w:r>
    </w:p>
    <w:p>
      <w:pPr>
        <w:spacing w:after="100"/>
      </w:pPr>
      <w:r>
        <w:t xml:space="preserve">La ESD Alliance mostró crecimientos del 8,6-12,8 % en cada trimestre de 2025 [26, 27, 28], y Cadence crece un 19 % en 2026 según su guía [4]. El EDA es poco cíclico porque las licencias son plurianuales: en 2008-09 Cadence sufrió por un cambio de modelo de licencias, no por la demanda; en 2020 y 2022 siguió creciendo a dos dígitos mientras los semiconductores corregían. Lo cíclico es el hardware de emulación y la parte de China.</w:t>
      </w:r>
    </w:p>
    <w:p>
      <w:pPr>
        <w:pStyle w:val="Heading2"/>
      </w:pPr>
      <w:r>
        <w:t xml:space="preserve">Regulación</w:t>
      </w:r>
    </w:p>
    <w:p>
      <w:pPr>
        <w:spacing w:after="100"/>
      </w:pPr>
      <w:r>
        <w:t xml:space="preserve">La norma que más pesa son los controles de exportación de EE. UU. a China, que en 2025 llegaron a exigir licencias para vender EDA a clientes chinos y se relajaron después; Synopsys bajó su guía en 2026 citando esas tensiones [24, 31]. No hay regulación sectorial de precios. La compra de Hexagon D&amp;E necesitó autorizaciones de competencia y se cerró sin remedios conocidos [29].</w:t>
      </w:r>
    </w:p>
    <w:p>
      <w:pPr>
        <w:pStyle w:val="Heading2"/>
      </w:pPr>
      <w:r>
        <w:t xml:space="preserve">Tendencias y disrupción</w:t>
      </w:r>
    </w:p>
    <w:p>
      <w:pPr>
        <w:spacing w:after="100"/>
      </w:pPr>
      <w:r>
        <w:t xml:space="preserve">Tres tendencias: los chips para IA (más transistores, encapsulado 3D y chiplets) multiplican el trabajo de diseño y verificación; los diseñadores incorporan agentes de IA, que Cadence vende (ChipStack y otros) y que pueden cambiar cómo se cobra; y la convergencia del diseño electrónico con la simulación mecánica y térmica, donde Synopsys (con Ansys) y Cadence (con BETA CAE y MSC) compiten ahora con Siemens y Dassault [29, 30]. Una demostración de diseño de chips con IA de código abierto de un laboratorio chino tumbó la acción un 9 % en un día: el mercado teme por el poder de precios [30].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proveedor mundial de diseño de sistemas electrónicos, tras Synopsys; ≈ 25 % del mercado de la ESD Alliance en 2025 (estimación propia: 5.297 M sobre ≈ 21.200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SNPS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EDA y, tras comprar Ansys (2025), de la simulación; ejercicio a octubre de 2025 con 7.054 M de ingresos y un margen GAAP deprimido por la compra. Guía de 2026 de 9.630-9.710 M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EDA (Siemens AG)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Antigua Mentor Graphics; fuerte en verificación física y placas. No publica cifras separadas.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 (SIMULIA)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simulación tras la entrada de Cadence en CAE con BETA CAE y MSC.</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Empresas chinas de EDA (Empyrean y otras)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Ganan cuota en su mercado interior con apoyo público y por los controles de exportación [24,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fundiciones certifican sus procesos con las herramientas de Cadence y Synopsys; los ingenieros se forman en ellas.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Flujos de diseño de años y equipos formados; contratos plurianuales que se renuevan; cartera de 8.100 M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Décadas de I+D acumulada y catálogo de IP certificada.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compite en precio; el margen viene de la escala del software.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 ≈ 21.000 M repartido entre tres grandes; un cuarto entrante no tendría escala [1].</w:t>
            </w:r>
          </w:p>
        </w:tc>
      </w:tr>
    </w:tbl>
    <w:p>
      <w:pPr>
        <w:spacing w:after="160" w:before="0"/>
      </w:pPr>
    </w:p>
    <w:p>
      <w:pPr>
        <w:pStyle w:val="Heading2"/>
      </w:pPr>
      <w:r>
        <w:t xml:space="preserve">Amenazas</w:t>
      </w:r>
    </w:p>
    <w:p>
      <w:pPr>
        <w:spacing w:after="100"/>
      </w:pPr>
      <w:r>
        <w:t xml:space="preserve">Tres amenazas. La IA generativa podría abaratar el diseño y presionar el precio por licencia, o al revés, aumentar el uso; la caída del 9 % por una demostración china muestra que el mercado lo teme [30]. China puede sustituir a los proveedores estadounidenses en su mercado (≈ 13 % de las ventas) [24]. Y Synopsys-Ansys ofrece un paquete integrado de diseño y simulación que obliga a Cadence a comprar caro para no quedarse atrás. Probabilidad de erosión del foso en cinco años: baja; de presión sobre el precio en China: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2"/>
        <w:gridCol w:w="973"/>
        <w:gridCol w:w="778"/>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r>
    </w:tbl>
    <w:p>
      <w:pPr>
        <w:spacing w:after="160" w:before="0"/>
      </w:pPr>
    </w:p>
    <w:p>
      <w:pPr>
        <w:spacing w:after="100"/>
      </w:pPr>
      <w:r>
        <w:t xml:space="preserve">Crecimiento anual compuesto 2021-2025: ingresos </w:t>
      </w:r>
      <w:r>
        <w:rPr>
          <w:b/>
          <w:bCs/>
        </w:rPr>
        <w:t xml:space="preserve">15,4 %</w:t>
      </w:r>
      <w:r>
        <w:t xml:space="preserve">, EBITDA </w:t>
      </w:r>
      <w:r>
        <w:rPr>
          <w:b/>
          <w:bCs/>
        </w:rPr>
        <w:t xml:space="preserve">16,9 %</w:t>
      </w:r>
      <w:r>
        <w:t xml:space="preserve">, BPA </w:t>
      </w:r>
      <w:r>
        <w:rPr>
          <w:b/>
          <w:bCs/>
        </w:rPr>
        <w:t xml:space="preserve">12,9 %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crecieron de 2.988 M en 2021 a 5.297 M en 2025, un 15,4 % anual compuesto, con una parte inorgánica (OpenEye en 2022, BETA CAE en 2024, Secure-IC y la IP Artisan en 2025) que la empresa no separa en los extractos consultados [1, 11]. El margen EBIT GAAP se movió en una banda del 26-30 %; el non-GAAP subió del 37 % de 2021 al 42 % de 2023 y a ~45 % en 2025 [1, 8, 10]. La diferencia (unos 16 puntos en 2025) es la remuneración en acciones (8,6 % de las ventas), la amortización de intangibles comprados y los costes de adquisición e integración. En 2026 la guía es de 6.260-6.340 M de ingresos (+19 % en el punto medio), BPA GAAP de 4,76-4,86 USD y non-GAAP de 8,05-8,15 USD [5]. El 2T26 creció un 24,2 % (1.584 M) con un margen operativo non-GAAP del 45,5 % [4].</w:t>
      </w:r>
    </w:p>
    <w:p>
      <w:pPr>
        <w:pStyle w:val="Heading2"/>
      </w:pPr>
      <w:r>
        <w:t xml:space="preserve">Ajustes y partidas no recurrentes</w:t>
      </w:r>
    </w:p>
    <w:p>
      <w:pPr>
        <w:spacing w:after="100"/>
      </w:pPr>
      <w:r>
        <w:t xml:space="preserve">Usamos las cifras GAAP en la cuenta. La dirección guía y el mercado valora sobre el BPA non-GAAP, que excluye la remuneración en acciones (455 M en 2025), la amortización de intangibles comprados, los costes de adquisición e integración y sus efectos fiscales: 7,14 USD frente a 4,06 USD GAAP en 2025, y 5,97 frente a 3,85 en 2024 [1, 20]. Esos ajustes se repiten todos los años: la remuneración en acciones es un coste recurrente y en el DCF la tratamos como gasto. El impuesto, el resultado financiero y el BAI no aparecieron en los extractos de búsqueda y quedan sin dato.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BPA non-GAAP de cada trimestre. En la conferencia del 1T26 (27-abr) la dirección subió la guía de ingresos al +17 % pero bajó la de BPA non-GAAP a 7,85-7,95 USD por la dilución de Hexagon D&amp;E (≈ 160 M de ingresos en 2026 y ≈ 0,28 USD menos de BPA) [7, 23]. Tres meses después (27-jul) el discurso cambió de tono: ingresos del 2T26 de 1.584 M (+24,2 %), BPA non-GAAP de 2,11 USD por encima de la guía (2,02-2,08), cartera récord de 8.100 M y guía anual elevada a 6.260-6.340 M de ingresos (+19 %) y 8,05-8,15 USD de BPA, con un flujo operativo de unos 2.000 M [4, 5]. La dirección atribuyó el crecimiento a la demanda de diseño para IA y a sus agentes de IA (ChipStack y otros) [19]. Para el 3T26 guía 1.595-1.625 M y 2,01-2,07 USD de BPA [5]. Las preguntas de los analistas se centraron en la sostenibilidad del hardware de emulación tras un trimestre récord, en China y en la integración de Hexagon; la dirección evitó dar cifras de 2027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BETA CAE (simulación estructural), consolidada desde 2024; emisión de 2.500 M de bonos en septiembre.; 2026: Hexagon D&amp;E (MSC Software), consolidada desde el 23-feb-2026: ≈ 2.700 M EUR, un 30 % en acciones (3,2 M de títulos) [6].).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balance pasó de caja neta a una ligera deuda neta en 2026 por las compras: la caja cayó de 3.001 M a 1.440 M entre diciembre y junio, con 2.482 M de bonos, una deuda neta de ≈ 1.040 M, menos de 0,5 veces el EBITDA [6, 18]. Los clientes subieron de 680 M a 945 M en 2025 (+39 % frente a ventas +14 %), por la facturación de hardware y de contratos al final del año [16]: es lo que más vigilar del circulante. Los ingresos diferidos (934 M) financian buena parte del capital circulante [3].</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6.397</w:t>
      </w:r>
      <w:r>
        <w:t xml:space="preserve">, conversión </w:t>
      </w:r>
      <w:r>
        <w:rPr>
          <w:b/>
          <w:bCs/>
        </w:rPr>
        <w:t xml:space="preserve">135 %</w:t>
      </w:r>
      <w:r>
        <w:t xml:space="preserve"> del beneficio neto; adquisiciones 0, dividendos 0, recompras 1.475.</w:t>
      </w:r>
    </w:p>
    <w:p>
      <w:pPr>
        <w:spacing w:after="100"/>
      </w:pPr>
      <w:r>
        <w:t xml:space="preserve">El flujo operativo creció de 1.101 M en 2021 a 1.729 M en 2025 [2, 13, 14]; en 2024 bajó a 1.261 M por el circulante y los impuestos, y en 2025 se recuperó. La conversión del beneficio GAAP es alta (1,56 veces en 2025) porque la remuneración en acciones (455 M) no consume caja: medido con ese coste, el flujo libre de 2025 (≈ 1.587 M) se queda en ≈ 1.130 M [15, 25]. El capex es pequeño (≈ 140 M, un 2,7 % de las ventas en 2025), casi todo de mantenimiento de centros de datos y oficinas [15]. Para 2026 la guía es de unos 2.000 M de flujo operativo y la intención de destinar ≈ 50 % del flujo libre a recompras [5].</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calidad del beneficio depende de qué se acepte como recurrente. La remuneración en acciones creció de 210 M en 2021 a 455 M en 2025 (del 7,0 % al 8,6 % de las ventas) [14, 25], y la empresa la excluye de su BPA non-GAAP, que en 2025 fue un 76 % mayor que el GAAP (7,14 frente a 4,06 USD) [1]. Las recompras (925 M en 2025) apenas compensan la dilución: las acciones diluidas medias pasaron de 278,4 M en 2021 a 273,2 M en 2025 [11]. Los clientes crecieron un 39 % en 2025 frente a un 14 % de las ventas, por hardware y facturación de final de año [16]. La parte de hardware de emulación (Palladium/Protium) es más volátil que el software. Sin balances completos de 2021-2022 los indicadores del motor (Altman, Piotroski, Beneish) salen parciales; con lo disponible no hay señales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8,6 % de las ventas en 2025 y fuera del BPA non-GAAP; la tratamos como coste en el DCF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+39 % frente a ventas +14 %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Facturación de hardware y de contratos al cierre; vigilar los días de cobro en 2026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seguidas (BETA CAE, Secure-IC, Artisan, Hexagon D&amp;E)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Complican la lectura del crecimiento orgánico, que la empresa no separa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26,9 % · </w:t>
      </w:r>
      <w:r>
        <w:rPr>
          <w:b/>
          <w:bCs/>
        </w:rPr>
        <w:t xml:space="preserve">WACC</w:t>
      </w:r>
      <w:r>
        <w:t xml:space="preserve">: 11,0 %.</w:t>
      </w:r>
    </w:p>
    <w:p>
      <w:pPr>
        <w:spacing w:after="100"/>
      </w:pPr>
      <w:r>
        <w:t xml:space="preserve">Cadence crea valor: el ROIC de 2025 fue del 23,7 %, 12,7 puntos por encima de un WACC del 11,04 %. Lo mueve el margen (margen neto GAAP del 20,9 %), no la rotación, que baja de 0,68 a 0,55 veces por las compras de 2024-2026 (BETA CAE, Secure-IC, IP Artisan, Hexagon D&amp;E), que llenan el balance de fondo de comercio [3, 6]. Los ROIC de 2022 y 2023 que da el motor (58,8 % y 61,6 %) están inflados porque faltan la caja y la deuda de esos años y el patrimonio de 2022: no los usamos. El ROIC incremental histórico (26,9 %) dice que el crecimiento se ha comprado a buen precio hasta ahora; Hexagon D&amp;E, a ≈ 16 veces ventas, lo rebajará [6, 23]. Con el ROIC de Stock Analysis que se usa para los comparables, Cadence (17,2 %) supera a Synopsys (2,2 %, por Ansys) y a Dassault (13,8 %), y queda por debajo de Autodesk [50].</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1.440 M USD al 30-jun-2026, tras pagar en efectivo ≈ 70 % de Hexagon D&amp;E (3.001 M a fin de 2025) [6]. Deuda a largo plazo de 2.482 M: bonos de 2027 (500 M), 2029 (1.000 M) y 2034 (1.000 M) [6, 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US GAAP: los arrendamientos operativos no van a la deuda. Los ingresos diferidos (778 M corrientes y 156 M a largo plazo a fin de 2025) son el anticipo de los clientes y se compensan con entregas: circulante, no deuda [3]. No aparecieron en la búsqueda covenants, pensiones relevantes ni pagos aplazados de adquisiciones; el 30 % de Hexagon D&amp;E se pagó en acciones (3,2 M de títulos) [6].</w:t>
      </w:r>
    </w:p>
    <w:p>
      <w:pPr>
        <w:pStyle w:val="Heading1"/>
      </w:pPr>
      <w:r>
        <w:t xml:space="preserve">12. Asignación de capital</w:t>
      </w:r>
    </w:p>
    <w:p>
      <w:pPr>
        <w:pStyle w:val="Confianza"/>
        <w:spacing w:after="100"/>
      </w:pPr>
      <w:r>
        <w:t xml:space="preserve">Confianza: Media</w:t>
      </w:r>
    </w:p>
    <w:p>
      <w:pPr>
        <w:spacing w:after="100"/>
      </w:pPr>
      <w:r>
        <w:t xml:space="preserve">Sin dividendo. La prioridad declarada es invertir en el crecimiento orgánico y en compras complementarias, y devolver el resto con recompras: la guía de 2026 prevé destinar en torno al 50 % del flujo libre a recompras [5]. En el 2T26 recompró 200 M [4]; en 2025, 925 M, y en 2024, 550 M [15,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CAE Systems (simulación estructural)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diseño y análisis de sistemas; sin deterioros conocidos.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 Artisan de Arm y Secure-IC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Amplía la cartera de IP; cifras no publicadas en los extractos.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Design &amp; Engineering (MSC Software)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70 % caja y 30 % acciones (3,2 M títulos)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23-feb-2026; ≈ 160 M de ingresos en 2026 y dilutiva en ≈ 0,28 USD de BPA el primer año [6, 23].</w:t>
            </w:r>
          </w:p>
        </w:tc>
      </w:tr>
    </w:tbl>
    <w:p>
      <w:pPr>
        <w:spacing w:after="160" w:before="0"/>
      </w:pPr>
    </w:p>
    <w:p>
      <w:pPr>
        <w:spacing w:after="100"/>
      </w:pPr>
      <w:r>
        <w:t xml:space="preserve">La dirección asigna el capital con disciplina en lo orgánico (capex del 2,7 % de las ventas, márgenes al alza) y con más riesgo en las compras: Hexagon D&amp;E costó ≈ 2.700 M EUR (≈ 3.019 M USD al cambio de 1,1181) por un negocio de unos 190 M USD de ingresos anuales, unas 16 veces ventas (estimación propia: 160 M en diez meses de 2026, anualizados) [6, 23]. Las recompras apenas neutralizan la dilución de la remuneración en acciones: en cinco años las acciones diluidas solo bajan un 1,9 % [11].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Anirudh Devgan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la compañía (President)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IBM y Magma; en Cadence desde 2012 al frente del negocio digital y de verificación, presidente desde 2017 y primer ejecutivo desde diciembre de 2021. Con él los ingresos pasaron de 2.988 M (2021) a 5.297 M (2025) y el margen operativo non-GAAP del 37 % al ~45 % [1]. En 2025 ejerció opciones por 28,8 M USD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Wall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Cadence desde 1997; director financiero desde 2017. Firma la guía, que en los últimos años se ha cumplido o superado [1, 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non-GAAP inicial de 2024 (feb-24) y ajustes posteriores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5,97 USD de BPA non-GAAP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non-GAAP de 6,85-6,95 USD (jul-25)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7,14 USD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5.900-6.000 M y BPA non-GAAP de 8,05-8,15 USD (feb-26), sin Hexagon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jul-26: 6.260-6.340 M y 8,05-8,15 USD con Hexagon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es estable: Devgan lleva cinco años como primer ejecutivo tras una sucesión anunciada, y Wall nueve como director financiero. La guía suele ser prudente y se supera: 2025 terminó en 7,14 USD de BPA non-GAAP frente a 6,85-6,95 de la guía de julio [1, 37], y en 2026 la empresa absorbió la dilución de Hexagon (≈ 0,28 USD) y aun así volvió al rango inicial de BPA [4, 7]. No hemos encontrado un plan de sucesión público.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Hexagon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(pago en acciones de la venta de D&amp;E)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 en feb-2026 con 3,2 M de acciones (estimación propia del porcentaje sobre ≈ 273 M)</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se vota cada dos años: en la junta de 2024 la aprobó cerca del 90 % de los votos emitidos, y la media de los cinco años anteriores fue del 91 % [35]. En 2026 la junta votó de nuevo la remuneración (propuesta 3) y una ampliación del plan de acciones (Omnibus Equity Incentive Plan), que sostiene una remuneración en acciones del 8,6 % de las ventas [34]. No hemos podido leer el proxy de 2026: las métricas del variable (habitualmente ingresos, margen operativo non-GAAP y rentabilidad relativa para el accionista) y la cifra total del primer ejecutivo quedan sin verificar.</w:t>
      </w:r>
    </w:p>
    <w:p>
      <w:pPr>
        <w:pStyle w:val="Heading2"/>
      </w:pPr>
      <w:r>
        <w:t xml:space="preserve">Operaciones vinculadas, estructura de control y defensas</w:t>
      </w:r>
    </w:p>
    <w:p>
      <w:pPr>
        <w:spacing w:after="100"/>
      </w:pPr>
      <w:r>
        <w:t xml:space="preserve">Sin accionista de control: el capital está en manos de fondos institucionales y una sola clase de acciones con un voto por acción. No hemos encontrado operaciones vinculadas relevantes ni blindajes más allá de los habituales en Delaware. Hexagon recibió un 1,2 % del capital en el pago de D&amp;E [34].</w:t>
      </w:r>
    </w:p>
    <w:p>
      <w:pPr>
        <w:pStyle w:val="Heading2"/>
      </w:pPr>
      <w:r>
        <w:t xml:space="preserve">Señales de alerta</w:t>
      </w:r>
    </w:p>
    <w:p>
      <w:pPr>
        <w:pStyle w:val="ListParagraph"/>
        <w:numPr>
          <w:ilvl w:val="0"/>
          <w:numId w:val="2"/>
        </w:numPr>
        <w:spacing w:after="60"/>
      </w:pPr>
      <w:r>
        <w:t xml:space="preserve">Ninguna relevante detectada en los extractos de búsqueda; el proxy de 2026, el registro de Form 4 y el resultado de la junta de 2026 no se pudieron leer.</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elevada el 27-jul-2026: ingresos de 6.260-6.340 M (+19 % en el punto medio, con Hexagon D&amp;E), BPA GAAP de 4,76-4,86 USD, BPA non-GAAP de 8,05-8,15 USD y flujo operativo de unos 2.000 M; para el 3T26, ingresos de 1.595-1.625 M y BPA non-GAAP de 2,01-2,07 USD [5]. La guía de febrero (5.900-6.000 M, sin Hexagon) y la de abril (6.125-6.225 M; BPA non-GAAP rebajado a 7,85-7,95 por la dilución) se han superado. No hay plan a medio plazo publicado con cifras.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la empresa (ingresos) y media de analistas (BPA non-GAAP) [5,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de las medias trimestrales de 2027 (≈ 9,0-9,4 USD)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 [47]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401,44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349,00 – n.d.</w:t>
            </w:r>
          </w:p>
        </w:tc>
      </w:tr>
    </w:tbl>
    <w:p>
      <w:pPr>
        <w:spacing w:after="160" w:before="0"/>
      </w:pPr>
    </w:p>
    <w:p>
      <w:pPr>
        <w:pStyle w:val="Heading2"/>
      </w:pPr>
      <w:r>
        <w:t xml:space="preserve">Revisiones de estimaciones</w:t>
      </w:r>
    </w:p>
    <w:p>
      <w:pPr>
        <w:spacing w:after="100"/>
      </w:pPr>
      <w:r>
        <w:t xml:space="preserve">Tras el 2T26 los objetivos subieron: Bank of America, Rosenblatt, Baird y Citigroup a 420 USD; Piper Sandler, en Neutral, a 349 USD [43, 44]. El consenso de BPA de 2026 que publicaba Zacks antes de la guía nueva (7,94 USD) ha subido hacia los 8,1 USD [45, 46]. No hemos encontrado revisiones de octubre. Las estimaciones son todas non-GAAP (sin remuneración en acciones ni amortización de intangibles), de una sola fuente gratuita para 2027 y 2028: confianza baja en el contraste.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Cierres anuales de Macrotrends [42]; el de 2025 es una estimación propia (351,35 USD el 4-oct-2026 con una subida en el año de ≈ 12 % [41]). Sobre el BPA non-GAAP de cada año, el PER de cierre fue de 23,3 veces en 2018, 31,5 en 2019, 48,7 en 2020, 56,6 en 2021, 37,6 en 2022, 52,9 en 2023, 50,3 en 2024 y ≈ 43,9 en 2025 [1, 9, 10]. Excluimos 2020 y 2021 por la burbuja del software. Hoy cotiza a 43,5 veces el BPA non-GAAP guiado para 2026 (8,10 USD): en la parte baja de su banda de 2022-2025 (37,6-52,9) pese a crecer más rápido que entonces.</w:t>
      </w:r>
    </w:p>
    <w:p>
      <w:pPr>
        <w:pStyle w:val="Heading1"/>
      </w:pPr>
      <w:r>
        <w:t xml:space="preserve">18. Comparables cotizados</w:t>
      </w:r>
    </w:p>
    <w:p>
      <w:pPr>
        <w:pStyle w:val="Confianza"/>
        <w:spacing w:after="100"/>
      </w:pPr>
      <w:r>
        <w:t xml:space="preserve">Confianza: Media</w:t>
      </w:r>
    </w:p>
    <w:p>
      <w:pPr>
        <w:spacing w:after="100"/>
      </w:pPr>
      <w:r>
        <w:t xml:space="preserve">Seis cotizadas de software de diseño e ingeniería: Synopsys, el único par directo en EDA (y en simulación tras comprar Ansys); Autodesk, PTC y Dassault (diseño mecánico, PLM y simulación, donde Cadence entra con BETA CAE y MSC); Bentley y Nemetschek (ingeniería y construcción). Fuera: Siemens (conglomerado), Ansys y Altair (compradas) y Arm (licencias de IP con otro modelo). PER en base ajustada (non-GAAP), la misma que nuestro BPA; las demás cifras de los datos de comparables recogidos el 6-10 de octubre, con la capitalización en USD a 1,1181 USD/EUR [50, 51,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Cadence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19,9x / 21,5x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 / 25,5x / 27,6x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 / 6,9x / 8,0x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Cadence cotiza a 38,7 veces el BPA non-GAAP de los próximos 12 meses frente a una mediana de 25,5 veces de los seis comparables, y crece más que todos salvo Nemetschek (19 % de guía para 2026 frente a una mediana del 12 %) con un margen operativo non-GAAP del 45 %, el más alto del grupo [5, 50]. La prima se explica en parte: es un duopolio con Synopsys en un mercado que crece al 9-10 % [26]. Pero Synopsys, su único par directo, cotiza a unas 24 veces su BPA ajustado [51]: la prima de Cadence sobre su rival (≈ 60 %) es lo que hay que creer. Los múltiplos de EBITDA no son comparables (los de los comparables excluyen la remuneración en acciones; el de Cadence en el motor, no) y dan valores muy bajos (120,55 USD a la mediana). La mediana del PER da 232,73 USD. Les damos un 10 % del peso: son un suelo de referencia, no el valor.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es fijo en el +19 % de la guía (6.260-6.340 M), con dos trimestres publicados: +18,7 % y +24,2 % [5]. Desde 2027 el crecimiento baja del 13 % al 5 % en 2035e, por encima del mercado (≈ 9 % anual en 2025 según la ESD Alliance [26, 27, 28]) los primeros años y por debajo después. En 2021-2025 Cadence creció un 15,4 % anual con compras; la cartera de 8.100 M cubre más de un año de ingresos [4]. El consenso de BPA de 2027 (9,40 USD) supone un +16 % sobre 2026; nuestro BPA non-GAAP de 2027e (9,46 USD) va en línea [46].</w:t>
      </w:r>
    </w:p>
    <w:p>
      <w:pPr>
        <w:keepNext/>
        <w:spacing w:after="100"/>
      </w:pPr>
      <w:r>
        <w:rPr>
          <w:b/>
          <w:bCs/>
        </w:rPr>
        <w:t xml:space="preserve">Márgenes.</w:t>
      </w:r>
    </w:p>
    <w:p>
      <w:pPr>
        <w:spacing w:after="100"/>
      </w:pPr>
      <w:r>
        <w:t xml:space="preserve">Trabajamos en US GAAP con la remuneración en acciones como coste. El margen EBITDA «limpio» es el operativo non-GAAP menos la remuneración en acciones más la depreciación: 2025, 44,6 % − 8,6 % + 2,4 % ≈ 38,4 % (estimación propia; la diferencia con el EBITDA GAAP del 32,5 % son costes de adquisición e integración que tratamos como no recurrentes) [1, 25]. Para 2026e, 38,5 % (Hexagon diluye ≈ 0,28 USD de BPA [23]); después sube medio punto al año hasta el 40,5 % en 2030e, en línea con el +2,7 puntos de margen operativo del 2T26 [4].</w:t>
      </w:r>
    </w:p>
    <w:p>
      <w:pPr>
        <w:keepNext/>
        <w:spacing w:after="100"/>
      </w:pPr>
      <w:r>
        <w:rPr>
          <w:b/>
          <w:bCs/>
        </w:rPr>
        <w:t xml:space="preserve">Inversión y circulante.</w:t>
      </w:r>
    </w:p>
    <w:p>
      <w:pPr>
        <w:spacing w:after="100"/>
      </w:pPr>
      <w:r>
        <w:t xml:space="preserve">Capex del 3,0 % de las ventas (2,7 % en 2025 [15]) y amortización del 5,0 % hasta 2029e, que incluye la de los intangibles de Hexagon D&amp;E y BETA CAE, y del 4,0 % después; en el último año el capex (4,0 %) iguala a la amortización. El circulante comercial se fija en el 2,0 % de las ventas: los clientes (945 M) casi se compensan con los ingresos diferidos (934 M) [3, 16]. Las compras futuras no se proyectan.</w:t>
      </w:r>
    </w:p>
    <w:p>
      <w:pPr>
        <w:keepNext/>
        <w:spacing w:after="100"/>
      </w:pPr>
      <w:r>
        <w:rPr>
          <w:b/>
          <w:bCs/>
        </w:rPr>
        <w:t xml:space="preserve">Coste del capital.</w:t>
      </w:r>
    </w:p>
    <w:p>
      <w:pPr>
        <w:spacing w:after="100"/>
      </w:pPr>
      <w:r>
        <w:t xml:space="preserve">Tasa libre del 5,22 % (bono de EE. UU. a 10 años del 13-oct-2026) [48]; beta de 1,1, estimación propia sin dato verificado (la de proveedores para Cadence suele quedar entre 1,0 y 1,2; no pudimos calcularla con bolsa.mjs); prima de mercado del 5,5 %. Coste de la deuda del 4,5 % (bonos al 4,2-4,7 % [6]) y peso del 3 % (2.482 M sobre 97.384 M de capitalización). WACC del 11,04 %. Con la prima implícita del mercado (4,2 %) baja al 9,66 % y el DCF sube a 171,41 USD [49]. Cada 0,1 de beta mueve el DCF en torno a un 7 %.</w:t>
      </w:r>
    </w:p>
    <w:p>
      <w:pPr>
        <w:keepNext/>
        <w:spacing w:after="100"/>
      </w:pPr>
      <w:r>
        <w:rPr>
          <w:b/>
          <w:bCs/>
        </w:rPr>
        <w:t xml:space="preserve">Valor terminal.</w:t>
      </w:r>
    </w:p>
    <w:p>
      <w:pPr>
        <w:spacing w:after="100"/>
      </w:pPr>
      <w:r>
        <w:t xml:space="preserve">Crecimiento terminal del 3,0 %: 1,5 % real más ~1,5-2 % de inflación en USD, por debajo de la tasa libre del 5,22 %. Antes, una etapa de transición de diez años en la que el crecimiento baja del 5 % al 3 % (ver la justificación de la etapa). El valor terminal pesa un 26 % y la etapa de transición un 30 %: con un WACC del 11 %, la mayor parte del valor está en los primeros 20 años.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Etapa de transición (DCF en tres etapas)</w:t>
      </w:r>
    </w:p>
    <w:p>
      <w:pPr>
        <w:spacing w:after="100"/>
      </w:pPr>
      <w:r>
        <w:t xml:space="preserve">Con la etapa de transición de 10 años el DCF da 139,69 por acción; sin ella (crecimiento terminal desde 2035e), 132,06.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20.017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Usamos tres etapas porque el crecimiento de Cadence dura más que la proyección explícita. El diseño de chips para IA, los chiplets y el encapsulado 3D multiplican el trabajo de diseño y verificación por chip, y los hiperescaladores se han sumado a los fabricantes como clientes [4, 24]. El mercado de la ESD Alliance creció un 9-13 % en cada trimestre de 2025 [26, 27, 28] y Cadence tiene una cuarta parte en un duopolio de hecho, con costes de cambio altísimos (flujos de diseño certificados con las fundiciones) [4]. La simulación multifísica (BETA CAE, MSC) le abre un mercado adyacente donde hoy es pequeña. El ROIC (23,7 %) supera al WACC en 12,7 puntos, así que crecer crea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175,69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 (hoy: 25,0 %)</w:t>
            </w:r>
          </w:p>
        </w:tc>
      </w:tr>
    </w:tbl>
    <w:p>
      <w:pPr>
        <w:spacing w:after="160" w:before="0"/>
      </w:pPr>
    </w:p>
    <w:p>
      <w:pPr>
        <w:spacing w:after="100"/>
      </w:pPr>
      <w:r>
        <w:t xml:space="preserve">La proyección apenas necesita inversión neta de la amortización (reinversión acumulada de -914 M, con un capex bruto medio del 3,1 % de las ventas). En un negocio de activos ligeros, el crecimiento medio del 10,0 % tiene que salir de subir precios y de ganar volumen sin capital nuevo, y la prueba es el poder de precios y la cuota (27,2 % del mercado en 2035e, frente al 25,0 %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+19 %: ≈ 6 puntos de compras (Hexagon D&amp;E aporta ≈ 160 M, ≈ 3 puntos, y Secure-IC y la IP Artisan el resto, estimación propia) [23]; volumen de diseño para IA y récord de emulación [19]; precio de ≈ 3 puntos en renovaciones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nuevos diseños y clientes de sistemas (9 puntos), precio en renovaciones (3) y el mes y medio de Hexagon que falta en 2026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volumen (9) y precio (3); cartera de 8.100 M como base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8 puntos, cerca del crecimiento del mercado [26], y precio de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mercado: volumen de 7,5 y precio de 2,5.</w:t>
            </w:r>
          </w:p>
        </w:tc>
      </w:tr>
    </w:tbl>
    <w:p>
      <w:pPr>
        <w:spacing w:after="160" w:before="0"/>
      </w:pPr>
    </w:p>
    <w:p>
      <w:pPr>
        <w:spacing w:after="100"/>
      </w:pPr>
      <w:r>
        <w:t xml:space="preserve">La calidad de Cadence sí sostiene el crecimiento que proyectamos (10,0 % anual medio). La prueba de reinversión del motor no aplica: el negocio no necesita capital neto (la amortización incluye intangibles comprados) y la reinversión acumulada sale negativa. La hacemos con el poder de precios y la cuota: el margen operativo non-GAAP subió del 37 % de 2021 al 45,5 % del 2T26 mientras los ingresos crecían un 15 % anual [4, 8], y la cuota implícita en 2035e es del 27,2 %, frente al 25,0 % de hoy (1,09 veces, por debajo del límite de 1,5). El crecimiento comprado (Hexagon D&amp;E) solo cuenta en 2026e-2027e; no proyectamos más compras. Lo que no está demostrado es que el precio por licencia aguante si la IA abarata el diseño [30].</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 (base: 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71 % justifica el precio (base: 40,5 %)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(WACC: 11,0 %)</w:t>
            </w:r>
          </w:p>
        </w:tc>
      </w:tr>
    </w:tbl>
    <w:p>
      <w:pPr>
        <w:spacing w:after="160" w:before="0"/>
      </w:pPr>
    </w:p>
    <w:p>
      <w:pPr>
        <w:spacing w:after="100"/>
      </w:pPr>
      <w:r>
        <w:t xml:space="preserve">El DCF da 139,69 USD por acción, un 60,4 % por debajo del precio, con un WACC del 11,04 %; con la prima implícita del mercado (9,66 %), 171,41 USD. La transición pesa un 30 % del valor y el terminal un 26 %. El DCF inverso es la pregunta central: el precio descuenta un crecimiento del 19,3 % anual en 2027e-2035e con nuestros márgenes, frente al 9,0 % de nuestro caso base y al ≈ 9 % del mercado; ningún margen hasta el 71 % justifica el precio con nuestro crecimiento, y la rentabilidad implícita en el precio es del 6,4 % anual, frente al 11,04 % de WACC y el 9,66 % que pide el mercado. Es muy exigente: pide duplicar el crecimiento del mercado durante nueve años más. La diferencia no es de cifras sino de tasa y de la remuneración en acciones: nuestra proyección coincide con el consenso en BPA, pero tratamos los 455 M de remuneración en acciones como coste y descontamos al 11 % con el bono al 5,22 %. El mercado paga a Cadence como un activo de duración muy larga y bajo riesgo.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los rivales chinos presionan el precio por licencia, China se cierra por controles de exportación (12,8 % de las ventas) y el ciclo de emulación se gira tras el récord de 2026: el crecimiento baja cuatro puntos al año y el margen dos. Le pasó a Synopsys en 2026, que bajó su guía por China [31].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19 % en 2026 con Hexagon y del 13 % al 5 % después, margen EBITDA limpio del 38,5 % al 40,5 %, sin más 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171,09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multiplica el diseño de chips y la simulación de sistemas: dos puntos más de crecimiento al año y un punto más de margen por apalancamiento.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USD) · precio actual 352,8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136,09 USD (-61,4 %).</w:t>
      </w:r>
    </w:p>
    <w:p>
      <w:pPr>
        <w:spacing w:after="100"/>
      </w:pPr>
      <w:r>
        <w:t xml:space="preserve">En valor intrínseco los tres escenarios quedan muy por debajo del precio (93,87, 139,69 y 171,09 USD): el DCF no encuentra un caso razonable que justifique 352,84 USD con la remuneración en acciones como coste. A 12 meses la asimetría es favorable (1,97 veces): el alcista gana un 28,6 % y el bajista pierde un 14,5 %, porque el PER actual ya está en la parte baja de su historia. Las dos lecturas no se contradicen: la acción puede subir en un año si el mercado sigue pagando el PER de hoy, pero el precio no tiene margen de seguridad frente al valor de los flujos.</w:t>
      </w:r>
    </w:p>
    <w:p>
      <w:pPr>
        <w:pStyle w:val="Heading1"/>
      </w:pPr>
      <w:r>
        <w:t xml:space="preserve">22. Suma de partes</w:t>
      </w:r>
    </w:p>
    <w:p>
      <w:pPr>
        <w:pStyle w:val="Confianza"/>
        <w:spacing w:after="100"/>
      </w:pPr>
      <w:r>
        <w:t xml:space="preserve">Confianza: Media</w:t>
      </w:r>
    </w:p>
    <w:p>
      <w:pPr>
        <w:spacing w:after="100"/>
      </w:pPr>
      <w:r>
        <w:t xml:space="preserve">Cadence publica un solo segmento; sus tres familias (EDA de núcleo, IP y diseño de sistemas) se venden a los mismos clientes con el mismo modelo de licencia y no publica resultado por familia: no hay negocios con perfiles distintos que valorar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USD) · precio actual 352,8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354,60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147,55 USD (-58,2 % sobre 352,84).</w:t>
      </w:r>
    </w:p>
    <w:p>
      <w:pPr>
        <w:spacing w:after="100"/>
      </w:pPr>
      <w:r>
        <w:t xml:space="preserve">Pesos: DCF 50 %, escenarios 40 % y comparables 10 %. El DCF es el método más fiable para un negocio de licencias recurrentes, pero su resultado depende de la tasa (bono al 5,22 %) y de tratar la remuneración en acciones como coste: con la prima implícita del mercado sube a 171,41 USD, todavía un 51 % por debajo del precio. Los comparables pesan poco porque solo Synopsys hace lo mismo; dan 232,73 USD con la mediana del PER. No hay transacciones con múltiplo verificable. La dispersión entre métodos (de 93,87 USD del bajista a 232,73 USD de los comparables) queda entera por debajo del precio; solo el objetivo a 12 meses (388,98 USD), que toma el múltiplo que hoy paga el mercado, lo supera. Manda el segundo para la recomendación, y la regla exige además valor intrínseco ≥ precio para comprar.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(37.3x) × 1.1 (tope: la mediana de 5 años, 65.5x,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439,93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+78,5 %</w:t>
            </w:r>
          </w:p>
        </w:tc>
      </w:tr>
    </w:tbl>
    <w:p>
      <w:pPr>
        <w:spacing w:after="160" w:before="0"/>
      </w:pPr>
    </w:p>
    <w:p>
      <w:pPr>
        <w:spacing w:after="100"/>
      </w:pPr>
      <w:r>
        <w:rPr>
          <w:b/>
          <w:bCs/>
        </w:rPr>
        <w:t xml:space="preserve">Objetivo a 12 meses (ponderado):</w:t>
      </w:r>
      <w:r>
        <w:t xml:space="preserve"> 455,51 USD · rentabilidad +29,1 % (base +24,7 %) · señal Mantener.</w:t>
      </w:r>
    </w:p>
    <w:p>
      <w:pPr>
        <w:spacing w:after="100"/>
      </w:pPr>
      <w:r>
        <w:t xml:space="preserve">Para comparar, con la regla v2 (historia al cierre, mismo precio): 31,7x / 37,3x / 39,9x, 10,2 % Mantener; con el tope anterior del base (×1,3, 14-oct mediodía): 52,7 % Mantener. Decide la regla vigente (v3 con tope ×1,1; METODO-VIGENTE.md).</w:t>
      </w:r>
    </w:p>
    <w:p>
      <w:pPr>
        <w:keepNext/>
        <w:spacing w:after="100"/>
      </w:pPr>
      <w:r>
        <w:rPr>
          <w:b/>
          <w:bCs/>
        </w:rPr>
        <w:t xml:space="preserve">Frente al consenso (solo contraste).</w:t>
      </w:r>
    </w:p>
    <w:p>
      <w:pPr>
        <w:spacing w:after="100"/>
      </w:pPr>
      <w:r>
        <w:t xml:space="preserve">Nuestro BPA non-GAAP de 2028e (10,73 USD) queda un 4 % por debajo del consenso disponible (11,19 USD, una sola fuente [47]), y el de 2027e (9,46 USD) en línea con 9,40 [46]: no proyectamos recompras no anunciadas, que añaden ≈ 1-2 % al año. Nuestro precio base (400,23 USD) queda un 0,3 % por debajo del objetivo medio de los analistas (401,44 USD de 18 analistas, julio) [43]. La coincidencia viene de multiplicar un BPA similar por un PER similar; ningún dato se ha tomado del consenso.</w:t>
      </w:r>
    </w:p>
    <w:p>
      <w:pPr>
        <w:keepNext/>
        <w:spacing w:after="100"/>
      </w:pPr>
      <w:r>
        <w:rPr>
          <w:b/>
          <w:bCs/>
        </w:rPr>
        <w:t xml:space="preserve">Del valor intrínseco al objetivo a 12 meses.</w:t>
      </w:r>
    </w:p>
    <w:p>
      <w:pPr>
        <w:spacing w:after="100"/>
      </w:pPr>
      <w:r>
        <w:t xml:space="preserve">El objetivo a 12 meses (388,98 USD, +10,2 %) y el valor intrínseco (147,55 USD, −58,2 %) están separados un 62 %: la tesis no es de valor sino de múltiplo. Para que el precio converja al valor intrínseco haría falta que el mercado dejara de excluir la remuneración en acciones y aplicara un coste de capital del 11 %: no hay catalizador con fecha para eso. Mientras el mercado pague 37 veces el BPA non-GAAP, la acción seguirá a ese BPA (+15-17 % al año). El horizonte de la tesis de valor es de varios años.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del 4T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 1.595-1.625 M y 2,01-2,07 USD de BPA; el movimiento típico tras resultados es de ±8 % [5, 53]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 crecimiento orgánico sin Hexagon; consenso de BPA 2027e de 9,40 USD [46]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Controles de exportación de EE. UU. a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pesa un 12,8 % de las ventas [24]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 bonos de 500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o pago con caja (1.440 M en junio)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de IA para diseño de chips (ChipStack y otros)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Monetización nueva o presión sobre el precio por licencia [19,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−14,5 % a 12 meses (bajista: PER de 31,7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ya está en la parte baja de su historia (37,3 veces el BPA de 2027e)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 PER de Synopsys por debajo de 20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abarata el diseño de chips y presiona el precio por licencia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−33 % del DCF (93,87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Cadence vende sus propios agentes de IA; costes de cambio muy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non-GAAP por debajo del 43 % o renovaciones a menor precio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controles de exportación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−2-3 puntos de crecimiento un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geográfica; el 87 % de las ventas está fuera de China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licencias exigidas o caída de China por debajo del 10 %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hardware de emulación tras un récord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del BPA de un año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8.100 M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interanual de la cartera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Hexagon D&amp;E y compras caras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−1 % del BPA (dilución de ≈ 0,28 USD en 2026) [23]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pequeño frente al grupo (≈ 3 %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 o margen non-GAAP sin mejora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Dilución por remuneración en acciones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Recortaría el BPA ≈ 1 % al año si cesaran las recompras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del ≈ 50 % del flujo libre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diluidas al alza dos trimestres seguidos</w:t>
            </w:r>
          </w:p>
        </w:tc>
      </w:tr>
    </w:tbl>
    <w:p>
      <w:pPr>
        <w:spacing w:after="160" w:before="0"/>
      </w:pPr>
    </w:p>
    <w:p>
      <w:pPr>
        <w:pStyle w:val="Heading2"/>
      </w:pPr>
      <w:r>
        <w:t xml:space="preserve">Pre-mortem</w:t>
      </w:r>
    </w:p>
    <w:p>
      <w:pPr>
        <w:spacing w:after="100"/>
      </w:pPr>
      <w:r>
        <w:t xml:space="preserve">Es octubre de 2029 y Cadence vale un 40 % menos. Lo más probable es que no haya fallado el negocio sino el múltiplo. En 2027 la guía orgánica quedó en el 10-11 %, por debajo del 13 % que esperaba el mercado, porque el récord de emulación de 2026 adelantó compras y China se frenó con nuevos controles. A la vez, los agentes de IA empezaron a hacer parte del trabajo de verificación y los grandes clientes renegociaron las renovaciones por ingeniero y no por licencia. El margen non-GAAP se estancó en el 44 %. Con el bono por encima del 5 %, el mercado dejó de pagar 37 veces un BPA que crecía al 12 % y lo llevó a las 25 veces de los comparables: con un BPA de unos 10 USD, 250 USD. La señal que lo habría anticipado: la cartera de pedidos dejando de crecer en 2027 y el diferencial de PER con Synopsys cerrándose.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Para una empresa de software los asuntos ESG que mueven las cifras son el talento (la plantilla de I+D es el coste principal y la remuneración en acciones pesa un 8,6 % de las ventas) y el cumplimiento de los controles de exportación, que puede costar multas y ventas en China [24]. Las emisiones directas son pequeñas.</w:t>
      </w:r>
    </w:p>
    <w:p>
      <w:pPr>
        <w:pStyle w:val="Heading2"/>
      </w:pPr>
      <w:r>
        <w:t xml:space="preserve">Controversias</w:t>
      </w:r>
    </w:p>
    <w:p>
      <w:pPr>
        <w:spacing w:after="100"/>
      </w:pPr>
      <w:r>
        <w:t xml:space="preserve">No hemos encontrado en las búsquedas sanciones ni litigios materiales de los últimos tres años. La exposición a China por controles de exportación es el punto a vigilar.</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licencia e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cobrarán los agentes de IA (por uso, por ingeniero, por diseño) y qué parte de las renovaciones de 2026 se hizo a mayor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que más pesa en el múltiplo [30].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+19 % de 2026 es orgánico sin Hexagon, Secure-IC ni la IP Artisan?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lo separa; el puente de ingresos lo estima.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8.100 M es de clientes chinos y cuánto requeriría licencia de exportación?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pesa un 12,8 % de las ventas [24].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objetivo de dilución neta o de remuneración en acciones sobre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455 M en 2025 (8,6 %); es la diferencia entre nuestro DCF y el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récord de hardware de 2026 es adelanto de compras de pocos clientes de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bajista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Hexagon D&amp;E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MSC Software en 2025 y objetivo de sinergias?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Pagada a ≈ 16 veces ventas (estimación propia).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AltIndex (Stocktwits y Reddit agregados)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principios de septiembre la relación entre mensajes alcistas y bajistas en Stocktwits había caído un 11,8 % en el mes, mientras las menciones en Reddit casi se duplicaban (+92 %): mucho ruido con la acción en mínimos de varios meses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SentiSense (noticias, Reddit, X, YouTube y Substack)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20 menciones al día; tono neutro tras los resultados del 2T26, con la conversación repartida entre la IA como motor y la valoración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y Walnut Invest (análisis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alcista es la IA y el récord de emulación; la bajista, el múltiplo, China y el miedo a que la IA abarate el diseño de chips tras la demostración de un laboratorio chino que tumbó la acción un 9 % [24,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con comentarios (Zacks/Nasdaq, Wealth Awesome, Quiver)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septiembre la caída se atribuye a la subida de los tipos y a la rotación fuera del software de crecimiento, no a la empresa; se pregunta si es una oportunidad [57, 58, 59].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sustituto del EDA (demostración china de diseño con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no lo muestran todavía: ingresos del 2T26 +24,2 % y cartera récord de 8.100 M del informe. Es un riesgo de precio a largo plazo que recogemos en el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y tipos de interés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parte: con el bono a 10 años al 5,22 % el DCF con la remuneración en acciones como coste queda muy por debajo del precio; el PER non-GAAP (43,5 veces 2026e) está en la parte baja de su historia.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controles de exportación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un 12,8 % de las ventas y creció un 19 % en 2025; un endurecimiento recortaría el crecimiento unos 2-3 puntos un año.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y emulación: ciclo de diseño de chips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Respaldado: guía de 2026 elevada al +19 % y margen operativo non-GAAP del 45,5 % en el 2T26.</w:t>
            </w:r>
          </w:p>
        </w:tc>
      </w:tr>
    </w:tbl>
    <w:p>
      <w:pPr>
        <w:spacing w:after="160" w:before="0"/>
      </w:pPr>
    </w:p>
    <w:p>
      <w:pPr>
        <w:spacing w:after="100"/>
      </w:pPr>
      <w:r>
        <w:t xml:space="preserve">El sentimiento de los particulares está dividido y venía empeorando hasta finales de septiembre, cuando la acción tocó ≈ 283 USD; el rebote de octubre (≈ 353 USD) antes de los resultados del 26-oct sugiere que mejora. No es euforia ni capitulación. El riesgo que más se repite, que la IA abarate el diseño de chips, no aparece en las cifras de la empresa pero sí en el múltiplo: es la razón por la que el mercado paga hoy menos que en 2023-2024. Va en contra del consenso de analistas (15 de 18 en comprar). No cambia la valoración; recuerda que una mala lectura sobre la IA puede mover la acción un 9 % en un día.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Fuentes: 59 (21 primarias); citas distintas en el texto: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27,2 % en 2035e frente al 25,0 %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0,2 % real: genera una variación de circulante de 115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23,7 % frente a WACC 11,0 %: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9,6 %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12, 17, 21, 22, 32,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resultado financiero y BAI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vía búsqueda (solo totales de ingresos, EBIT y beneficio); 2) edgar.tools y Kalkine (sin la línea de impuestos); 3) 8-K del 4T23 (solo impuestos diferidos)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de 2021-2022, activo y pasivo corriente, fondo de comercio de 2024-2025, rating y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ARS en sec.gov (sin red, solo extractos); 2) Q4 earnings tables (solo clientes y totales); 3) Fintel y Tickerleague (periodos posteriores)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recompras y adquisiciones de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del 4T21 y 4T23 (solo flujo operativo, amortizaciones y acciones); 2) Finboard y Stock Analysis (2024-2025); 3) Zacks (recompras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por familia de producto (EDA, IP, sistemas) y por región salvo China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CFO Commentary del 1T26 y 2T26 (extractos sin desglose); 2) prensa de resultados (solo producto y servicios); 3) Walnut Invest (solo China)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ESD Alliance (solo trimestres de 2025 en los extractos); 2) prensa sectorial (eeNews, CIMdata); 3) informes de consultoras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(sin red); 2) búsqueda de calificaciones (sin resultado); 3) proveedores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del consejo (once consejeros propuestos en 2026, sin detalle), presidente, remuneración del primer ejecutivo y votos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DEF 14A de 2026 en sec.gov (sin red); 2) búsqueda del resultado de la junta de 2026 (sin resultado); 3) Yahoo Finance (solo paga sin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sección con lo verificado y confianza baja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de 12 meses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form4.mjs (sin red); 2) Chartmill (hasta jul-26, sin detalle legible); 3) MarketBeat (sin detalle)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significativos (13G)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13G en sec.gov (sin red); 2) Chartmill; 3) búsqueda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históricos (solo cierres sueltos); 3) Macrotrends (cierres anuales hasta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del cierre del 13-oct (sin resultado); 2) Syfe (cierre del 9-oct, 352,84 USD); 3) MarketChameleon y Trade Ideas (352,60 y 351,35 USD el 2 y 4-oct)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cierre del 9-oct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EBITDA de 2027-2028 y objetivo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abre); 2) Zacks y Benzinga (solo 2026); 3) Tickflow y Stocksguide (solo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 (operaciones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Synopsys-Ansys y Siemens-Altair (sin red para leerlos); 2) prensa (Evertiq: Hexagon D&amp;E sin ingresos publicados); 3) informe anual de Hexagon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Stocktwits y Seeking Alpha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(ninguno); 2) Stocktwits y Seeking Alpha (no aparecen); 3) agregadores AltIndex y SentiSense y prensa con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sección con agregadores y confianza baja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la acción (bolsa.mjs)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la beta en proveedores (sin resultado fiable); 3) beta sectorial de Damodaran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1,1</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Cadence Reports Fourth Quarter and Fiscal Year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https://www.businesswire.com/news/home/20260216202086/en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Q4 2025 CFO Commentary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https://s206.q4cdn.com/597110084/files/doc_financials/2025/q4/Q4-2025-CFO-Commentary-FINAL.pdf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https://www.sec.gov/Archives/edgar/data/813672/000081367226000016/cdns-20251231.htm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Reports Second Quarter 2026 Financial Results (8-K, anexo 99.01)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https://www.sec.gov/Archives/edgar/data/0000813672/000081367226000089/cdns07272026ex9901.htm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CFO Commentary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https://s206.q4cdn.com/597110084/files/doc_financials/2026/q2/Q2-2026-CFO-Commentary-FINAL.pdf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(periodo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https://www.sec.gov/Archives/edgar/data/0000813672/000081367226000092/cdns-20260630.htm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Reports First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https://www.businesswire.com/news/home/20260426710019/en/Cadence-Reports-First-Quarter-2026-Financial-Results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Reports Fourth Quarter and Fiscal Year 2021 Financial Results (8-K, anexo 99.01)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https://www.sec.gov/Archives/edgar/data/813672/000081367222000010/cdns02222022ex9901.htm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CFO Commentary del 4T21 (serie de BPA non-GAAP 2018-2021)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https://www.sec.gov/Archives/edgar/data/813672/000081367222000010/cfocommentary02222022ex9902.htm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Reports Fourth Quarter and Fiscal Year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https://www.businesswire.com/news/home/20240211761371/en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INC: cuentas de resultados FY2021-FY2025 (datos XBRL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https://app.edgar.tools/companies/CDNS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Inc (CDNS): beneficio bruto por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https://kalkinemedia.com/us/companies/nyse-cdns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4Q23 8-K schedules (flujos de 2022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https://newstaging.cadence.com/content/dam/cadence-www/global/en_US/documents/company/investors/4q23-8-k-schedules.pdf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4Q21 8-K schedules (flujos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https://s206.q4cdn.com/597110084/files/doc_news/archive/2022/02/4q21-8-k-schedules.pdf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CDNS cash flow (2024-2025: amortizaciones, capex,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https://finboard.net/companies/CDNS/cash-flow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Earnings Tables (balance al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https://s206.q4cdn.com/597110084/files/doc_financials/2025/q4/Q425-Earnings-Tables-for-Web.pdf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(ARS) FY2024: balances de 2023 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https://www.sec.gov/Archives/edgar/data/813672/000119312525062624/d865678dars.pdf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Cadence's Cash Generation Support Both Growth and Share Buybacks?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https://www.zacks.com/stock/news/2982665/can-cadences-cash-generation-support-both-growth-and-share-buybacks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https://www.marketbeat.com/instant-alerts/cadence-design-systems-q2-earnings-call-highlights-2026-07-27/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4Q24 CFO Commentary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https://s206.q4cdn.com/597110084/files/doc_financials/2024/q4/4q24-cfo-commentary.pdf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2025 CFO Commentary (series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https://s206.q4cdn.com/597110084/files/doc_financials/2025/q3/Q3-2025-CFO-Commentary-Final.pdf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CFO Commentary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https://www.sec.gov/Archives/edgar/data/813672/000081367223000010/cfocommentary02132023ex9902.htm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Q1 2026: Product &amp; Maintenance y Services, ingresos recurrentes del 77 %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https://www.nasdaq.com/articles/cadence-cdns-174-last-earnings-report-can-it-continue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CDNS a Buy or a Sell? The Bull and Bear Case (2026): ingresos de China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https://walnutinvest.com/stocks/cdns/is-it-a-buy-or-sell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CDNS cash flow statement (remuneración en acciones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https://stockanalysis.com/stocks/cdns/financials/cash-flow-statement/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ESD Alliance Reports Electronic System Design Industry Posts $5.5 Billion in Revenue in Q4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 / ESD Alliance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https://www.semi.org/en/semi-press-release/esd-alliance-reports-electronic-system-design-industry-posts-5.5-billion-dollars-in-revenue-in-q4-2025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ESD Alliance reports EDA market reaches $5.6bn in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eeNews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https://www.eenewseurope.com/en/esd-alliance-reports-eda-market-reaches-5-6bn-in-q3-2025/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ESD Alliance: Electronic System Design Industry Posts $5.1 Billion in Revenue in Q1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CIMdata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https://www.cimdata.com/en/industry-summary-articles/item/28053-esd-alliance-reports-electronic-system-design-industry-posts-5-1-billion-in-revenue-in-q1-2025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completes acquisition of Hexagon's Design and Engineering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Evertiq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https://evertiq.com/news/2026-02-24-cadence-completes-acquisition-of-hexagons-de-business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Stock Fell 9% in a Day on a Chinese AI Chip Demo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https://www.tikr.com/blog/cadence-stock-fell-9-in-a-day-on-a-chinese-ai-chip-demo-heres-where-the-stock-could-go-in-2026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(SNPS) stock falls 7% as guidance underwhelms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https://www.tipranks.com/news/synopsys-snps-stock-falls-7-as-guidance-underwhelms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Down 16% in the Past 6 Months: How to Play the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https://www.nasdaq.com/articles/cadence-down-16-past-6-months-how-play-stock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completes acquisition of Hexagon's D&amp;E business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https://www.nasdaq.com/press-release/cadence-completes-acquisition-hexagons-design-and-engineering-business-advancing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2026 Annual Meeting: DEFA14A (propuestas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https://www.boardroomalpha.com/sec/cdns-defa14a-2026-03-25-0001193125-26-124270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https://www.sec.gov/Archives/edgar/data/813672/000119312525062605/d877390ddef14a.htm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perfil y remuneración de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https://finance.yahoo.com/quote/CDNS/profile/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CFO Commentary Q2 2025 (guía 2025 elevada)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https://s206.q4cdn.com/597110084/files/doc_financials/2025/q2/CFO-Commentary-Q2-2025-Final-Updated.pdf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 INC (CDNS) Stock Ownership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https://www.chartmill.com/stock/quote/CDNS/ownership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(CDNS): 352,84 USD al cierre del 9-oct-2026, rango de 52 semanas 262,75-416,69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Syfe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https://www.syfe.com/stocks/us/cdns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CDNS summary: 352,60 USD el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MarketChameleon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https://marketchameleon.com/Overview/CDNS/Summary/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CDNS stock info: 351,35 USD (4-oct-2026), ≈ +12 % en el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 Ideas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https://www.trade-ideas.com/stock-info/CDNS/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 Stock Price History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https://macrotrends.net/stocks/charts/CDNS/cadence-design-systems/stock-price-history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price target raised to $420.00 (consenso de 18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https://www.marketbeat.com/instant-alerts/cadence-design-systems-nasdaqcdns-price-target-raised-to-42000-2026-07-28/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Piper Sandler raises Cadence price target to $349.00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https://www.marketbeat.com/instant-alerts/piper-sandler-raises-cadence-design-systems-nasdaqcdns-price-target-to-34900-2026-07-28/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Q2 earnings top estimates, 2026 revenue outlook raised (consenso de BPA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https://www.zacks.com/stock/news/2962234/cadence-q2-earnings-top-estimates-2026-revenue-outlook-raised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(CDNS) Stock Forecast (BPA estimado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https://tickflow.io/stock/CDNS/forecast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US1273871087 forecast (BPA 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https://stocksguide.com/en/forecast/Cadence-Design-Systems-US1273871087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5,22 %)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software de diseño (PTC, Autodesk, Synopsys, Bentley, Nemetschek, Dassault): estadísticas y consenso recogidos el 6/10-oct-2026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https://stockanalysis.com/stocks/ptc/statistics/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PER adelantado (forward P/E 22,5-24)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Stockunlock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https://stockunlock.com/stockDetails/SNPS/general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(12-oct-2026: 1,1181 USD/EUR)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date: resultados del 3T26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https://beta.earningswhispers.com/go/w/CDNS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282,90 USD el 18-sep-2026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https://www.marketbeat.com/stocks/NASDAQ/CDNS/chart/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CDNS vs WDAY: sentimiento de Stocktwits y menciones en Reddit (5-sep-2026)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AltIndex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https://altindex.com/stock-comparison/cdns-vs-wday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(CDNS) Sentiment (noticias, Reddit, YouTube, X y Substack)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https://app.sentisense.ai/stocks/CDNS/sentiment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CDNS Falls 12.9% in the Past Month. Is the Sell-Off an Opportunity?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https://www.nasdaq.com/articles/cdns-falls-129-past-month-sell-opportunity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Cadence stock is sliding today (29-sep-2026)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Wealth Awesome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https://wealthawesome.com/why-cadence-stock-is-sliding-today-09292026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Falls as Higher Yields Pressure Tech and EDA Names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https://www.quiverquant.com/news/Cadence+Design+Systems+Falls+as+Higher+Yields+Pressure+Tech+and+EDA+Names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75,1 %</w:t>
      </w:r>
      <w:r>
        <w:t xml:space="preserve"> · Secciones con menos del 60 % de campos cubiertos: </w:t>
      </w:r>
      <w:r>
        <w:rPr>
          <w:b/>
          <w:bCs/>
        </w:rPr>
        <w:t xml:space="preserve">gobierno, bolsa, transacciones, balance</w:t>
      </w:r>
      <w:r>
        <w:t xml:space="preserve"> · Generado el 14 oct 2026.</w:t>
      </w:r>
    </w:p>
    <w:p>
      <w:pPr>
        <w:pStyle w:val="Nota"/>
        <w:spacing w:after="100"/>
      </w:pPr>
      <w:r>
        <w:t xml:space="preserve">Entorno de nube sin acceso a sec.gov, a la web de la empresa ni a proveedores de cotizaciones: todas las cifras salen de extractos de búsqueda web de comunicados de resultados (8-K), del 10-K y el 10-Q, de los CFO Commentary y de proveedores (edgar.tools, Kalkine, Finboard, Stock Analysis, Macrotrends), con su URL. Precio: cierre del 9-oct-2026 (352,84 USD) [39], el último publicado que encontramos; el 2 y el 4-oct cotizaba a 352,60 y 351,35 USD [40, 41], y el 18-sep a 282,90 USD [54]: la acción ha rebotado un 25 % en tres semanas. El cierre de 2025 (313,6 USD) es una estimación propia a partir de la subida en el año. Faltan impuestos, resultado financiero, BAI, varios años de balance (caja y deuda de 2021-2022, patrimonio de 2022) y capex y recompras de 2021-2023: los ratios de esos años (ROIC de 2022-2023, conversión de caja) salen distorsionados y no se usan. No hay datos de bolsa (rentabilidades, beta, volatilidad): la beta del WACC es una estimación propia. Trabajamos en US GAAP con la remuneración en acciones como coste; el objetivo a 12 meses usa el BPA non-GAAP de la empresa, la base en que cotizan su PER histórico y los comparables. Acciones: 276 M (273,2 M diluidas de 2025 más 3,2 M entregadas a Hexagon).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Cadence Design Systems, Inc. (CDNS)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352,84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(262,75 – 416,69)</c:v>
                </c:pt>
                <c:pt idx="1">
                  <c:v>Comparables: PER NTM (221,55 – 251,44)</c:v>
                </c:pt>
                <c:pt idx="2">
                  <c:v>DCF (WACC y g ± 0,5) (127,79 – 154,68)</c:v>
                </c:pt>
                <c:pt idx="3">
                  <c:v>Escenarios (bajista – alcista) (93,87 – 171,09)</c:v>
                </c:pt>
                <c:pt idx="4">
                  <c:v>DCF con la prima implícita del mercado (4,2 %)</c:v>
                </c:pt>
                <c:pt idx="5">
                  <c:v>Precio actual (352,84)</c:v>
                </c:pt>
              </c:strCache>
            </c:strRef>
          </c:cat>
          <c:val>
            <c:numRef>
              <c:f>Hoja1!$B$2:$B$7</c:f>
              <c:numCache>
                <c:formatCode>#,##0</c:formatCode>
                <c:ptCount val="6"/>
                <c:pt idx="0">
                  <c:v>262.75</c:v>
                </c:pt>
                <c:pt idx="1">
                  <c:v>221.55</c:v>
                </c:pt>
                <c:pt idx="2">
                  <c:v>127.79</c:v>
                </c:pt>
                <c:pt idx="3">
                  <c:v>93.87</c:v>
                </c:pt>
                <c:pt idx="4">
                  <c:v>158.53</c:v>
                </c:pt>
                <c:pt idx="5">
                  <c:v>351.08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(262,75 – 416,69)</c:v>
                </c:pt>
                <c:pt idx="1">
                  <c:v>Comparables: PER NTM (221,55 – 251,44)</c:v>
                </c:pt>
                <c:pt idx="2">
                  <c:v>DCF (WACC y g ± 0,5) (127,79 – 154,68)</c:v>
                </c:pt>
                <c:pt idx="3">
                  <c:v>Escenarios (bajista – alcista) (93,87 – 171,09)</c:v>
                </c:pt>
                <c:pt idx="4">
                  <c:v>DCF con la prima implícita del mercado (4,2 %)</c:v>
                </c:pt>
                <c:pt idx="5">
                  <c:v>Precio actual (352,84)</c:v>
                </c:pt>
              </c:strCache>
            </c:strRef>
          </c:cat>
          <c:val>
            <c:numRef>
              <c:f>Hoja1!$C$2:$C$7</c:f>
              <c:numCache>
                <c:formatCode>#,##0</c:formatCode>
                <c:ptCount val="6"/>
                <c:pt idx="0">
                  <c:v>153.94</c:v>
                </c:pt>
                <c:pt idx="1">
                  <c:v>29.889999999999986</c:v>
                </c:pt>
                <c:pt idx="2">
                  <c:v>26.89</c:v>
                </c:pt>
                <c:pt idx="3">
                  <c:v>77.22</c:v>
                </c:pt>
                <c:pt idx="4">
                  <c:v>27.889999999999986</c:v>
                </c:pt>
                <c:pt idx="5">
                  <c:v>3.5200000000000387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China</c:v>
                </c:pt>
                <c:pt idx="1">
                  <c:v>Resto del mundo</c:v>
                </c:pt>
              </c:strCache>
            </c:strRef>
          </c:cat>
          <c:val>
            <c:numRef>
              <c:f>Hoja1!$B$2:$B$3</c:f>
              <c:numCache>
                <c:formatCode>0"%"</c:formatCode>
                <c:ptCount val="2"/>
                <c:pt idx="0">
                  <c:v>12.8</c:v>
                </c:pt>
                <c:pt idx="1">
                  <c:v>87.2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c:formatCode>
                <c:ptCount val="1"/>
                <c:pt idx="0">
                  <c:v>21220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Cadence</c:v>
                </c:pt>
                <c:pt idx="1">
                  <c:v>Synopsys</c:v>
                </c:pt>
                <c:pt idx="2">
                  <c:v>Siemens EDA (Siemens AG)</c:v>
                </c:pt>
                <c:pt idx="3">
                  <c:v>Dassault Systèmes (SIMULIA)</c:v>
                </c:pt>
                <c:pt idx="4">
                  <c:v>Empresas chinas de EDA (Empyrean y otras)</c:v>
                </c:pt>
              </c:strCache>
            </c:strRef>
          </c:cat>
          <c:val>
            <c:numRef>
              <c:f>Hoja1!$B$2:$B$6</c:f>
              <c:numCache>
                <c:formatCode>0.0"%"</c:formatCode>
                <c:ptCount val="5"/>
                <c:pt idx="0">
                  <c:v>28.2</c:v>
                </c:pt>
                <c:pt idx="1">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5</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2988</c:v>
                </c:pt>
                <c:pt idx="1">
                  <c:v>3562</c:v>
                </c:pt>
                <c:pt idx="2">
                  <c:v>4090</c:v>
                </c:pt>
                <c:pt idx="3">
                  <c:v>4641</c:v>
                </c:pt>
                <c:pt idx="4">
                  <c:v>5297</c:v>
                </c:pt>
                <c:pt idx="5">
                  <c:v>6303</c:v>
                </c:pt>
                <c:pt idx="6">
                  <c:v>7123</c:v>
                </c:pt>
                <c:pt idx="7">
                  <c:v>7978</c:v>
                </c:pt>
                <c:pt idx="8">
                  <c:v>8855</c:v>
                </c:pt>
                <c:pt idx="9">
                  <c:v>9741</c:v>
                </c:pt>
                <c:pt idx="10">
                  <c:v>10617</c:v>
                </c:pt>
                <c:pt idx="11">
                  <c:v>11467</c:v>
                </c:pt>
                <c:pt idx="12">
                  <c:v>12269</c:v>
                </c:pt>
                <c:pt idx="13">
                  <c:v>13006</c:v>
                </c:pt>
                <c:pt idx="14">
                  <c:v>13656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921</c:v>
                </c:pt>
                <c:pt idx="1">
                  <c:v>1206</c:v>
                </c:pt>
                <c:pt idx="2">
                  <c:v>1396</c:v>
                </c:pt>
                <c:pt idx="3">
                  <c:v>1548</c:v>
                </c:pt>
                <c:pt idx="4">
                  <c:v>1720</c:v>
                </c:pt>
                <c:pt idx="5">
                  <c:v>2427</c:v>
                </c:pt>
                <c:pt idx="6">
                  <c:v>2778</c:v>
                </c:pt>
                <c:pt idx="7">
                  <c:v>3151</c:v>
                </c:pt>
                <c:pt idx="8">
                  <c:v>3542</c:v>
                </c:pt>
                <c:pt idx="9">
                  <c:v>3945</c:v>
                </c:pt>
                <c:pt idx="10">
                  <c:v>4300</c:v>
                </c:pt>
                <c:pt idx="11">
                  <c:v>4644</c:v>
                </c:pt>
                <c:pt idx="12">
                  <c:v>4969</c:v>
                </c:pt>
                <c:pt idx="13">
                  <c:v>5267</c:v>
                </c:pt>
                <c:pt idx="14">
                  <c:v>5531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89.7</c:v>
                </c:pt>
                <c:pt idx="1">
                  <c:v>89.6</c:v>
                </c:pt>
                <c:pt idx="2">
                  <c:v>89.4</c:v>
                </c:pt>
                <c:pt idx="3">
                  <c:v>86.1</c:v>
                </c:pt>
                <c:pt idx="4">
                  <c:v>86.4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30.8</c:v>
                </c:pt>
                <c:pt idx="1">
                  <c:v>33.9</c:v>
                </c:pt>
                <c:pt idx="2">
                  <c:v>34.1</c:v>
                </c:pt>
                <c:pt idx="3">
                  <c:v>33.4</c:v>
                </c:pt>
                <c:pt idx="4">
                  <c:v>32.5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26.1</c:v>
                </c:pt>
                <c:pt idx="1">
                  <c:v>30.2</c:v>
                </c:pt>
                <c:pt idx="2">
                  <c:v>30.6</c:v>
                </c:pt>
                <c:pt idx="3">
                  <c:v>29.1</c:v>
                </c:pt>
                <c:pt idx="4">
                  <c:v>28.2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23.3</c:v>
                </c:pt>
                <c:pt idx="1">
                  <c:v>23.8</c:v>
                </c:pt>
                <c:pt idx="2">
                  <c:v>25.5</c:v>
                </c:pt>
                <c:pt idx="3">
                  <c:v>22.7</c:v>
                </c:pt>
                <c:pt idx="4">
                  <c:v>20.9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18.8</c:v>
                </c:pt>
                <c:pt idx="1">
                  <c:v>26.9</c:v>
                </c:pt>
                <c:pt idx="2">
                  <c:v>23.1</c:v>
                </c:pt>
                <c:pt idx="3">
                  <c:v>20.2</c:v>
                </c:pt>
                <c:pt idx="4">
                  <c:v>10.2</c:v>
                </c:pt>
                <c:pt idx="5">
                  <c:v>6.2</c:v>
                </c:pt>
                <c:pt idx="6">
                  <c:v>18.7</c:v>
                </c:pt>
                <c:pt idx="7">
                  <c:v>24.2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53</c:v>
                </c:pt>
                <c:pt idx="4">
                  <c:v>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1101</c:v>
                </c:pt>
                <c:pt idx="1">
                  <c:v>1242</c:v>
                </c:pt>
                <c:pt idx="2">
                  <c:v>1349</c:v>
                </c:pt>
                <c:pt idx="3">
                  <c:v>1118</c:v>
                </c:pt>
                <c:pt idx="4">
                  <c:v>1587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696</c:v>
                </c:pt>
                <c:pt idx="1">
                  <c:v>849</c:v>
                </c:pt>
                <c:pt idx="2">
                  <c:v>1041</c:v>
                </c:pt>
                <c:pt idx="3">
                  <c:v>1055</c:v>
                </c:pt>
                <c:pt idx="4">
                  <c:v>1109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21.3</c:v>
                </c:pt>
                <c:pt idx="1">
                  <c:v>58.8</c:v>
                </c:pt>
                <c:pt idx="2">
                  <c:v>61.6</c:v>
                </c:pt>
                <c:pt idx="3">
                  <c:v>26.8</c:v>
                </c:pt>
                <c:pt idx="4">
                  <c:v>23.7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c:v>
                </c:pt>
                <c:pt idx="1">
                  <c:v>11</c:v>
                </c:pt>
                <c:pt idx="2">
                  <c:v>11</c:v>
                </c:pt>
                <c:pt idx="3">
                  <c:v>11</c:v>
                </c:pt>
                <c:pt idx="4">
                  <c:v>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25.4</c:v>
                </c:pt>
                <c:pt idx="1">
                  <c:v>61.9</c:v>
                </c:pt>
                <c:pt idx="2">
                  <c:v>61.2</c:v>
                </c:pt>
                <c:pt idx="3">
                  <c:v>26.1</c:v>
                </c:pt>
                <c:pt idx="4">
                  <c:v>21.9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-0.26</c:v>
                </c:pt>
                <c:pt idx="3">
                  <c:v>-0.11</c:v>
                </c:pt>
                <c:pt idx="4">
                  <c:v>-0.3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2027</c:v>
                </c:pt>
                <c:pt idx="1">
                  <c:v>2029</c:v>
                </c:pt>
                <c:pt idx="2">
                  <c:v>2034</c:v>
                </c:pt>
              </c:strCache>
            </c:strRef>
          </c:cat>
          <c:val>
            <c:numRef>
              <c:f>Hoja1!$B$2:$B$4</c:f>
              <c:numCache>
                <c:formatCode>#,##0</c:formatCode>
                <c:ptCount val="3"/>
                <c:pt idx="0">
                  <c:v>500</c:v>
                </c:pt>
                <c:pt idx="1">
                  <c:v>1000</c:v>
                </c:pt>
                <c:pt idx="2">
                  <c:v>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3">
                  <c:v>550</c:v>
                </c:pt>
                <c:pt idx="4">
                  <c:v>925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Hexagon AB</c:v>
                </c:pt>
              </c:strCache>
            </c:strRef>
          </c:cat>
          <c:val>
            <c:numRef>
              <c:f>Hoja1!$B$2</c:f>
              <c:numCache>
                <c:formatCode>0.0"%"</c:formatCode>
                <c:ptCount val="1"/>
                <c:pt idx="0">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56.3</c:v>
                </c:pt>
                <c:pt idx="1">
                  <c:v>36.6</c:v>
                </c:pt>
                <c:pt idx="2">
                  <c:v>52.9</c:v>
                </c:pt>
                <c:pt idx="3">
                  <c:v>53.1</c:v>
                </c:pt>
                <c:pt idx="4">
                  <c:v>49.5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51.2</c:v>
                </c:pt>
                <c:pt idx="1">
                  <c:v>51.2</c:v>
                </c:pt>
                <c:pt idx="2">
                  <c:v>51.2</c:v>
                </c:pt>
                <c:pt idx="3">
                  <c:v>51.2</c:v>
                </c:pt>
                <c:pt idx="4">
                  <c:v>51.2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Cadence</c:v>
                </c:pt>
                <c:pt idx="1">
                  <c:v>Synopsys</c:v>
                </c:pt>
                <c:pt idx="2">
                  <c:v>Autodesk</c:v>
                </c:pt>
                <c:pt idx="3">
                  <c:v>PTC</c:v>
                </c:pt>
                <c:pt idx="4">
                  <c:v>Dassault Systèmes</c:v>
                </c:pt>
                <c:pt idx="5">
                  <c:v>Bentley Systems</c:v>
                </c:pt>
                <c:pt idx="6">
                  <c:v>Nemetschek</c:v>
                </c:pt>
              </c:strCache>
            </c:strRef>
          </c:cat>
          <c:val>
            <c:numRef>
              <c:f>Hoja1!$B$2:$B$8</c:f>
              <c:numCache>
                <c:formatCode>0.0"x"</c:formatCode>
                <c:ptCount val="7"/>
                <c:pt idx="1">
                  <c:v>22.7</c:v>
                </c:pt>
                <c:pt idx="2">
                  <c:v>16.6</c:v>
                </c:pt>
                <c:pt idx="3">
                  <c:v>15.5</c:v>
                </c:pt>
                <c:pt idx="4">
                  <c:v>11.2</c:v>
                </c:pt>
                <c:pt idx="5">
                  <c:v>17.6</c:v>
                </c:pt>
                <c:pt idx="6">
                  <c:v>14.4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Synopsys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17.1</c:v>
                </c:pt>
              </c:numCache>
            </c:numRef>
          </c:xVal>
          <c:yVal>
            <c:numRef>
              <c:f>Hoja1!$C$2</c:f>
              <c:numCache>
                <c:formatCode>0.0"x"</c:formatCode>
                <c:ptCount val="1"/>
                <c:pt idx="0">
                  <c:v>22.7</c:v>
                </c:pt>
              </c:numCache>
            </c:numRef>
          </c:yVal>
          <c:smooth val="0"/>
        </c:ser>
        <c:ser>
          <c:idx val="1"/>
          <c:order val="1"/>
          <c:tx>
            <c:strRef>
              <c:f>Hoja1!$A$3</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12.4</c:v>
                </c:pt>
              </c:numCache>
            </c:numRef>
          </c:xVal>
          <c:yVal>
            <c:numRef>
              <c:f>Hoja1!$C$3</c:f>
              <c:numCache>
                <c:formatCode>0.0"x"</c:formatCode>
                <c:ptCount val="1"/>
                <c:pt idx="0">
                  <c:v>16.6</c:v>
                </c:pt>
              </c:numCache>
            </c:numRef>
          </c:yVal>
          <c:smooth val="0"/>
        </c:ser>
        <c:ser>
          <c:idx val="2"/>
          <c:order val="2"/>
          <c:tx>
            <c:strRef>
              <c:f>Hoja1!$A$4</c:f>
              <c:strCache>
                <c:ptCount val="1"/>
                <c:pt idx="0">
                  <c:v>PTC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4.9</c:v>
                </c:pt>
              </c:numCache>
            </c:numRef>
          </c:xVal>
          <c:yVal>
            <c:numRef>
              <c:f>Hoja1!$C$4</c:f>
              <c:numCache>
                <c:formatCode>0.0"x"</c:formatCode>
                <c:ptCount val="1"/>
                <c:pt idx="0">
                  <c:v>15.5</c:v>
                </c:pt>
              </c:numCache>
            </c:numRef>
          </c:yVal>
          <c:smooth val="0"/>
        </c:ser>
        <c:ser>
          <c:idx val="3"/>
          <c:order val="3"/>
          <c:tx>
            <c:strRef>
              <c:f>Hoja1!$A$5</c:f>
              <c:strCache>
                <c:ptCount val="1"/>
                <c:pt idx="0">
                  <c:v>Dassault Systèmes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7.4</c:v>
                </c:pt>
              </c:numCache>
            </c:numRef>
          </c:xVal>
          <c:yVal>
            <c:numRef>
              <c:f>Hoja1!$C$5</c:f>
              <c:numCache>
                <c:formatCode>0.0"x"</c:formatCode>
                <c:ptCount val="1"/>
                <c:pt idx="0">
                  <c:v>11.2</c:v>
                </c:pt>
              </c:numCache>
            </c:numRef>
          </c:yVal>
          <c:smooth val="0"/>
        </c:ser>
        <c:ser>
          <c:idx val="4"/>
          <c:order val="4"/>
          <c:tx>
            <c:strRef>
              <c:f>Hoja1!$A$6</c:f>
              <c:strCache>
                <c:ptCount val="1"/>
                <c:pt idx="0">
                  <c:v>Bentley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11.2</c:v>
                </c:pt>
              </c:numCache>
            </c:numRef>
          </c:xVal>
          <c:yVal>
            <c:numRef>
              <c:f>Hoja1!$C$6</c:f>
              <c:numCache>
                <c:formatCode>0.0"x"</c:formatCode>
                <c:ptCount val="1"/>
                <c:pt idx="0">
                  <c:v>17.6</c:v>
                </c:pt>
              </c:numCache>
            </c:numRef>
          </c:yVal>
          <c:smooth val="0"/>
        </c:ser>
        <c:ser>
          <c:idx val="5"/>
          <c:order val="5"/>
          <c:tx>
            <c:strRef>
              <c:f>Hoja1!$A$7</c:f>
              <c:strCache>
                <c:ptCount val="1"/>
                <c:pt idx="0">
                  <c:v>Nemetschek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20</c:v>
                </c:pt>
              </c:numCache>
            </c:numRef>
          </c:xVal>
          <c:yVal>
            <c:numRef>
              <c:f>Hoja1!$C$7</c:f>
              <c:numCache>
                <c:formatCode>0.0"x"</c:formatCode>
                <c:ptCount val="1"/>
                <c:pt idx="0">
                  <c:v>14.4</c:v>
                </c:pt>
              </c:numCache>
            </c:numRef>
          </c:yVal>
          <c:smooth val="0"/>
        </c:ser>
        <c:axId val="10"/>
        <c:axId val="20"/>
      </c:scatterChart>
      <c:valAx>
        <c:axId val="10"/>
        <c:scaling>
          <c:orientation val="minMax"/>
          <c:max val="2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1743</c:v>
                </c:pt>
                <c:pt idx="1">
                  <c:v>2112</c:v>
                </c:pt>
                <c:pt idx="2">
                  <c:v>2399</c:v>
                </c:pt>
                <c:pt idx="3">
                  <c:v>2701</c:v>
                </c:pt>
                <c:pt idx="4">
                  <c:v>2995</c:v>
                </c:pt>
                <c:pt idx="5">
                  <c:v>3266</c:v>
                </c:pt>
                <c:pt idx="6">
                  <c:v>3530</c:v>
                </c:pt>
                <c:pt idx="7">
                  <c:v>3779</c:v>
                </c:pt>
                <c:pt idx="8">
                  <c:v>4008</c:v>
                </c:pt>
                <c:pt idx="9">
                  <c:v>4074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17612</c:v>
                </c:pt>
                <c:pt idx="1">
                  <c:v>11750</c:v>
                </c:pt>
                <c:pt idx="2">
                  <c:v>10234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352,84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93.87</c:v>
                </c:pt>
                <c:pt idx="1">
                  <c:v>139.69</c:v>
                </c:pt>
                <c:pt idx="2">
                  <c:v>171.09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352,84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(262,75 – 416,69)</c:v>
                </c:pt>
                <c:pt idx="1">
                  <c:v>Comparables: PER NTM (221,55 – 251,44)</c:v>
                </c:pt>
                <c:pt idx="2">
                  <c:v>DCF (WACC y g ± 0,5) (127,79 – 154,68)</c:v>
                </c:pt>
                <c:pt idx="3">
                  <c:v>Escenarios (bajista – alcista) (93,87 – 171,09)</c:v>
                </c:pt>
                <c:pt idx="4">
                  <c:v>DCF con la prima implícita del mercado (4,2 %)</c:v>
                </c:pt>
                <c:pt idx="5">
                  <c:v>Precio actual (352,84)</c:v>
                </c:pt>
              </c:strCache>
            </c:strRef>
          </c:cat>
          <c:val>
            <c:numRef>
              <c:f>Hoja1!$B$2:$B$7</c:f>
              <c:numCache>
                <c:formatCode>#,##0</c:formatCode>
                <c:ptCount val="6"/>
                <c:pt idx="0">
                  <c:v>262.75</c:v>
                </c:pt>
                <c:pt idx="1">
                  <c:v>221.55</c:v>
                </c:pt>
                <c:pt idx="2">
                  <c:v>127.79</c:v>
                </c:pt>
                <c:pt idx="3">
                  <c:v>93.87</c:v>
                </c:pt>
                <c:pt idx="4">
                  <c:v>158.53</c:v>
                </c:pt>
                <c:pt idx="5">
                  <c:v>351.08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(262,75 – 416,69)</c:v>
                </c:pt>
                <c:pt idx="1">
                  <c:v>Comparables: PER NTM (221,55 – 251,44)</c:v>
                </c:pt>
                <c:pt idx="2">
                  <c:v>DCF (WACC y g ± 0,5) (127,79 – 154,68)</c:v>
                </c:pt>
                <c:pt idx="3">
                  <c:v>Escenarios (bajista – alcista) (93,87 – 171,09)</c:v>
                </c:pt>
                <c:pt idx="4">
                  <c:v>DCF con la prima implícita del mercado (4,2 %)</c:v>
                </c:pt>
                <c:pt idx="5">
                  <c:v>Precio actual (352,84)</c:v>
                </c:pt>
              </c:strCache>
            </c:strRef>
          </c:cat>
          <c:val>
            <c:numRef>
              <c:f>Hoja1!$C$2:$C$7</c:f>
              <c:numCache>
                <c:formatCode>#,##0</c:formatCode>
                <c:ptCount val="6"/>
                <c:pt idx="0">
                  <c:v>153.94</c:v>
                </c:pt>
                <c:pt idx="1">
                  <c:v>29.889999999999986</c:v>
                </c:pt>
                <c:pt idx="2">
                  <c:v>26.89</c:v>
                </c:pt>
                <c:pt idx="3">
                  <c:v>77.22</c:v>
                </c:pt>
                <c:pt idx="4">
                  <c:v>27.889999999999986</c:v>
                </c:pt>
                <c:pt idx="5">
                  <c:v>3.5200000000000387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