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Override ContentType="application/vnd.openxmlformats-officedocument.wordprocessingml.header+xml" PartName="/word/header1.xml"/>
  <Override ContentType="application/vnd.openxmlformats-officedocument.wordprocessingml.header+xml" PartName="/word/header2.xml"/>
  <Override ContentType="application/vnd.openxmlformats-officedocument.wordprocessingml.footer+xml" PartName="/word/footer1.xml"/>
  <Override ContentType="application/vnd.openxmlformats-officedocument.wordprocessingml.footer+xml" PartName="/word/footer2.xml"/>
  <Default Extension="xlsx" ContentType="application/vnd.openxmlformats-officedocument.spreadsheetml.sheet"/>
  <Override PartName="/word/charts/chart1.xml" ContentType="application/vnd.openxmlformats-officedocument.drawingml.chart+xml"/>
  <Override PartName="/word/charts/chart2.xml" ContentType="application/vnd.openxmlformats-officedocument.drawingml.chart+xml"/>
  <Override PartName="/word/charts/chart3.xml" ContentType="application/vnd.openxmlformats-officedocument.drawingml.chart+xml"/>
  <Override PartName="/word/charts/chart4.xml" ContentType="application/vnd.openxmlformats-officedocument.drawingml.chart+xml"/>
  <Override PartName="/word/charts/chart5.xml" ContentType="application/vnd.openxmlformats-officedocument.drawingml.chart+xml"/>
  <Override PartName="/word/charts/chart6.xml" ContentType="application/vnd.openxmlformats-officedocument.drawingml.chart+xml"/>
  <Override PartName="/word/charts/chart7.xml" ContentType="application/vnd.openxmlformats-officedocument.drawingml.chart+xml"/>
  <Override PartName="/word/charts/chart8.xml" ContentType="application/vnd.openxmlformats-officedocument.drawingml.chart+xml"/>
  <Override PartName="/word/charts/chart9.xml" ContentType="application/vnd.openxmlformats-officedocument.drawingml.chart+xml"/>
  <Override PartName="/word/charts/chart10.xml" ContentType="application/vnd.openxmlformats-officedocument.drawingml.chart+xml"/>
  <Override PartName="/word/charts/chart11.xml" ContentType="application/vnd.openxmlformats-officedocument.drawingml.chart+xml"/>
  <Override PartName="/word/charts/chart12.xml" ContentType="application/vnd.openxmlformats-officedocument.drawingml.chart+xml"/>
  <Override PartName="/word/charts/chart13.xml" ContentType="application/vnd.openxmlformats-officedocument.drawingml.chart+xml"/>
  <Override PartName="/word/charts/chart14.xml" ContentType="application/vnd.openxmlformats-officedocument.drawingml.chart+xml"/>
  <Override PartName="/word/charts/chart15.xml" ContentType="application/vnd.openxmlformats-officedocument.drawingml.chart+xml"/>
  <Override PartName="/word/charts/chart16.xml" ContentType="application/vnd.openxmlformats-officedocument.drawingml.chart+xml"/>
  <Override PartName="/word/charts/chart17.xml" ContentType="application/vnd.openxmlformats-officedocument.drawingml.chart+xml"/>
  <Override PartName="/word/charts/chart18.xml" ContentType="application/vnd.openxmlformats-officedocument.drawingml.chart+xml"/>
  <Override PartName="/word/charts/chart19.xml" ContentType="application/vnd.openxmlformats-officedocument.drawingml.chart+xml"/>
  <Override PartName="/word/charts/chart20.xml" ContentType="application/vnd.openxmlformats-officedocument.drawingml.chart+xml"/>
  <Override PartName="/word/charts/chart21.xml" ContentType="application/vnd.openxmlformats-officedocument.drawingml.chart+xml"/>
  <Override PartName="/word/charts/chart22.xml" ContentType="application/vnd.openxmlformats-officedocument.drawingml.chart+xml"/>
  <Override PartName="/word/charts/chart23.xml" ContentType="application/vnd.openxmlformats-officedocument.drawingml.chart+xml"/>
  <Override PartName="/word/charts/chart24.xml" ContentType="application/vnd.openxmlformats-officedocument.drawingml.chart+xml"/>
  <Override PartName="/word/charts/chart25.xml" ContentType="application/vnd.openxmlformats-officedocument.drawingml.chart+xml"/>
  <Override PartName="/word/charts/chart26.xml" ContentType="application/vnd.openxmlformats-officedocument.drawingml.chart+xml"/>
  <Override PartName="/word/charts/chart27.xml" ContentType="application/vnd.openxmlformats-officedocument.drawingml.chart+xml"/>
  <Override PartName="/word/charts/chart28.xml" ContentType="application/vnd.openxmlformats-officedocument.drawingml.chart+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before="600"/>
      </w:pPr>
      <w:r>
        <w:rPr>
          <w:rFonts w:ascii="Calibri" w:cs="Calibri" w:eastAsia="Calibri" w:hAnsi="Calibri"/>
          <w:b/>
          <w:bCs/>
          <w:color w:val="2A78D6"/>
          <w:spacing w:val="40"/>
          <w:sz w:val="18"/>
          <w:szCs w:val="18"/>
        </w:rPr>
        <w:t xml:space="preserve">ANÁLISIS DE EMPRESA COTIZADA</w:t>
      </w:r>
    </w:p>
    <w:p>
      <w:pPr>
        <w:pStyle w:val="Title"/>
      </w:pPr>
      <w:r>
        <w:t xml:space="preserve">Construcciones y Auxiliar de Ferrocarriles, S.A.</w:t>
      </w:r>
    </w:p>
    <w:p>
      <w:pPr>
        <w:spacing w:after="60"/>
        <w:rPr>
          <w:color w:val="52514E"/>
          <w:sz w:val="22"/>
          <w:szCs w:val="22"/>
        </w:rPr>
      </w:pPr>
      <w:r>
        <w:rPr>
          <w:color w:val="52514E"/>
          <w:sz w:val="22"/>
          <w:szCs w:val="22"/>
        </w:rPr>
        <w:t xml:space="preserve">CAF · Bolsas de Madrid y Bilbao (Mercado Continuo) · ISIN ES0121975009 · Industria</w:t>
      </w:r>
    </w:p>
    <w:p>
      <w:pPr>
        <w:spacing w:after="360"/>
        <w:rPr>
          <w:color w:val="52514E"/>
          <w:sz w:val="18"/>
          <w:szCs w:val="18"/>
        </w:rPr>
      </w:pPr>
      <w:r>
        <w:rPr>
          <w:color w:val="52514E"/>
          <w:sz w:val="18"/>
          <w:szCs w:val="18"/>
        </w:rPr>
        <w:t xml:space="preserve">Fecha de corte de los datos: </w:t>
      </w:r>
      <w:r>
        <w:rPr>
          <w:b/>
          <w:bCs/>
          <w:color w:val="52514E"/>
          <w:sz w:val="18"/>
          <w:szCs w:val="18"/>
        </w:rPr>
        <w:t xml:space="preserve">6 oct 2026</w:t>
      </w:r>
      <w:r>
        <w:rPr>
          <w:color w:val="52514E"/>
          <w:sz w:val="18"/>
          <w:szCs w:val="18"/>
        </w:rPr>
        <w:t xml:space="preserve"> · Divisa: </w:t>
      </w:r>
      <w:r>
        <w:rPr>
          <w:b/>
          <w:bCs/>
          <w:color w:val="52514E"/>
          <w:sz w:val="18"/>
          <w:szCs w:val="18"/>
        </w:rPr>
        <w:t xml:space="preserve">EUR</w:t>
      </w:r>
      <w:r>
        <w:rPr>
          <w:color w:val="52514E"/>
          <w:sz w:val="18"/>
          <w:szCs w:val="18"/>
        </w:rPr>
        <w:t xml:space="preserve"> · Cifras en </w:t>
      </w:r>
      <w:r>
        <w:rPr>
          <w:b/>
          <w:bCs/>
          <w:color w:val="52514E"/>
          <w:sz w:val="18"/>
          <w:szCs w:val="18"/>
        </w:rPr>
        <w:t xml:space="preserve">millones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409"/>
        <w:gridCol w:w="2409"/>
        <w:gridCol w:w="2409"/>
        <w:gridCol w:w="2411"/>
      </w:tblGrid>
      <w:tr>
        <w:trPr>
          <w:cantSplit/>
        </w:trPr>
        <w:tc>
          <w:tcPr>
            <w:tcW w:type="dxa" w:w="2409"/>
            <w:tcBorders>
              <w:top w:val="single" w:color="FFFFFF" w:sz="24"/>
              <w:left w:val="single" w:color="FFFFFF" w:sz="24"/>
              <w:bottom w:val="single" w:color="FFFFFF" w:sz="24"/>
              <w:right w:val="single" w:color="FFFFFF" w:sz="24"/>
            </w:tcBorders>
            <w:shd w:fill="F3F2EE" w:color="auto" w:val="clear"/>
            <w:tcMar>
              <w:top w:type="dxa" w:w="100"/>
              <w:left w:type="dxa" w:w="140"/>
              <w:bottom w:type="dxa" w:w="100"/>
              <w:right w:type="dxa" w:w="100"/>
            </w:tcMar>
          </w:tcPr>
          <w:p>
            <w:pPr>
              <w:spacing w:after="20"/>
            </w:pPr>
            <w:r>
              <w:rPr>
                <w:rFonts w:ascii="Calibri" w:cs="Calibri" w:eastAsia="Calibri" w:hAnsi="Calibri"/>
                <w:color w:val="52514E"/>
                <w:sz w:val="15"/>
                <w:szCs w:val="15"/>
              </w:rPr>
              <w:t xml:space="preserve">Recomendación</w:t>
            </w:r>
          </w:p>
          <w:p>
            <w:pPr>
              <w:spacing w:after="0"/>
            </w:pPr>
            <w:r>
              <w:rPr>
                <w:rFonts w:ascii="Calibri" w:cs="Calibri" w:eastAsia="Calibri" w:hAnsi="Calibri"/>
                <w:b/>
                <w:bCs/>
                <w:color w:val="1F2A3C"/>
                <w:sz w:val="26"/>
                <w:szCs w:val="26"/>
              </w:rPr>
              <w:t xml:space="preserve">Comprar</w:t>
            </w:r>
          </w:p>
        </w:tc>
        <w:tc>
          <w:tcPr>
            <w:tcW w:type="dxa" w:w="2409"/>
            <w:tcBorders>
              <w:top w:val="single" w:color="FFFFFF" w:sz="24"/>
              <w:left w:val="single" w:color="FFFFFF" w:sz="24"/>
              <w:bottom w:val="single" w:color="FFFFFF" w:sz="24"/>
              <w:right w:val="single" w:color="FFFFFF" w:sz="24"/>
            </w:tcBorders>
            <w:shd w:fill="F3F2EE" w:color="auto" w:val="clear"/>
            <w:tcMar>
              <w:top w:type="dxa" w:w="100"/>
              <w:left w:type="dxa" w:w="140"/>
              <w:bottom w:type="dxa" w:w="100"/>
              <w:right w:type="dxa" w:w="100"/>
            </w:tcMar>
          </w:tcPr>
          <w:p>
            <w:pPr>
              <w:spacing w:after="20"/>
            </w:pPr>
            <w:r>
              <w:rPr>
                <w:rFonts w:ascii="Calibri" w:cs="Calibri" w:eastAsia="Calibri" w:hAnsi="Calibri"/>
                <w:color w:val="52514E"/>
                <w:sz w:val="15"/>
                <w:szCs w:val="15"/>
              </w:rPr>
              <w:t xml:space="preserve">Precio</w:t>
            </w:r>
          </w:p>
          <w:p>
            <w:pPr>
              <w:spacing w:after="0"/>
            </w:pPr>
            <w:r>
              <w:rPr>
                <w:rFonts w:ascii="Calibri" w:cs="Calibri" w:eastAsia="Calibri" w:hAnsi="Calibri"/>
                <w:b/>
                <w:bCs/>
                <w:color w:val="1F2A3C"/>
                <w:sz w:val="26"/>
                <w:szCs w:val="26"/>
              </w:rPr>
              <w:t xml:space="preserve">78,30 EUR</w:t>
            </w:r>
          </w:p>
        </w:tc>
        <w:tc>
          <w:tcPr>
            <w:tcW w:type="dxa" w:w="2409"/>
            <w:tcBorders>
              <w:top w:val="single" w:color="FFFFFF" w:sz="24"/>
              <w:left w:val="single" w:color="FFFFFF" w:sz="24"/>
              <w:bottom w:val="single" w:color="FFFFFF" w:sz="24"/>
              <w:right w:val="single" w:color="FFFFFF" w:sz="24"/>
            </w:tcBorders>
            <w:shd w:fill="F3F2EE" w:color="auto" w:val="clear"/>
            <w:tcMar>
              <w:top w:type="dxa" w:w="100"/>
              <w:left w:type="dxa" w:w="140"/>
              <w:bottom w:type="dxa" w:w="100"/>
              <w:right w:type="dxa" w:w="100"/>
            </w:tcMar>
          </w:tcPr>
          <w:p>
            <w:pPr>
              <w:spacing w:after="20"/>
            </w:pPr>
            <w:r>
              <w:rPr>
                <w:rFonts w:ascii="Calibri" w:cs="Calibri" w:eastAsia="Calibri" w:hAnsi="Calibri"/>
                <w:color w:val="52514E"/>
                <w:sz w:val="15"/>
                <w:szCs w:val="15"/>
              </w:rPr>
              <w:t xml:space="preserve">Objetivo 12 m</w:t>
            </w:r>
          </w:p>
          <w:p>
            <w:pPr>
              <w:spacing w:after="0"/>
            </w:pPr>
            <w:r>
              <w:rPr>
                <w:rFonts w:ascii="Calibri" w:cs="Calibri" w:eastAsia="Calibri" w:hAnsi="Calibri"/>
                <w:b/>
                <w:bCs/>
                <w:color w:val="1F2A3C"/>
                <w:sz w:val="26"/>
                <w:szCs w:val="26"/>
              </w:rPr>
              <w:t xml:space="preserve">77,21 EUR</w:t>
            </w:r>
          </w:p>
        </w:tc>
        <w:tc>
          <w:tcPr>
            <w:tcW w:type="dxa" w:w="2411"/>
            <w:tcBorders>
              <w:top w:val="single" w:color="FFFFFF" w:sz="24"/>
              <w:left w:val="single" w:color="FFFFFF" w:sz="24"/>
              <w:bottom w:val="single" w:color="FFFFFF" w:sz="24"/>
              <w:right w:val="single" w:color="FFFFFF" w:sz="24"/>
            </w:tcBorders>
            <w:shd w:fill="F3F2EE" w:color="auto" w:val="clear"/>
            <w:tcMar>
              <w:top w:type="dxa" w:w="100"/>
              <w:left w:type="dxa" w:w="140"/>
              <w:bottom w:type="dxa" w:w="100"/>
              <w:right w:type="dxa" w:w="100"/>
            </w:tcMar>
          </w:tcPr>
          <w:p>
            <w:pPr>
              <w:spacing w:after="20"/>
            </w:pPr>
            <w:r>
              <w:rPr>
                <w:rFonts w:ascii="Calibri" w:cs="Calibri" w:eastAsia="Calibri" w:hAnsi="Calibri"/>
                <w:color w:val="52514E"/>
                <w:sz w:val="15"/>
                <w:szCs w:val="15"/>
              </w:rPr>
              <w:t xml:space="preserve">Rentabilidad 12 m</w:t>
            </w:r>
          </w:p>
          <w:p>
            <w:pPr>
              <w:spacing w:after="0"/>
            </w:pPr>
            <w:r>
              <w:rPr>
                <w:rFonts w:ascii="Calibri" w:cs="Calibri" w:eastAsia="Calibri" w:hAnsi="Calibri"/>
                <w:b/>
                <w:bCs/>
                <w:color w:val="1F2A3C"/>
                <w:sz w:val="26"/>
                <w:szCs w:val="26"/>
              </w:rPr>
              <w:t xml:space="preserve">+0,6 % (base +0,6 %)</w:t>
            </w:r>
          </w:p>
        </w:tc>
      </w:tr>
      <w:tr>
        <w:trPr>
          <w:cantSplit/>
        </w:trPr>
        <w:tc>
          <w:tcPr>
            <w:tcW w:type="dxa" w:w="2409"/>
            <w:tcBorders>
              <w:top w:val="single" w:color="FFFFFF" w:sz="24"/>
              <w:left w:val="single" w:color="FFFFFF" w:sz="24"/>
              <w:bottom w:val="single" w:color="FFFFFF" w:sz="24"/>
              <w:right w:val="single" w:color="FFFFFF" w:sz="24"/>
            </w:tcBorders>
            <w:shd w:fill="F3F2EE" w:color="auto" w:val="clear"/>
            <w:tcMar>
              <w:top w:type="dxa" w:w="100"/>
              <w:left w:type="dxa" w:w="140"/>
              <w:bottom w:type="dxa" w:w="100"/>
              <w:right w:type="dxa" w:w="100"/>
            </w:tcMar>
          </w:tcPr>
          <w:p>
            <w:pPr>
              <w:spacing w:after="20"/>
            </w:pPr>
            <w:r>
              <w:rPr>
                <w:rFonts w:ascii="Calibri" w:cs="Calibri" w:eastAsia="Calibri" w:hAnsi="Calibri"/>
                <w:color w:val="52514E"/>
                <w:sz w:val="15"/>
                <w:szCs w:val="15"/>
              </w:rPr>
              <w:t xml:space="preserve">Valor intrínseco</w:t>
            </w:r>
          </w:p>
          <w:p>
            <w:pPr>
              <w:spacing w:after="0"/>
            </w:pPr>
            <w:r>
              <w:rPr>
                <w:rFonts w:ascii="Calibri" w:cs="Calibri" w:eastAsia="Calibri" w:hAnsi="Calibri"/>
                <w:b/>
                <w:bCs/>
                <w:color w:val="1F2A3C"/>
                <w:sz w:val="26"/>
                <w:szCs w:val="26"/>
              </w:rPr>
              <w:t xml:space="preserve">80,97 EUR · mercado 94,34</w:t>
            </w:r>
          </w:p>
        </w:tc>
        <w:tc>
          <w:tcPr>
            <w:tcW w:type="dxa" w:w="2409"/>
            <w:tcBorders>
              <w:top w:val="single" w:color="FFFFFF" w:sz="24"/>
              <w:left w:val="single" w:color="FFFFFF" w:sz="24"/>
              <w:bottom w:val="single" w:color="FFFFFF" w:sz="24"/>
              <w:right w:val="single" w:color="FFFFFF" w:sz="24"/>
            </w:tcBorders>
            <w:shd w:fill="F3F2EE" w:color="auto" w:val="clear"/>
            <w:tcMar>
              <w:top w:type="dxa" w:w="100"/>
              <w:left w:type="dxa" w:w="140"/>
              <w:bottom w:type="dxa" w:w="100"/>
              <w:right w:type="dxa" w:w="100"/>
            </w:tcMar>
          </w:tcPr>
          <w:p>
            <w:pPr>
              <w:spacing w:after="20"/>
            </w:pPr>
            <w:r>
              <w:rPr>
                <w:rFonts w:ascii="Calibri" w:cs="Calibri" w:eastAsia="Calibri" w:hAnsi="Calibri"/>
                <w:color w:val="52514E"/>
                <w:sz w:val="15"/>
                <w:szCs w:val="15"/>
              </w:rPr>
              <w:t xml:space="preserve">Convicción</w:t>
            </w:r>
          </w:p>
          <w:p>
            <w:pPr>
              <w:spacing w:after="0"/>
            </w:pPr>
            <w:r>
              <w:rPr>
                <w:rFonts w:ascii="Calibri" w:cs="Calibri" w:eastAsia="Calibri" w:hAnsi="Calibri"/>
                <w:b/>
                <w:bCs/>
                <w:color w:val="1F2A3C"/>
                <w:sz w:val="26"/>
                <w:szCs w:val="26"/>
              </w:rPr>
              <w:t xml:space="preserve">Baja</w:t>
            </w:r>
          </w:p>
        </w:tc>
        <w:tc>
          <w:tcPr>
            <w:tcW w:type="dxa" w:w="2409"/>
            <w:tcBorders>
              <w:top w:val="single" w:color="FFFFFF" w:sz="24"/>
              <w:left w:val="single" w:color="FFFFFF" w:sz="24"/>
              <w:bottom w:val="single" w:color="FFFFFF" w:sz="24"/>
              <w:right w:val="single" w:color="FFFFFF" w:sz="24"/>
            </w:tcBorders>
            <w:shd w:fill="F3F2EE" w:color="auto" w:val="clear"/>
            <w:tcMar>
              <w:top w:type="dxa" w:w="100"/>
              <w:left w:type="dxa" w:w="140"/>
              <w:bottom w:type="dxa" w:w="100"/>
              <w:right w:type="dxa" w:w="100"/>
            </w:tcMar>
          </w:tcPr>
          <w:p>
            <w:pPr>
              <w:spacing w:after="20"/>
            </w:pPr>
            <w:r>
              <w:rPr>
                <w:rFonts w:ascii="Calibri" w:cs="Calibri" w:eastAsia="Calibri" w:hAnsi="Calibri"/>
                <w:color w:val="52514E"/>
                <w:sz w:val="15"/>
                <w:szCs w:val="15"/>
              </w:rPr>
              <w:t xml:space="preserve">Capitalización</w:t>
            </w:r>
          </w:p>
          <w:p>
            <w:pPr>
              <w:spacing w:after="0"/>
            </w:pPr>
            <w:r>
              <w:rPr>
                <w:rFonts w:ascii="Calibri" w:cs="Calibri" w:eastAsia="Calibri" w:hAnsi="Calibri"/>
                <w:b/>
                <w:bCs/>
                <w:color w:val="1F2A3C"/>
                <w:sz w:val="26"/>
                <w:szCs w:val="26"/>
              </w:rPr>
              <w:t xml:space="preserve">2.682 M</w:t>
            </w:r>
          </w:p>
        </w:tc>
        <w:tc>
          <w:tcPr>
            <w:tcW w:type="dxa" w:w="2411"/>
            <w:tcBorders>
              <w:top w:val="single" w:color="FFFFFF" w:sz="24"/>
              <w:left w:val="single" w:color="FFFFFF" w:sz="24"/>
              <w:bottom w:val="single" w:color="FFFFFF" w:sz="24"/>
              <w:right w:val="single" w:color="FFFFFF" w:sz="24"/>
            </w:tcBorders>
            <w:shd w:fill="F3F2EE" w:color="auto" w:val="clear"/>
            <w:tcMar>
              <w:top w:type="dxa" w:w="100"/>
              <w:left w:type="dxa" w:w="140"/>
              <w:bottom w:type="dxa" w:w="100"/>
              <w:right w:type="dxa" w:w="100"/>
            </w:tcMar>
          </w:tcPr>
          <w:p>
            <w:pPr>
              <w:spacing w:after="20"/>
            </w:pPr>
            <w:r>
              <w:rPr>
                <w:rFonts w:ascii="Calibri" w:cs="Calibri" w:eastAsia="Calibri" w:hAnsi="Calibri"/>
                <w:color w:val="52514E"/>
                <w:sz w:val="15"/>
                <w:szCs w:val="15"/>
              </w:rPr>
              <w:t xml:space="preserve">EV/EBITDA próx. 12 m</w:t>
            </w:r>
          </w:p>
          <w:p>
            <w:pPr>
              <w:spacing w:after="0"/>
            </w:pPr>
            <w:r>
              <w:rPr>
                <w:rFonts w:ascii="Calibri" w:cs="Calibri" w:eastAsia="Calibri" w:hAnsi="Calibri"/>
                <w:b/>
                <w:bCs/>
                <w:color w:val="1F2A3C"/>
                <w:sz w:val="26"/>
                <w:szCs w:val="26"/>
              </w:rPr>
              <w:t xml:space="preserve">7,0x</w:t>
            </w:r>
          </w:p>
        </w:tc>
      </w:tr>
      <w:tr>
        <w:trPr>
          <w:cantSplit/>
        </w:trPr>
        <w:tc>
          <w:tcPr>
            <w:tcW w:type="dxa" w:w="2409"/>
            <w:tcBorders>
              <w:top w:val="single" w:color="FFFFFF" w:sz="24"/>
              <w:left w:val="single" w:color="FFFFFF" w:sz="24"/>
              <w:bottom w:val="single" w:color="FFFFFF" w:sz="24"/>
              <w:right w:val="single" w:color="FFFFFF" w:sz="24"/>
            </w:tcBorders>
            <w:shd w:fill="F3F2EE" w:color="auto" w:val="clear"/>
            <w:tcMar>
              <w:top w:type="dxa" w:w="100"/>
              <w:left w:type="dxa" w:w="140"/>
              <w:bottom w:type="dxa" w:w="100"/>
              <w:right w:type="dxa" w:w="100"/>
            </w:tcMar>
          </w:tcPr>
          <w:p>
            <w:pPr>
              <w:spacing w:after="20"/>
            </w:pPr>
            <w:r>
              <w:rPr>
                <w:rFonts w:ascii="Calibri" w:cs="Calibri" w:eastAsia="Calibri" w:hAnsi="Calibri"/>
                <w:color w:val="52514E"/>
                <w:sz w:val="15"/>
                <w:szCs w:val="15"/>
              </w:rPr>
              <w:t xml:space="preserve">Deuda neta aj. / EBITDA</w:t>
            </w:r>
          </w:p>
          <w:p>
            <w:pPr>
              <w:spacing w:after="0"/>
            </w:pPr>
            <w:r>
              <w:rPr>
                <w:rFonts w:ascii="Calibri" w:cs="Calibri" w:eastAsia="Calibri" w:hAnsi="Calibri"/>
                <w:b/>
                <w:bCs/>
                <w:color w:val="1F2A3C"/>
                <w:sz w:val="26"/>
                <w:szCs w:val="26"/>
              </w:rPr>
              <w:t xml:space="preserve">1,4x</w:t>
            </w:r>
          </w:p>
        </w:tc>
        <w:tc>
          <w:tcPr>
            <w:tcW w:type="dxa" w:w="2409"/>
            <w:tcBorders>
              <w:top w:val="single" w:color="FFFFFF" w:sz="24"/>
              <w:left w:val="single" w:color="FFFFFF" w:sz="24"/>
              <w:bottom w:val="single" w:color="FFFFFF" w:sz="24"/>
              <w:right w:val="single" w:color="FFFFFF" w:sz="24"/>
            </w:tcBorders>
            <w:shd w:fill="F3F2EE" w:color="auto" w:val="clear"/>
            <w:tcMar>
              <w:top w:type="dxa" w:w="100"/>
              <w:left w:type="dxa" w:w="140"/>
              <w:bottom w:type="dxa" w:w="100"/>
              <w:right w:type="dxa" w:w="100"/>
            </w:tcMar>
          </w:tcPr>
          <w:p>
            <w:pPr>
              <w:spacing w:after="20"/>
            </w:pPr>
            <w:r>
              <w:rPr>
                <w:rFonts w:ascii="Calibri" w:cs="Calibri" w:eastAsia="Calibri" w:hAnsi="Calibri"/>
                <w:color w:val="52514E"/>
                <w:sz w:val="15"/>
                <w:szCs w:val="15"/>
              </w:rPr>
              <w:t xml:space="preserve"/>
            </w:r>
          </w:p>
          <w:p>
            <w:pPr>
              <w:spacing w:after="0"/>
            </w:pPr>
            <w:r>
              <w:rPr>
                <w:rFonts w:ascii="Calibri" w:cs="Calibri" w:eastAsia="Calibri" w:hAnsi="Calibri"/>
                <w:b/>
                <w:bCs/>
                <w:color w:val="1F2A3C"/>
                <w:sz w:val="26"/>
                <w:szCs w:val="26"/>
              </w:rPr>
              <w:t xml:space="preserve"/>
            </w:r>
          </w:p>
        </w:tc>
        <w:tc>
          <w:tcPr>
            <w:tcW w:type="dxa" w:w="2409"/>
            <w:tcBorders>
              <w:top w:val="single" w:color="FFFFFF" w:sz="24"/>
              <w:left w:val="single" w:color="FFFFFF" w:sz="24"/>
              <w:bottom w:val="single" w:color="FFFFFF" w:sz="24"/>
              <w:right w:val="single" w:color="FFFFFF" w:sz="24"/>
            </w:tcBorders>
            <w:shd w:fill="F3F2EE" w:color="auto" w:val="clear"/>
            <w:tcMar>
              <w:top w:type="dxa" w:w="100"/>
              <w:left w:type="dxa" w:w="140"/>
              <w:bottom w:type="dxa" w:w="100"/>
              <w:right w:type="dxa" w:w="100"/>
            </w:tcMar>
          </w:tcPr>
          <w:p>
            <w:pPr>
              <w:spacing w:after="20"/>
            </w:pPr>
            <w:r>
              <w:rPr>
                <w:rFonts w:ascii="Calibri" w:cs="Calibri" w:eastAsia="Calibri" w:hAnsi="Calibri"/>
                <w:color w:val="52514E"/>
                <w:sz w:val="15"/>
                <w:szCs w:val="15"/>
              </w:rPr>
              <w:t xml:space="preserve"/>
            </w:r>
          </w:p>
          <w:p>
            <w:pPr>
              <w:spacing w:after="0"/>
            </w:pPr>
            <w:r>
              <w:rPr>
                <w:rFonts w:ascii="Calibri" w:cs="Calibri" w:eastAsia="Calibri" w:hAnsi="Calibri"/>
                <w:b/>
                <w:bCs/>
                <w:color w:val="1F2A3C"/>
                <w:sz w:val="26"/>
                <w:szCs w:val="26"/>
              </w:rPr>
              <w:t xml:space="preserve"/>
            </w:r>
          </w:p>
        </w:tc>
        <w:tc>
          <w:tcPr>
            <w:tcW w:type="dxa" w:w="2411"/>
            <w:tcBorders>
              <w:top w:val="single" w:color="FFFFFF" w:sz="24"/>
              <w:left w:val="single" w:color="FFFFFF" w:sz="24"/>
              <w:bottom w:val="single" w:color="FFFFFF" w:sz="24"/>
              <w:right w:val="single" w:color="FFFFFF" w:sz="24"/>
            </w:tcBorders>
            <w:shd w:fill="F3F2EE" w:color="auto" w:val="clear"/>
            <w:tcMar>
              <w:top w:type="dxa" w:w="100"/>
              <w:left w:type="dxa" w:w="140"/>
              <w:bottom w:type="dxa" w:w="100"/>
              <w:right w:type="dxa" w:w="100"/>
            </w:tcMar>
          </w:tcPr>
          <w:p>
            <w:pPr>
              <w:spacing w:after="20"/>
            </w:pPr>
            <w:r>
              <w:rPr>
                <w:rFonts w:ascii="Calibri" w:cs="Calibri" w:eastAsia="Calibri" w:hAnsi="Calibri"/>
                <w:color w:val="52514E"/>
                <w:sz w:val="15"/>
                <w:szCs w:val="15"/>
              </w:rPr>
              <w:t xml:space="preserve"/>
            </w:r>
          </w:p>
          <w:p>
            <w:pPr>
              <w:spacing w:after="0"/>
            </w:pPr>
            <w:r>
              <w:rPr>
                <w:rFonts w:ascii="Calibri" w:cs="Calibri" w:eastAsia="Calibri" w:hAnsi="Calibri"/>
                <w:b/>
                <w:bCs/>
                <w:color w:val="1F2A3C"/>
                <w:sz w:val="26"/>
                <w:szCs w:val="26"/>
              </w:rPr>
              <w:t xml:space="preserve"/>
            </w:r>
          </w:p>
        </w:tc>
      </w:tr>
    </w:tbl>
    <w:p>
      <w:pPr>
        <w:spacing w:after="20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23"/>
        <w:gridCol w:w="2796"/>
        <w:gridCol w:w="2023"/>
        <w:gridCol w:w="2796"/>
      </w:tblGrid>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Nombre</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Construcciones y Auxiliar de Ferrocarriles, S.A.</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Ticker / ISIN</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CAF / ES0121975009</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Mercado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Bolsas de Madrid y Bilbao (Mercado Continuo)</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Índice de referencia</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IBEX 35 (como índice de mercado; CAF no forma parte de él)</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Sector / industria</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Industria / Maquinaria (material rodante y autobuses)</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Sede · fundación</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Beasain (Gipuzkoa) · 1917</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Empleados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17.788</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Web</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https://www.cafmobility.com</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Precio (fecha)</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78,30 (6 oct 2026)</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Rango 52 semanas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49,90 – 79,70</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Acciones diluidas (M)</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34,2</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Free float</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50,3 %</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Capitalización</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2.682 M EUR</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Valor empresa</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3.184 M EUR</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Volumen medio diario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 1,9 M EUR/día (27.035 acciones; 66 sesiones, 3 meses)</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Próximos resultados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12 nov 2026</w:t>
            </w:r>
          </w:p>
        </w:tc>
      </w:tr>
    </w:tbl>
    <w:p>
      <w:pPr>
        <w:spacing w:after="160" w:before="0"/>
      </w:pPr>
    </w:p>
    <w:p>
      <w:pPr>
        <w:pStyle w:val="Heading2"/>
      </w:pPr>
      <w:r>
        <w:t xml:space="preserve">Contenido</w:t>
      </w:r>
    </w:p>
    <w:p>
      <w:pPr>
        <w:pStyle w:val="ListParagraph"/>
        <w:numPr>
          <w:ilvl w:val="0"/>
          <w:numId w:val="2"/>
        </w:numPr>
        <w:spacing w:after="40"/>
      </w:pPr>
      <w:r>
        <w:rPr>
          <w:sz w:val="18"/>
          <w:szCs w:val="18"/>
        </w:rPr>
        <w:t xml:space="preserve">Síntesis y recomendación (una página)</w:t>
      </w:r>
    </w:p>
    <w:p>
      <w:pPr>
        <w:pStyle w:val="ListParagraph"/>
        <w:numPr>
          <w:ilvl w:val="0"/>
          <w:numId w:val="2"/>
        </w:numPr>
        <w:spacing w:after="40"/>
      </w:pPr>
      <w:r>
        <w:rPr>
          <w:sz w:val="18"/>
          <w:szCs w:val="18"/>
        </w:rPr>
        <w:t xml:space="preserve">Resumen ejecutivo</w:t>
      </w:r>
    </w:p>
    <w:p>
      <w:pPr>
        <w:pStyle w:val="ListParagraph"/>
        <w:numPr>
          <w:ilvl w:val="0"/>
          <w:numId w:val="2"/>
        </w:numPr>
        <w:spacing w:after="40"/>
      </w:pPr>
      <w:r>
        <w:rPr>
          <w:sz w:val="18"/>
          <w:szCs w:val="18"/>
        </w:rPr>
        <w:t xml:space="preserve">Parte I — Negocio y sector: 1. Historia · 2. Modelo de negocio · 3. Sector y mercado · 4. Posición competitiva</w:t>
      </w:r>
    </w:p>
    <w:p>
      <w:pPr>
        <w:pStyle w:val="ListParagraph"/>
        <w:numPr>
          <w:ilvl w:val="0"/>
          <w:numId w:val="2"/>
        </w:numPr>
        <w:spacing w:after="40"/>
      </w:pPr>
      <w:r>
        <w:rPr>
          <w:sz w:val="18"/>
          <w:szCs w:val="18"/>
        </w:rPr>
        <w:t xml:space="preserve">Parte II — Finanzas: 5. Cuenta de resultados · 6. Resultados recientes · 7. Balance y circulante · 8. Flujos de caja · 9. Calidad contable · 10. Rentabilidad · 11. Deuda y solvencia · 12. Asignación de capital</w:t>
      </w:r>
    </w:p>
    <w:p>
      <w:pPr>
        <w:pStyle w:val="ListParagraph"/>
        <w:numPr>
          <w:ilvl w:val="0"/>
          <w:numId w:val="2"/>
        </w:numPr>
        <w:spacing w:after="40"/>
      </w:pPr>
      <w:r>
        <w:rPr>
          <w:sz w:val="18"/>
          <w:szCs w:val="18"/>
        </w:rPr>
        <w:t xml:space="preserve">Parte III — Equipo y gobierno: 13. Equipo directivo · 14. Gobierno corporativo</w:t>
      </w:r>
    </w:p>
    <w:p>
      <w:pPr>
        <w:pStyle w:val="ListParagraph"/>
        <w:numPr>
          <w:ilvl w:val="0"/>
          <w:numId w:val="2"/>
        </w:numPr>
        <w:spacing w:after="40"/>
      </w:pPr>
      <w:r>
        <w:rPr>
          <w:sz w:val="18"/>
          <w:szCs w:val="18"/>
        </w:rPr>
        <w:t xml:space="preserve">Parte IV — Mercado y valoración: 15. Consenso · 16. Bolsa · 17. Múltiplos históricos · 18. Comparables · 19. Transacciones · 20. DCF · 21. Escenarios · 22. Suma de partes · 23. Síntesis</w:t>
      </w:r>
    </w:p>
    <w:p>
      <w:pPr>
        <w:pStyle w:val="ListParagraph"/>
        <w:numPr>
          <w:ilvl w:val="0"/>
          <w:numId w:val="2"/>
        </w:numPr>
        <w:spacing w:after="40"/>
      </w:pPr>
      <w:r>
        <w:rPr>
          <w:sz w:val="18"/>
          <w:szCs w:val="18"/>
        </w:rPr>
        <w:t xml:space="preserve">Parte V — Tesis, riesgos y seguimiento: 24. Catalizadores · 25. Riesgos y pre-mortem · 26. ESG · 27. Preguntas abiertas · 28. Sentimiento en foros y comentarios</w:t>
      </w:r>
    </w:p>
    <w:p>
      <w:pPr>
        <w:pStyle w:val="ListParagraph"/>
        <w:numPr>
          <w:ilvl w:val="0"/>
          <w:numId w:val="2"/>
        </w:numPr>
        <w:spacing w:after="40"/>
      </w:pPr>
      <w:r>
        <w:rPr>
          <w:sz w:val="18"/>
          <w:szCs w:val="18"/>
        </w:rPr>
        <w:t xml:space="preserve">Anexos: controles de calidad, información no disponible y fuentes</w:t>
      </w:r>
    </w:p>
    <w:p>
      <w:pPr>
        <w:pStyle w:val="ListParagraph"/>
        <w:numPr>
          <w:ilvl w:val="0"/>
          <w:numId w:val="2"/>
        </w:numPr>
        <w:spacing w:after="40"/>
      </w:pPr>
      <w:r>
        <w:rPr>
          <w:sz w:val="18"/>
          <w:szCs w:val="18"/>
        </w:rPr>
        <w:t xml:space="preserve">Las secciones sin información verificable no se imprimen; quedan listadas en el anexo «Información no disponible».</w:t>
      </w:r>
    </w:p>
    <w:p>
      <w:r>
        <w:br w:type="page"/>
      </w:r>
    </w:p>
    <w:p>
      <w:pPr>
        <w:pStyle w:val="Heading1"/>
      </w:pPr>
      <w:r>
        <w:t xml:space="preserve">Síntesis y recomendación</w:t>
      </w:r>
    </w:p>
    <w:p>
      <w:pPr>
        <w:spacing w:after="100"/>
      </w:pPr>
      <w:r>
        <w:rPr>
          <w:b/>
          <w:bCs/>
        </w:rPr>
        <w:t xml:space="preserve">Comprar</w:t>
      </w:r>
      <w:r>
        <w:t xml:space="preserve"> · Convicción Baja · Objetivo a 12 meses </w:t>
      </w:r>
      <w:r>
        <w:rPr>
          <w:b/>
          <w:bCs/>
        </w:rPr>
        <w:t xml:space="preserve">77,21 EUR</w:t>
      </w:r>
      <w:r>
        <w:t xml:space="preserve"> frente a 78,30 · Rentabilidad a 12 meses </w:t>
      </w:r>
      <w:r>
        <w:rPr>
          <w:b/>
          <w:bCs/>
        </w:rPr>
        <w:t xml:space="preserve">+0,6 % (base +0,6 %)</w:t>
      </w:r>
      <w:r>
        <w:t xml:space="preserve"> · Valor intrínseco 80,97 EUR · con la prima implícita del mercado: 94,34 (+20,5 %) · Alcista / bajista +49,1 % / -50,0 %</w:t>
      </w:r>
    </w:p>
    <w:p>
      <w:pPr>
        <w:spacing w:after="100"/>
      </w:pPr>
      <w:r>
        <w:rPr>
          <w:b/>
        </w:rPr>
        <w:t xml:space="preserve">La recomendación y por qué.</w:t>
      </w:r>
      <w:r>
        <w:t xml:space="preserve"> Comprar, con convicción baja, horizonte de 12 meses y en el límite. Con nuestro WACC (8,11 %), el valor objetivo es de 80,97 EUR frente a 78,30 EUR: una rentabilidad total esperada del 5,4 % con el dividendo y una asimetría de 0,98x; la regla absoluta da Mantener. Con la prima que hoy descuenta el mercado (4,20 %) [73], el WACC baja al 7,20 %, el objetivo sube a 94,34 EUR y la rentabilidad total al 22,4 % (asimetría de 2,14x): Comprar, y manda esta regla relativa. Un Comprar solo relativo exige al menos un 5 % con nuestro WACC, y el 5,4 % apenas lo pasa. Frente a la v3 (84,06 EUR), el objetivo baja porque el base ya no sube el margen.</w:t>
      </w:r>
    </w:p>
    <w:p>
      <w:pPr>
        <w:spacing w:after="100"/>
      </w:pPr>
      <w:r>
        <w:rPr>
          <w:b/>
        </w:rPr>
        <w:t xml:space="preserve">El negocio.</w:t>
      </w:r>
      <w:r>
        <w:t xml:space="preserve"> CAF es un integrador de trenes de segundo nivel (≈ 1,5 % del mercado ferroviario mundial) con un fabricante de autobuses dentro, Solaris [1, 24]. Su ventaja es la cartera: 17.743 M a jun-26, 3,7 años de ventas [8]. El ROIC subió al 13,6 % en 2025 (5,9-9,7 % en 2018-2023) por la rotación más que por el margen: el EBIT ferroviario sigue en el 5,2 % [1]. ¿Sostiene su calidad el crecimiento que proyectamos? En parte. Las ventas (4,4 % anual en 2027-2035) salen de la cartera, y la reinversión financia un 4,2 % al ROIC actual, más 1,5 puntos de precio que no piden capital [8, 15]. El margen no está demostrado: lo dejamos en el 8,4 % de 2026e en vez de subirlo al 8,6 %, y el capital nuevo rinde un 16,7 %, no un 18,1 %.</w:t>
      </w:r>
    </w:p>
    <w:p>
      <w:pPr>
        <w:spacing w:after="100"/>
      </w:pPr>
      <w:r>
        <w:rPr>
          <w:b/>
        </w:rPr>
        <w:t xml:space="preserve">Finanzas.</w:t>
      </w:r>
      <w:r>
        <w:t xml:space="preserve"> El beneficio crece (BPA de 5,03 EUR en los últimos 12 meses), pero no se cobra: el FCF después de intereses y arrendamientos fue de −52,5, 16,9 y 4,6 M en 2023-2025, porque el circulante absorbe unos 21 céntimos por euro de ventas nuevas [1, 2, 3]. Deuda neta ajustada (arrendamientos, factoring, multa del CADE y dividendo de julio): 531 M [6].</w:t>
      </w:r>
    </w:p>
    <w:p>
      <w:pPr>
        <w:spacing w:after="100"/>
      </w:pPr>
      <w:r>
        <w:rPr>
          <w:b/>
        </w:rPr>
        <w:t xml:space="preserve">Equipo y gobierno.</w:t>
      </w:r>
      <w:r>
        <w:t xml:space="preserve"> Ni suma ni resta mucho: un bloque vasco y de empleados del 39,35 % hace improbable una OPA [6]; puntos flojos, un 30 % de independientes, un presidente reelegido con un 17,59 % en contra y un incentivo ligado al EBIT, no a la caja [1, 37].</w:t>
      </w:r>
    </w:p>
    <w:p>
      <w:pPr>
        <w:spacing w:after="100"/>
      </w:pPr>
      <w:r>
        <w:rPr>
          <w:b/>
        </w:rPr>
        <w:t xml:space="preserve">Valoración.</w:t>
      </w:r>
      <w:r>
        <w:t xml:space="preserve"> El DCF da 81,56 EUR; los escenarios ponderados, 79,76; los comparables, 90,84; la suma de partes, 67,18. CAF cotiza a 7,0x el EBITDA de los próximos 12 meses (mediana del sector, 7,3x) [59]. El precio ofrece una rentabilidad implícita del 8,3 %, apenas por encima de nuestro WACC y más que la que pide el mercado (7,20 %); en crecimiento descuenta un 3,6 % anual frente a nuestro 4,4 %. El consenso pone más margen (8,9 % en 2028) y, aun así, su precio objetivo (69,22-73,95 EUR) queda bajo la cotización [46, 48]. Las reglas discrepan solo por la tasa de descuento: convicción baja.</w:t>
      </w:r>
    </w:p>
    <w:p>
      <w:pPr>
        <w:spacing w:after="100"/>
      </w:pPr>
      <w:r>
        <w:rPr>
          <w:b/>
        </w:rPr>
        <w:t xml:space="preserve">Riesgos y catalizadores.</w:t>
      </w:r>
      <w:r>
        <w:t xml:space="preserve"> El riesgo dominante es el margen: cada punto de EBITDA vale ≈ 21 EUR por acción, y la cartera incluye grandes contratos a precio cerrado (SNCB, más de 1.700 M) [8]. Con una prima implícita del mercado por encima del 5 %, la regla relativa vuelve a Mantener. Catalizadores: resultados de 9M26 (12-nov-2026) y el Plan 2027-2030 del 4T26 [8]; un margen demostrado por encima del 8,4 % sería potencial que el base no recoge.</w:t>
      </w:r>
    </w:p>
    <w:p>
      <w:pPr>
        <w:spacing w:after="100"/>
      </w:pPr>
      <w:r>
        <w:rPr>
          <w:b/>
        </w:rPr>
        <w:t xml:space="preserve">Qué cambiaría la decisión.</w:t>
      </w:r>
      <w:r>
        <w:t xml:space="preserve"> Con las dos reglas, por debajo de 78,54 EUR es Comprar y por encima de 106,56 EUR, Vender: estamos en el borde. Subiríamos la convicción con un plan 2027-2030 de margen EBIT por encima del 6,5 % y un objetivo de caja creíble, y un cash flow positivo en el 2S26. Volveríamos a Mantener si el margen EBIT ferroviario baja del 5 % o si el plan incluye una compra de más de 500 M con deuda.</w:t>
      </w:r>
    </w:p>
    <w:p>
      <w:r>
        <w:br w:type="page"/>
      </w:r>
    </w:p>
    <w:p>
      <w:pPr>
        <w:pStyle w:val="Heading1"/>
      </w:pPr>
      <w:r>
        <w:t xml:space="preserve">Resumen ejecutivo</w:t>
      </w:r>
    </w:p>
    <w:p>
      <w:pPr>
        <w:pStyle w:val="Confianza"/>
        <w:spacing w:after="100"/>
      </w:pPr>
      <w:r>
        <w:t xml:space="preserve">Confianza: Media</w:t>
      </w:r>
    </w:p>
    <w:p>
      <w:pPr>
        <w:spacing w:after="100"/>
      </w:pPr>
      <w:r>
        <w:rPr>
          <w:b/>
          <w:bCs/>
        </w:rPr>
        <w:t xml:space="preserve">Recomendación: Comprar</w:t>
      </w:r>
      <w:r>
        <w:t xml:space="preserve"> · Convicción: Baja · Horizonte: 12 meses · Objetivo a 12 meses: </w:t>
      </w:r>
      <w:r>
        <w:rPr>
          <w:b/>
          <w:bCs/>
        </w:rPr>
        <w:t xml:space="preserve">77,21 EUR</w:t>
      </w:r>
      <w:r>
        <w:t xml:space="preserve"> (rentabilidad +0,6 % (base +0,6 %)) · Valor intrínseco: 80,97 EUR (+3,4 % sobre 78,30) · con la prima implícita del mercado: 94,34 (+20,5 %)</w:t>
      </w:r>
    </w:p>
    <w:p>
      <w:pPr>
        <w:spacing w:after="100"/>
      </w:pPr>
      <w:r>
        <w:t xml:space="preserve">CAF es el mayor fabricante ferroviario español y un integrador europeo de segundo nivel, con un negocio de autobuses urbanos (Solaris) que ya es la cuarta parte de las ventas. Lo que la hace valiosa es la visibilidad: una cartera récord de 17.743 M (3,7 años de ventas), un book-to-bill de 1,6x en el 1S26 y más de 10.000 M en opciones de clientes [8]. Desde 2024 el ROIC (13,6 % en 2025) supera el coste del capital, gracias a Solaris (de pérdidas en 2022 a un margen EBIT del 7,3 % en el 1S26) y a contratos firmados desde 2022 con cláusulas de indexación o revisión de precios [1, 8, 15].</w:t>
      </w:r>
    </w:p>
    <w:p>
      <w:pPr>
        <w:spacing w:after="100"/>
      </w:pPr>
      <w:r>
        <w:t xml:space="preserve">A 78,30 EUR, CAF cotiza a 7,0x el EBITDA de los próximos 12 meses y 12,4x el beneficio, en la mediana de sus comparables y un 21 % por encima de su media histórica en EV/EBITDA. El DCF inverso dice que el precio supone un margen EBITDA estable del 8,2 %, el del 1S26, o un crecimiento del 3,6 % anual, por debajo de lo que respalda la cartera. No es un precio exigente.</w:t>
      </w:r>
    </w:p>
    <w:p>
      <w:pPr>
        <w:spacing w:after="100"/>
      </w:pPr>
      <w:r>
        <w:t xml:space="preserve">Con nuestro coste de capital no es una oportunidad: el DCF (81,56 EUR) solo supera el precio en un 4,2 %, y eso con un margen del 8,4 %, el de 2026e, que dejamos estable porque es lo que la reinversión prevista puede financiar, y con un circulante que debería dejar de crecer más que las ventas. Con la prima de riesgo que hoy pide el mercado (4,20 %) [73], el objetivo es de 94,34 EUR: CAF es barata frente al mercado, no en términos absolutos. Para invertir hay que creer que el plan 2027-2030 convertirá la cartera en caja —la historia de 2022-2025 (FCF casi nulo) dice que hay que verlo [1]— y que el mercado no vuelve a pedir una prima de riesgo más alta.</w:t>
      </w:r>
    </w:p>
    <w:p>
      <w:pPr>
        <w:pStyle w:val="Heading2"/>
      </w:pPr>
      <w:r>
        <w:t xml:space="preserve">La decisión</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6425"/>
        <w:gridCol w:w="3213"/>
      </w:tblGrid>
      <w:tr>
        <w:trPr>
          <w:cantSplit/>
          <w:tblHeader/>
        </w:trPr>
        <w:tc>
          <w:tcPr>
            <w:tcW w:type="dxa" w:w="642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Elemento de la decisión</w:t>
            </w:r>
          </w:p>
        </w:tc>
        <w:tc>
          <w:tcPr>
            <w:tcW w:type="dxa" w:w="321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Valor</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Objetivo a 12 meses (nuestro PER × nuestro BPA 2028e, ponderado 25/50/25)</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77,21 EUR</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Bajista / base / alcista a 12 meses</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8,2x × 4,32 = 35,42 · 12,2x × 6,33 = 77,23 · 15,8x × 7,53 = 118,97</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Rentabilidad a 12 meses: ponderada / del base (con dividendo)</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0,6 % / 0,6 %</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Regla de múltiplos aplicada</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v3: base a mitad de camino hacia la mediana adelantada, sin alejarse del actual más de ×1,1; bajista mín. 5 a (adelantado) o base × 0,80; alcista techo base × 1,35</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Objetivo medio de los analistas (solo contraste)</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69,22 (nuestro base +11,6 %)</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Valor intrínseco (síntesis ponderada, largo plazo)</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80,97 EUR</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Potencial sobre el precio actual</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3,4 %</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Rentabilidad por dividendo ordinario</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1,9 %</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Rentabilidad total esperada a 12 meses</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5,4 %</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Escenario alcista / bajista</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49,1 % / -50,0 %</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Asimetría (ganancia alcista / pérdida bajista)</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0,98x</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Rentabilidad anual implícita en el precio frente al WACC y al que pide el mercado</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8,3 % frente a 8,1 % y 7,2 %</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Valor objetivo con la prima implícita del mercado (4,2 %, WACC 7,2 %)</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94,34 EUR</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Rentabilidad total esperada con la prima del mercado</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22,4 %</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Asimetría con la prima del mercado</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2,14x</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Regla absoluta (frente a su coste de capital)</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Mantener</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Regla relativa (frente a lo que pide el mercado)</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Comprar</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Crecimiento anual implícito en el precio (2027e-2035e) frente al previsto para su mercado</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3,6 % frente a 3,2 %</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¿La calidad de la empresa sostiene el crecimiento previsto?</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En parte (5,0 % anual proyectado; financiable al ROIC actual: 4,2 %)</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Señal del valor intrínseco (regla del DCF, referencia)</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Comprar</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Recomendación según la regla a 12 meses (Comprar: ponderada ≥ 15 %, base ≥ 12 % y valor intrínseco ≥ precio; Vender: ponderada ≤ -10 %)</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Mantener</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Convicción según los criterios (las reglas discrepan (absoluta Mantener, relativa Comprar))</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Baja</w:t>
            </w:r>
          </w:p>
        </w:tc>
      </w:tr>
    </w:tbl>
    <w:p>
      <w:pPr>
        <w:spacing w:after="160" w:before="0"/>
      </w:pPr>
    </w:p>
    <w:p>
      <w:pPr>
        <w:pStyle w:val="Nota"/>
        <w:spacing w:after="100"/>
      </w:pPr>
      <w:r>
        <w:t xml:space="preserve">Regla (método v2): la recomendación sigue al objetivo a 12 meses, que es nuestro PER × nuestro BPA del ejercicio que mirará el mercado dentro de un año, con la misma regla de múltiplos para todas las empresas (base: el menor entre el PER actual y la mediana de 5 años; bajista: el mínimo de 5 años, o el base −15 % si ya cotiza por debajo; alcista: la media histórica o la de los comparables, sin pasar de base +30 %), ponderado con las probabilidades de los escenarios. Comprar si la rentabilidad ponderada es ≥ 15 %, la del base ≥ 12 % y el valor intrínseco no queda por debajo del precio; Vender si la ponderada es ≤ −10 %; Mantener en el resto. El consenso de analistas solo se compara. El valor intrínseco (DCF) es la referencia a largo plazo; su regla, la de siempre: Comprar si la rentabilidad total esperada a 12 meses es ≥ 15 % y el alcista gana al menos lo que pierde el bajista; Vender si es ≤ −10 %, o negativa con asimetría &lt; 0,5; Mantener en el resto. Se aplica dos veces: con el WACC del análisis (regla absoluta: ¿rinde más que su coste de capital?) y con el WACC que resulta de la prima de riesgo implícita del mercado (regla relativa: ¿rinde más que lo que hoy pide el mercado, ajustado por su beta?). Manda la relativa, salvo que las dos se contradigan (una Comprar y otra Vender): entonces, Mantener.</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606"/>
        <w:gridCol w:w="8032"/>
      </w:tblGrid>
      <w:tr>
        <w:trPr>
          <w:cantSplit/>
          <w:tblHeader/>
        </w:trPr>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Acción</w:t>
            </w:r>
          </w:p>
        </w:tc>
        <w:tc>
          <w:tcPr>
            <w:tcW w:type="dxa" w:w="803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A qué precio</w:t>
            </w:r>
          </w:p>
        </w:tc>
      </w:tr>
      <w:tr>
        <w:trPr>
          <w:cantSplit/>
        </w:trPr>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Comprar</w:t>
            </w:r>
          </w:p>
        </w:tc>
        <w:tc>
          <w:tcPr>
            <w:tcW w:type="dxa" w:w="80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Por debajo de 68,46 (ponderada a 12 meses ≥ 15 %, base ≥ 12 % y precio ≤ valor intrínseco)</w:t>
            </w:r>
          </w:p>
        </w:tc>
      </w:tr>
      <w:tr>
        <w:trPr>
          <w:cantSplit/>
        </w:trPr>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Mantener</w:t>
            </w:r>
          </w:p>
        </w:tc>
        <w:tc>
          <w:tcPr>
            <w:tcW w:type="dxa" w:w="80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Entre 68,46 y 87,48</w:t>
            </w:r>
          </w:p>
        </w:tc>
      </w:tr>
      <w:tr>
        <w:trPr>
          <w:cantSplit/>
        </w:trPr>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Vender o reducir</w:t>
            </w:r>
          </w:p>
        </w:tc>
        <w:tc>
          <w:tcPr>
            <w:tcW w:type="dxa" w:w="803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Por encima de 87,48 (ponderada a 12 meses ≤ -10 %)</w:t>
            </w:r>
          </w:p>
        </w:tc>
      </w:tr>
    </w:tbl>
    <w:p>
      <w:pPr>
        <w:spacing w:after="160" w:before="0"/>
      </w:pPr>
    </w:p>
    <w:p>
      <w:pPr>
        <w:pStyle w:val="Heading2"/>
      </w:pPr>
      <w:r>
        <w:t xml:space="preserve">Qué cambiaría la recomendación</w:t>
      </w:r>
    </w:p>
    <w:p>
      <w:pPr>
        <w:pStyle w:val="ListParagraph"/>
        <w:numPr>
          <w:ilvl w:val="0"/>
          <w:numId w:val="2"/>
        </w:numPr>
        <w:spacing w:after="60"/>
      </w:pPr>
      <w:r>
        <w:t xml:space="preserve">Precio: con las dos reglas combinadas, por debajo de 78,54 EUR seguimos en Comprar; entre 78,54 y 106,56 EUR, Mantener; por encima de 106,56 EUR, Vender (motor).</w:t>
      </w:r>
    </w:p>
    <w:p>
      <w:pPr>
        <w:pStyle w:val="ListParagraph"/>
        <w:numPr>
          <w:ilvl w:val="0"/>
          <w:numId w:val="2"/>
        </w:numPr>
        <w:spacing w:after="60"/>
      </w:pPr>
      <w:r>
        <w:t xml:space="preserve">Si la prima implícita del mercado sube por encima del 5 % (4,20 % en octubre de 2026) [73], la regla relativa da Mantener al precio de hoy y pasaríamos a Mantener (motor).</w:t>
      </w:r>
    </w:p>
    <w:p>
      <w:pPr>
        <w:pStyle w:val="ListParagraph"/>
        <w:numPr>
          <w:ilvl w:val="0"/>
          <w:numId w:val="2"/>
        </w:numPr>
        <w:spacing w:after="60"/>
      </w:pPr>
      <w:r>
        <w:t xml:space="preserve">Si el Plan 2027-2030 fija un margen EBIT ≥ 6,5 % en 2027-2028 y un objetivo de FCF, subiríamos la convicción.</w:t>
      </w:r>
    </w:p>
    <w:p>
      <w:pPr>
        <w:pStyle w:val="ListParagraph"/>
        <w:numPr>
          <w:ilvl w:val="0"/>
          <w:numId w:val="2"/>
        </w:numPr>
        <w:spacing w:after="60"/>
      </w:pPr>
      <w:r>
        <w:t xml:space="preserve">Si el margen EBIT ferroviario baja del 5,0 % en 9M26 o en el ejercicio 2026, o el cash flow de CAF de 2026 es negativo, revisaríamos el valor a la baja (≈ 21 EUR por punto de margen EBITDA; ≈ 6 EUR por la caja) y pasaríamos a Mantener.</w:t>
      </w:r>
    </w:p>
    <w:p>
      <w:pPr>
        <w:pStyle w:val="ListParagraph"/>
        <w:numPr>
          <w:ilvl w:val="0"/>
          <w:numId w:val="2"/>
        </w:numPr>
        <w:spacing w:after="60"/>
      </w:pPr>
      <w:r>
        <w:t xml:space="preserve">Si el plan anuncia una compra de más de 500 M financiada con deuda (DFN/EBITDA por encima de 1,5x), pasaríamos a Mantener.</w:t>
      </w:r>
    </w:p>
    <w:p>
      <w:pPr>
        <w:pStyle w:val="Heading2"/>
      </w:pPr>
      <w:r>
        <w:t xml:space="preserve">Dónde discrepamos del mercado</w:t>
      </w:r>
    </w:p>
    <w:p>
      <w:pPr>
        <w:keepNext/>
        <w:spacing w:after="100"/>
      </w:pPr>
      <w:r>
        <w:rPr>
          <w:b/>
          <w:bCs/>
        </w:rPr>
        <w:t xml:space="preserve">Lo que descuenta el precio.</w:t>
      </w:r>
    </w:p>
    <w:p>
      <w:pPr>
        <w:spacing w:after="100"/>
      </w:pPr>
      <w:r>
        <w:t xml:space="preserve">Tras un +49 % en un año, el mercado descuenta que la recuperación de 2025-2026 se mantiene: ventas de 4.964 M en 2026 y 5.759 M en 2028, margen EBITDA hacia el 8,9 % y un BPA de 7,44 EUR en 2028 (consenso) [47]. Al precio actual, eso deja una rentabilidad implícita del 8,3 %, casi igual a nuestro coste del capital (8,11 %) y por encima del 7,20 % que resulta de la prima implícita del mercado [73].</w:t>
      </w:r>
    </w:p>
    <w:p>
      <w:pPr>
        <w:keepNext/>
        <w:spacing w:after="100"/>
      </w:pPr>
      <w:r>
        <w:rPr>
          <w:b/>
          <w:bCs/>
        </w:rPr>
        <w:t xml:space="preserve">Lo que creemos nosotros.</w:t>
      </w:r>
    </w:p>
    <w:p>
      <w:pPr>
        <w:spacing w:after="100"/>
      </w:pPr>
      <w:r>
        <w:t xml:space="preserve">Coincidimos en las ventas, que respalda la cartera, y somos más prudentes en el margen (8,4 % estable, el de 2026e, frente al 8,9 % del consenso en 2028: la reinversión prevista no financia más) y bastante más en la caja: suponemos que el circulante seguirá subiendo hasta el 12 % de las ventas, como en 2022-2025, porque los activos por contrato crecen más que los anticipos (posición neta deudora de 362 M a jun-26, frente a 130 M en dic-25) [6]. Con eso, y con nuestra prima de mercado del 5,5 %, CAF vale 80-82 EUR, un 2-4 % más que hoy; con la prima que hoy pide el mercado, 94,34 EUR.</w:t>
      </w:r>
    </w:p>
    <w:p>
      <w:pPr>
        <w:keepNext/>
        <w:spacing w:after="100"/>
      </w:pPr>
      <w:r>
        <w:rPr>
          <w:b/>
          <w:bCs/>
        </w:rPr>
        <w:t xml:space="preserve">Por qué podemos tener razón.</w:t>
      </w:r>
    </w:p>
    <w:p>
      <w:pPr>
        <w:spacing w:after="100"/>
      </w:pPr>
      <w:r>
        <w:t xml:space="preserve">Porque es lo que ha pasado: en 2022-2025 las ventas crecieron 1.321 M y el circulante del motor 274 M, y el FCF acumulado fue negativo pese a 391 M de beneficio [1, 2, 3]. Si nos equivocamos, será porque el plan 2027-2030 corrige la caja; eso lo veremos en el 4T26 y es lo que subiría la convicción de un Comprar que hoy solo es relativo.</w:t>
      </w:r>
    </w:p>
    <w:p>
      <w:pPr>
        <w:keepNext w:val="false"/>
        <w:spacing w:after="160" w:before="120"/>
        <w:jc w:val="center"/>
      </w:pPr>
      <w:r>
        <w:drawing>
          <wp:inline xmlns:wp="http://schemas.openxmlformats.org/drawingml/2006/wordprocessingDrawing" distT="0" distB="0" distL="0" distR="0">
            <wp:extent cx="5760000" cy="2880000"/>
            <wp:effectExtent l="0" t="0" r="0" b="0"/>
            <wp:docPr id="1001" name="Gráfico 1" descr="Valor por acción según cada método (EUR) · precio actual 78,30"/>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1"/>
              </a:graphicData>
            </a:graphic>
          </wp:inline>
        </w:drawing>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819"/>
        <w:gridCol w:w="1927"/>
        <w:gridCol w:w="1606"/>
        <w:gridCol w:w="1286"/>
      </w:tblGrid>
      <w:tr>
        <w:trPr>
          <w:cantSplit/>
          <w:tblHeader/>
        </w:trPr>
        <w:tc>
          <w:tcPr>
            <w:tcW w:type="dxa" w:w="481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Método</w:t>
            </w:r>
          </w:p>
        </w:tc>
        <w:tc>
          <w:tcPr>
            <w:tcW w:type="dxa" w:w="192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Valor por acción</w:t>
            </w:r>
          </w:p>
        </w:tc>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Potencial</w:t>
            </w:r>
          </w:p>
        </w:tc>
        <w:tc>
          <w:tcPr>
            <w:tcW w:type="dxa" w:w="128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Peso</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DCF</w:t>
            </w:r>
          </w:p>
        </w:tc>
        <w:tc>
          <w:tcPr>
            <w:tcW w:type="dxa" w:w="19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81,56</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+4,2 %</w:t>
            </w:r>
          </w:p>
        </w:tc>
        <w:tc>
          <w:tcPr>
            <w:tcW w:type="dxa" w:w="12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45 %</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Comparables (mediana EV/EBITDA y PER)</w:t>
            </w:r>
          </w:p>
        </w:tc>
        <w:tc>
          <w:tcPr>
            <w:tcW w:type="dxa" w:w="19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90,84</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+16,0 %</w:t>
            </w:r>
          </w:p>
        </w:tc>
        <w:tc>
          <w:tcPr>
            <w:tcW w:type="dxa" w:w="12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15 %</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Transacciones precedentes (no se usa)</w:t>
            </w:r>
          </w:p>
        </w:tc>
        <w:tc>
          <w:tcPr>
            <w:tcW w:type="dxa" w:w="19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181,76</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+132,1 %</w:t>
            </w:r>
          </w:p>
        </w:tc>
        <w:tc>
          <w:tcPr>
            <w:tcW w:type="dxa" w:w="12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0 %</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Suma de partes</w:t>
            </w:r>
          </w:p>
        </w:tc>
        <w:tc>
          <w:tcPr>
            <w:tcW w:type="dxa" w:w="19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67,18</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-14,2 %</w:t>
            </w:r>
          </w:p>
        </w:tc>
        <w:tc>
          <w:tcPr>
            <w:tcW w:type="dxa" w:w="12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10 %</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Escenarios ponderados</w:t>
            </w:r>
          </w:p>
        </w:tc>
        <w:tc>
          <w:tcPr>
            <w:tcW w:type="dxa" w:w="192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79,76</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+1,9 %</w:t>
            </w:r>
          </w:p>
        </w:tc>
        <w:tc>
          <w:tcPr>
            <w:tcW w:type="dxa" w:w="128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30 %</w:t>
            </w:r>
          </w:p>
        </w:tc>
      </w:tr>
    </w:tbl>
    <w:p>
      <w:pPr>
        <w:spacing w:after="160" w:before="0"/>
      </w:pPr>
    </w:p>
    <w:p>
      <w:pPr>
        <w:pStyle w:val="Heading2"/>
      </w:pPr>
      <w:r>
        <w:t xml:space="preserve">A favor</w:t>
      </w:r>
    </w:p>
    <w:p>
      <w:pPr>
        <w:pStyle w:val="ListParagraph"/>
        <w:numPr>
          <w:ilvl w:val="0"/>
          <w:numId w:val="2"/>
        </w:numPr>
        <w:spacing w:after="60"/>
      </w:pPr>
      <w:r>
        <w:rPr>
          <w:b/>
        </w:rPr>
        <w:t xml:space="preserve">Cartera récord y diversificada</w:t>
      </w:r>
      <w:r>
        <w:t xml:space="preserve">: 17.743 M (3,7 años de ventas), 77 % en Europa, ningún cliente por encima del 10 % de las ventas [1, 8].</w:t>
      </w:r>
    </w:p>
    <w:p>
      <w:pPr>
        <w:pStyle w:val="ListParagraph"/>
        <w:numPr>
          <w:ilvl w:val="0"/>
          <w:numId w:val="2"/>
        </w:numPr>
        <w:spacing w:after="60"/>
      </w:pPr>
      <w:r>
        <w:rPr>
          <w:b/>
        </w:rPr>
        <w:t xml:space="preserve">Solaris ha dado la vuelta</w:t>
      </w:r>
      <w:r>
        <w:t xml:space="preserve">: de un EBIT de −3,7 M en 2022 a 75,1 M en 2025 y 60 M en el 1S26 (margen del 7,3 %) [1, 8].</w:t>
      </w:r>
    </w:p>
    <w:p>
      <w:pPr>
        <w:pStyle w:val="ListParagraph"/>
        <w:numPr>
          <w:ilvl w:val="0"/>
          <w:numId w:val="2"/>
        </w:numPr>
        <w:spacing w:after="60"/>
      </w:pPr>
      <w:r>
        <w:rPr>
          <w:b/>
        </w:rPr>
        <w:t xml:space="preserve">Servicios en crecimiento</w:t>
      </w:r>
      <w:r>
        <w:t xml:space="preserve">: 4.615 M de cartera de mantenimiento y una contratación de servicios de 1.714 M en 2025 [1, 8].</w:t>
      </w:r>
    </w:p>
    <w:p>
      <w:pPr>
        <w:pStyle w:val="ListParagraph"/>
        <w:numPr>
          <w:ilvl w:val="0"/>
          <w:numId w:val="2"/>
        </w:numPr>
        <w:spacing w:after="60"/>
      </w:pPr>
      <w:r>
        <w:rPr>
          <w:b/>
        </w:rPr>
        <w:t xml:space="preserve">Balance sin presión</w:t>
      </w:r>
      <w:r>
        <w:t xml:space="preserve">: DFN de 176 M (0,5x el EBITDA) y 1.379 M de liquidez a jun-26 [6, 8].</w:t>
      </w:r>
    </w:p>
    <w:p>
      <w:pPr>
        <w:pStyle w:val="ListParagraph"/>
        <w:numPr>
          <w:ilvl w:val="0"/>
          <w:numId w:val="2"/>
        </w:numPr>
        <w:spacing w:after="60"/>
      </w:pPr>
      <w:r>
        <w:rPr>
          <w:b/>
        </w:rPr>
        <w:t xml:space="preserve">Precio poco exigente</w:t>
      </w:r>
      <w:r>
        <w:t xml:space="preserve">: el DCF inverso supone un 3,6 % anual, frente al 4,4 % del caso base, o un margen EBITDA del 8,2 %, el del 1S26.</w:t>
      </w:r>
    </w:p>
    <w:p>
      <w:pPr>
        <w:pStyle w:val="Heading2"/>
      </w:pPr>
      <w:r>
        <w:t xml:space="preserve">En contra</w:t>
      </w:r>
    </w:p>
    <w:p>
      <w:pPr>
        <w:pStyle w:val="ListParagraph"/>
        <w:numPr>
          <w:ilvl w:val="0"/>
          <w:numId w:val="2"/>
        </w:numPr>
        <w:spacing w:after="60"/>
      </w:pPr>
      <w:r>
        <w:rPr>
          <w:b/>
        </w:rPr>
        <w:t xml:space="preserve">El beneficio no se cobra</w:t>
      </w:r>
      <w:r>
        <w:t xml:space="preserve">: FCF de 4,6 M en 2025 y del 43 % del beneficio en 2018-2025 [1].</w:t>
      </w:r>
    </w:p>
    <w:p>
      <w:pPr>
        <w:pStyle w:val="ListParagraph"/>
        <w:numPr>
          <w:ilvl w:val="0"/>
          <w:numId w:val="2"/>
        </w:numPr>
        <w:spacing w:after="60"/>
      </w:pPr>
      <w:r>
        <w:rPr>
          <w:b/>
        </w:rPr>
        <w:t xml:space="preserve">Margen ferroviario estancado</w:t>
      </w:r>
      <w:r>
        <w:t xml:space="preserve">: EBIT del 5,2 % en 2025 frente al 7,6 % de 2018 y al 8,8 % de Siemens Mobility [1, 19].</w:t>
      </w:r>
    </w:p>
    <w:p>
      <w:pPr>
        <w:pStyle w:val="ListParagraph"/>
        <w:numPr>
          <w:ilvl w:val="0"/>
          <w:numId w:val="2"/>
        </w:numPr>
        <w:spacing w:after="60"/>
      </w:pPr>
      <w:r>
        <w:rPr>
          <w:b/>
        </w:rPr>
        <w:t xml:space="preserve">Riesgo de contratos a precio cerrado</w:t>
      </w:r>
      <w:r>
        <w:t xml:space="preserve">: cada punto de margen EBITDA vale ≈ 21 EUR por acción; SNCB supera los 1.700 M [8].</w:t>
      </w:r>
    </w:p>
    <w:p>
      <w:pPr>
        <w:pStyle w:val="ListParagraph"/>
        <w:numPr>
          <w:ilvl w:val="0"/>
          <w:numId w:val="2"/>
        </w:numPr>
        <w:spacing w:after="60"/>
      </w:pPr>
      <w:r>
        <w:rPr>
          <w:b/>
        </w:rPr>
        <w:t xml:space="preserve">Precio por encima de los analistas</w:t>
      </w:r>
      <w:r>
        <w:t xml:space="preserve">: 78,30 EUR frente a un objetivo medio de 69,22-73,95 EUR, tras un +49 % en un año [46, 48].</w:t>
      </w:r>
    </w:p>
    <w:p>
      <w:pPr>
        <w:pStyle w:val="ListParagraph"/>
        <w:numPr>
          <w:ilvl w:val="0"/>
          <w:numId w:val="2"/>
        </w:numPr>
        <w:spacing w:after="60"/>
      </w:pPr>
      <w:r>
        <w:rPr>
          <w:b/>
        </w:rPr>
        <w:t xml:space="preserve">Gobierno mejorable</w:t>
      </w:r>
      <w:r>
        <w:t xml:space="preserve">: 30 % de independientes y un incentivo a largo plazo sin métricas de caja ni de rentabilidad del capital [1].</w:t>
      </w:r>
    </w:p>
    <w:p>
      <w:pPr>
        <w:pStyle w:val="Heading2"/>
      </w:pPr>
      <w:r>
        <w:t xml:space="preserve">Qué tiene que pasar para que la tesis funcione</w:t>
      </w:r>
    </w:p>
    <w:p>
      <w:pPr>
        <w:spacing w:after="100"/>
      </w:pPr>
      <w:r>
        <w:t xml:space="preserve">La tesis depende de que el margen y la caja mejoren juntos. La señal de que no ocurre sería un cash flow de CAF negativo en 2026 (fue de 12 M en el 1S26, con 148 M de aumento del circulante) o un margen EBIT ferroviario por debajo del 5 % en el 2S26. El Plan 2027-2030 del 4T26 es la prueba: si promete margen sin objetivo de caja, o anuncia una compra grande con deuda, el caso base pierde su apoyo.</w:t>
      </w:r>
    </w:p>
    <w:p>
      <w:pPr>
        <w:pStyle w:val="Heading2"/>
      </w:pPr>
      <w:r>
        <w:t xml:space="preserve">Indicadores de seguimiento</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471"/>
        <w:gridCol w:w="1482"/>
        <w:gridCol w:w="1482"/>
        <w:gridCol w:w="4203"/>
      </w:tblGrid>
      <w:tr>
        <w:trPr>
          <w:cantSplit/>
          <w:tblHeader/>
        </w:trPr>
        <w:tc>
          <w:tcPr>
            <w:tcW w:type="dxa" w:w="247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Indicador</w:t>
            </w:r>
          </w:p>
        </w:tc>
        <w:tc>
          <w:tcPr>
            <w:tcW w:type="dxa" w:w="148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Nivel actual</w:t>
            </w:r>
          </w:p>
        </w:tc>
        <w:tc>
          <w:tcPr>
            <w:tcW w:type="dxa" w:w="148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Umbral de alerta</w:t>
            </w:r>
          </w:p>
        </w:tc>
        <w:tc>
          <w:tcPr>
            <w:tcW w:type="dxa" w:w="420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Por qué importa</w:t>
            </w:r>
          </w:p>
        </w:tc>
      </w:tr>
      <w:tr>
        <w:trPr>
          <w:cantSplit/>
        </w:trPr>
        <w:tc>
          <w:tcPr>
            <w:tcW w:type="dxa" w:w="247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Margen EBIT del grupo</w:t>
            </w:r>
          </w:p>
        </w:tc>
        <w:tc>
          <w:tcPr>
            <w:tcW w:type="dxa" w:w="148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5,9 % (1S26); 5,5 % (2025)</w:t>
            </w:r>
          </w:p>
        </w:tc>
        <w:tc>
          <w:tcPr>
            <w:tcW w:type="dxa" w:w="148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&lt; 5,5 % en 2026</w:t>
            </w:r>
          </w:p>
        </w:tc>
        <w:tc>
          <w:tcPr>
            <w:tcW w:type="dxa" w:w="420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La guía promete mejora; el DCF supone ≈ 6,0 % estable (EBITDA del 8,4 %).</w:t>
            </w:r>
          </w:p>
        </w:tc>
      </w:tr>
      <w:tr>
        <w:trPr>
          <w:cantSplit/>
        </w:trPr>
        <w:tc>
          <w:tcPr>
            <w:tcW w:type="dxa" w:w="247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Margen EBIT del Ferroviario</w:t>
            </w:r>
          </w:p>
        </w:tc>
        <w:tc>
          <w:tcPr>
            <w:tcW w:type="dxa" w:w="148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5,3 % (1S26)</w:t>
            </w:r>
          </w:p>
        </w:tc>
        <w:tc>
          <w:tcPr>
            <w:tcW w:type="dxa" w:w="148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&lt; 5,0 %</w:t>
            </w:r>
          </w:p>
        </w:tc>
        <w:tc>
          <w:tcPr>
            <w:tcW w:type="dxa" w:w="420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Primera señal de sobrecostes en contratos a precio cerrado.</w:t>
            </w:r>
          </w:p>
        </w:tc>
      </w:tr>
      <w:tr>
        <w:trPr>
          <w:cantSplit/>
        </w:trPr>
        <w:tc>
          <w:tcPr>
            <w:tcW w:type="dxa" w:w="247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Cash flow de CAF / circulante</w:t>
            </w:r>
          </w:p>
        </w:tc>
        <w:tc>
          <w:tcPr>
            <w:tcW w:type="dxa" w:w="148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 M en el 1S26; circulante de 235 M</w:t>
            </w:r>
          </w:p>
        </w:tc>
        <w:tc>
          <w:tcPr>
            <w:tcW w:type="dxa" w:w="148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Cash flow anual negativo; circulante &gt; 400 M</w:t>
            </w:r>
          </w:p>
        </w:tc>
        <w:tc>
          <w:tcPr>
            <w:tcW w:type="dxa" w:w="420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La conversión en caja es la debilidad histórica.</w:t>
            </w:r>
          </w:p>
        </w:tc>
      </w:tr>
      <w:tr>
        <w:trPr>
          <w:cantSplit/>
        </w:trPr>
        <w:tc>
          <w:tcPr>
            <w:tcW w:type="dxa" w:w="247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Book-to-bill</w:t>
            </w:r>
          </w:p>
        </w:tc>
        <w:tc>
          <w:tcPr>
            <w:tcW w:type="dxa" w:w="148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1,6x (1S26); 0,7x en Autobuses</w:t>
            </w:r>
          </w:p>
        </w:tc>
        <w:tc>
          <w:tcPr>
            <w:tcW w:type="dxa" w:w="148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&lt; 1,0x en el año; &lt; 0,8x en Autobuses dos semestres</w:t>
            </w:r>
          </w:p>
        </w:tc>
        <w:tc>
          <w:tcPr>
            <w:tcW w:type="dxa" w:w="420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Sostiene el crecimiento de 2027-2028.</w:t>
            </w:r>
          </w:p>
        </w:tc>
      </w:tr>
      <w:tr>
        <w:trPr>
          <w:cantSplit/>
        </w:trPr>
        <w:tc>
          <w:tcPr>
            <w:tcW w:type="dxa" w:w="247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Margen EBIT de Solaris</w:t>
            </w:r>
          </w:p>
        </w:tc>
        <w:tc>
          <w:tcPr>
            <w:tcW w:type="dxa" w:w="148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7,3 % (1S26); 6,3 % (2025)</w:t>
            </w:r>
          </w:p>
        </w:tc>
        <w:tc>
          <w:tcPr>
            <w:tcW w:type="dxa" w:w="148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&lt; 5 %</w:t>
            </w:r>
          </w:p>
        </w:tc>
        <w:tc>
          <w:tcPr>
            <w:tcW w:type="dxa" w:w="420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Solaris explica casi toda la mejora del beneficio.</w:t>
            </w:r>
          </w:p>
        </w:tc>
      </w:tr>
    </w:tbl>
    <w:p>
      <w:pPr>
        <w:spacing w:after="160" w:before="0"/>
      </w:pPr>
    </w:p>
    <w:p>
      <w:pPr>
        <w:pStyle w:val="Heading2"/>
      </w:pPr>
      <w:r>
        <w:t xml:space="preserve">Datos clave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23"/>
        <w:gridCol w:w="2796"/>
        <w:gridCol w:w="2023"/>
        <w:gridCol w:w="2796"/>
      </w:tblGrid>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EV/EBITDA últimos 12 m / próx. 12 m</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8,2x / 7,0x</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PER últimos 12 m / próx. 12 m</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15,6x / 12,4x</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EV/EBIT últimos 12 m</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11,3x</w:t>
            </w:r>
          </w:p>
        </w:tc>
        <w:tc>
          <w:tcPr>
            <w:tcW w:type="dxa" w:w="2023"/>
            <w:tcBorders>
              <w:top w:val="none" w:color="FFFFFF" w:sz="0"/>
              <w:left w:val="none" w:color="FFFFFF" w:sz="0"/>
              <w:bottom w:val="single" w:color="D9D8D3" w:sz="4"/>
              <w:right w:val="none" w:color="FFFFFF" w:sz="0"/>
            </w:tcBorders>
            <w:tcMar>
              <w:top w:type="dxa" w:w="50"/>
              <w:left w:type="dxa" w:w="80"/>
              <w:bottom w:type="dxa" w:w="50"/>
              <w:right w:type="dxa" w:w="80"/>
            </w:tcMar>
          </w:tcP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EV/Ventas últimos 12 m</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0,66x</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Rentabilidad por FCF</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0,2 %</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Rentabilidad por dividendo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1,9 %</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Crecimiento anual de ingresos (2018-2025)</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11,9 %</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Margen EBITDA últimos 12 m</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8,1 %</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ROIC último ejercicio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13,6 %</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WACC</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8,1 %</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Deuda neta / EBITDA (contable · ajustada)</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0,7x · 1,4x</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Gobierno (criterios cumplidos)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8 de 13 (1 sin dato)</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p>
        </w:tc>
      </w:tr>
    </w:tbl>
    <w:p>
      <w:pPr>
        <w:spacing w:after="160" w:before="0"/>
      </w:pPr>
    </w:p>
    <w:p>
      <w:r>
        <w:br w:type="page"/>
      </w:r>
    </w:p>
    <w:p>
      <w:pPr>
        <w:pStyle w:val="Parte"/>
      </w:pPr>
      <w:r>
        <w:t xml:space="preserve">Parte I — Negocio y sector</w:t>
      </w:r>
    </w:p>
    <w:p>
      <w:pPr>
        <w:pStyle w:val="Heading1"/>
      </w:pPr>
      <w:r>
        <w:t xml:space="preserve">1. Historia e hitos</w:t>
      </w:r>
    </w:p>
    <w:p>
      <w:pPr>
        <w:pStyle w:val="Confianza"/>
        <w:spacing w:after="100"/>
      </w:pPr>
      <w:r>
        <w:t xml:space="preserve">Confianza: Media</w:t>
      </w:r>
    </w:p>
    <w:p>
      <w:pPr>
        <w:spacing w:after="100"/>
      </w:pPr>
      <w:r>
        <w:t xml:space="preserve">CAF nace en Beasain (Gipuzkoa) sobre una tradición siderúrgica que arranca en 1860 con la Fábrica de Hierros de San Martín y sigue en 1892 con La Maquinista Guipuzcoana [33]. La sociedad actual se constituye en 1917 en San Sebastián, con domicilio en Beasain [16], y adopta su nombre actual en 1971 al fusionarse con Material Móvil y Construcciones (Zaragoza) [33]. Su accionista de referencia son los propios empleados, agrupados en Cartera Social (24,87 % del capital en 2019) [16]. La última década la convierte de fabricante ferroviario en grupo de dos negocios: compra Solaris (autobuses urbanos, Polonia) en 2018, EuroMaint (mantenimiento en los países nórdicos) en 2019 y la planta de Reichshoffen con las plataformas Coradia Polyvalent y Talent 3 de Alstom en agosto de 2022 [15, 17]. En 2025 firma el mayor contrato de su historia, con la belga SNCB, por 1.700 M EUR [1].</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133"/>
        <w:gridCol w:w="8505"/>
      </w:tblGrid>
      <w:tr>
        <w:trPr>
          <w:cantSplit/>
          <w:tblHeader/>
        </w:trPr>
        <w:tc>
          <w:tcPr>
            <w:tcW w:type="dxa" w:w="113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Año</w:t>
            </w:r>
          </w:p>
        </w:tc>
        <w:tc>
          <w:tcPr>
            <w:tcW w:type="dxa" w:w="850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Hito</w:t>
            </w:r>
          </w:p>
        </w:tc>
      </w:tr>
      <w:tr>
        <w:trPr>
          <w:cantSplit/>
        </w:trPr>
        <w:tc>
          <w:tcPr>
            <w:tcW w:type="dxa" w:w="11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1860</w:t>
            </w:r>
          </w:p>
        </w:tc>
        <w:tc>
          <w:tcPr>
            <w:tcW w:type="dxa" w:w="8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Fábrica de Hierros de San Martín en Beasain, origen industrial del grupo [33].</w:t>
            </w:r>
          </w:p>
        </w:tc>
      </w:tr>
      <w:tr>
        <w:trPr>
          <w:cantSplit/>
        </w:trPr>
        <w:tc>
          <w:tcPr>
            <w:tcW w:type="dxa" w:w="11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1892</w:t>
            </w:r>
          </w:p>
        </w:tc>
        <w:tc>
          <w:tcPr>
            <w:tcW w:type="dxa" w:w="8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La Maquinista Guipuzcoana empieza a fabricar material ferroviario en Beasain [33].</w:t>
            </w:r>
          </w:p>
        </w:tc>
      </w:tr>
      <w:tr>
        <w:trPr>
          <w:cantSplit/>
        </w:trPr>
        <w:tc>
          <w:tcPr>
            <w:tcW w:type="dxa" w:w="11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1917</w:t>
            </w:r>
          </w:p>
        </w:tc>
        <w:tc>
          <w:tcPr>
            <w:tcW w:type="dxa" w:w="8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Se constituye la sociedad en San Sebastián, con domicilio social en Beasain [16].</w:t>
            </w:r>
          </w:p>
        </w:tc>
      </w:tr>
      <w:tr>
        <w:trPr>
          <w:cantSplit/>
        </w:trPr>
        <w:tc>
          <w:tcPr>
            <w:tcW w:type="dxa" w:w="11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1971</w:t>
            </w:r>
          </w:p>
        </w:tc>
        <w:tc>
          <w:tcPr>
            <w:tcW w:type="dxa" w:w="8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Fusión con Material Móvil y Construcciones (Zaragoza); adopta el nombre actual [33].</w:t>
            </w:r>
          </w:p>
        </w:tc>
      </w:tr>
      <w:tr>
        <w:trPr>
          <w:cantSplit/>
        </w:trPr>
        <w:tc>
          <w:tcPr>
            <w:tcW w:type="dxa" w:w="11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1998</w:t>
            </w:r>
          </w:p>
        </w:tc>
        <w:tc>
          <w:tcPr>
            <w:tcW w:type="dxa" w:w="8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Entrada en Brasil, hoy su mayor mercado de mantenimiento, con contratos por cerca de 3.000 M EUR acumulados [1].</w:t>
            </w:r>
          </w:p>
        </w:tc>
      </w:tr>
      <w:tr>
        <w:trPr>
          <w:cantSplit/>
        </w:trPr>
        <w:tc>
          <w:tcPr>
            <w:tcW w:type="dxa" w:w="11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2017</w:t>
            </w:r>
          </w:p>
        </w:tc>
        <w:tc>
          <w:tcPr>
            <w:tcW w:type="dxa" w:w="8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Implantación productiva en Reino Unido (planta de Newport) [1, 15].</w:t>
            </w:r>
          </w:p>
        </w:tc>
      </w:tr>
      <w:tr>
        <w:trPr>
          <w:cantSplit/>
        </w:trPr>
        <w:tc>
          <w:tcPr>
            <w:tcW w:type="dxa" w:w="11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2018</w:t>
            </w:r>
          </w:p>
        </w:tc>
        <w:tc>
          <w:tcPr>
            <w:tcW w:type="dxa" w:w="8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Compra de Solaris Bus &amp; Coach (Polonia), que consolida desde septiembre de 2018 y crea el segmento Autobuses [15, 16].</w:t>
            </w:r>
          </w:p>
        </w:tc>
      </w:tr>
      <w:tr>
        <w:trPr>
          <w:cantSplit/>
        </w:trPr>
        <w:tc>
          <w:tcPr>
            <w:tcW w:type="dxa" w:w="11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2019</w:t>
            </w:r>
          </w:p>
        </w:tc>
        <w:tc>
          <w:tcPr>
            <w:tcW w:type="dxa" w:w="8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Compra de EuroMaint, servicios de mantenimiento ferroviario en los países nórdicos [15].</w:t>
            </w:r>
          </w:p>
        </w:tc>
      </w:tr>
      <w:tr>
        <w:trPr>
          <w:cantSplit/>
        </w:trPr>
        <w:tc>
          <w:tcPr>
            <w:tcW w:type="dxa" w:w="11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2022</w:t>
            </w:r>
          </w:p>
        </w:tc>
        <w:tc>
          <w:tcPr>
            <w:tcW w:type="dxa" w:w="8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Compra a Alstom de la planta de Reichshoffen (Francia, más de 700 empleados), la plataforma Coradia Polyvalent y la propiedad intelectual de Talent 3 [15, 17].</w:t>
            </w:r>
          </w:p>
        </w:tc>
      </w:tr>
      <w:tr>
        <w:trPr>
          <w:cantSplit/>
        </w:trPr>
        <w:tc>
          <w:tcPr>
            <w:tcW w:type="dxa" w:w="11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2025</w:t>
            </w:r>
          </w:p>
        </w:tc>
        <w:tc>
          <w:tcPr>
            <w:tcW w:type="dxa" w:w="8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Contrato récord con SNCB (1.700 M EUR), tranvía Urbos número 1.000 y cartera de pedidos máxima de 16.235 M EUR [1].</w:t>
            </w:r>
          </w:p>
        </w:tc>
      </w:tr>
      <w:tr>
        <w:trPr>
          <w:cantSplit/>
        </w:trPr>
        <w:tc>
          <w:tcPr>
            <w:tcW w:type="dxa" w:w="113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2025</w:t>
            </w:r>
          </w:p>
        </w:tc>
        <w:tc>
          <w:tcPr>
            <w:tcW w:type="dxa" w:w="85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Solaris entra en Norteamérica: 184 trolebuses para Vancouver y primer pedido en EE. UU. (King County Metro) [1].</w:t>
            </w:r>
          </w:p>
        </w:tc>
      </w:tr>
    </w:tbl>
    <w:p>
      <w:pPr>
        <w:spacing w:after="160" w:before="0"/>
      </w:pPr>
    </w:p>
    <w:p>
      <w:pPr>
        <w:pStyle w:val="Heading1"/>
      </w:pPr>
      <w:r>
        <w:t xml:space="preserve">2. Modelo de negocio</w:t>
      </w:r>
    </w:p>
    <w:p>
      <w:pPr>
        <w:pStyle w:val="Confianza"/>
        <w:spacing w:after="100"/>
      </w:pPr>
      <w:r>
        <w:t xml:space="preserve">Confianza: Alta</w:t>
      </w:r>
    </w:p>
    <w:p>
      <w:pPr>
        <w:spacing w:after="100"/>
      </w:pPr>
      <w:r>
        <w:t xml:space="preserve">CAF diseña, fabrica y mantiene material rodante ferroviario y autobuses urbanos. En 2025 facturó 4.487 M EUR [1]: trenes 1.866 M (41,6 %; alta velocidad, regionales y cercanías 989 M, tranvías y metros ligeros 513 M, metros 332 M), servicios ferroviarios 756 M (16,9 %), autobuses Solaris 1.183 M (26,4 %) y sistemas integrales, señalización, equipos y resto 681 M (15,2 %) [1]. Fabrica en España, Francia, Reino Unido, EE. UU., Brasil y México (y autobuses en Polonia), tiene más de 150 centros de mantenimiento, ha entregado más de 5.200 trenes y más de 27.000 autobuses, y emplea a más de 17.500 personas [1]. En 2025 terminó 219 trenes (1.061 coches) y Solaris entregó 1.631 vehículos [1]. Europa supone el 70,6 % de las ventas (España 524 M, Italia 476 M, Francia 438 M, países nórdicos 415 M) [1]. Los clientes son administraciones, operadores públicos y privados (Renfe, SNCF, Metro de Madrid, Nobina, ATAC) y otros fabricantes con los que va en consorcio (Alstom en los regionales franceses) [1].</w:t>
      </w:r>
    </w:p>
    <w:p>
      <w:pPr>
        <w:pStyle w:val="Heading2"/>
      </w:pPr>
      <w:r>
        <w:t xml:space="preserve">Cómo gana dinero</w:t>
      </w:r>
    </w:p>
    <w:p>
      <w:pPr>
        <w:spacing w:after="100"/>
      </w:pPr>
      <w:r>
        <w:t xml:space="preserve">Contratos plurianuales adjudicados por licitación. La cartera de 16.235 M EUR equivale a 3,6 años de ventas [1]. El margen EBIT de 2025 fue del 5,2 % en Ferroviario (170,7 M sobre 3.305 M de ventas) y del 6,3 % en Autobuses (75,1 M sobre 1.183 M) [1]; en el 1S26, 5,3 % y 7,3 % [14]. La parte recurrente son los servicios (16,9 % de las ventas), con contratos de 10 a 24 años sobre flotas propias: 500 M EUR a 24 años con Trivia Trens en São Paulo y 10 años con Northern en Reino Unido [1]. La contratación de servicios pasó de 671 M en 2024 a 1.714 M en 2025 [1]. En autobuses, el margen depende de la mezcla: las entregas de cero emisiones subieron del 65 % al 79 % y elevaron el precio medio, de modo que las ventas crecieron un 28 % con un 7 % más de unidades [1]. El riesgo está en el precio fijo: CAF estimaba en 2022 que la inflación restaba unos 1,5 puntos a la rentabilidad de la cartera [15], y en el 1S26 la cartera ferroviaria seguía «parcialmente impactada» [14]. Solaris concentraba las entregas en el cuarto trimestre, aunque en 2026 las reparte mejor [14].</w:t>
      </w:r>
    </w:p>
    <w:p>
      <w:pPr>
        <w:pStyle w:val="Heading2"/>
      </w:pPr>
      <w:r>
        <w:t xml:space="preserve">Segmentos (2025)</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168"/>
        <w:gridCol w:w="1320"/>
        <w:gridCol w:w="1320"/>
        <w:gridCol w:w="1320"/>
        <w:gridCol w:w="1188"/>
        <w:gridCol w:w="1322"/>
      </w:tblGrid>
      <w:tr>
        <w:trPr>
          <w:cantSplit/>
          <w:tblHeader/>
        </w:trPr>
        <w:tc>
          <w:tcPr>
            <w:tcW w:type="dxa" w:w="316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Segmento</w:t>
            </w:r>
          </w:p>
        </w:tc>
        <w:tc>
          <w:tcPr>
            <w:tcW w:type="dxa" w:w="132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Ingresos</w:t>
            </w:r>
          </w:p>
        </w:tc>
        <w:tc>
          <w:tcPr>
            <w:tcW w:type="dxa" w:w="132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 del total</w:t>
            </w:r>
          </w:p>
        </w:tc>
        <w:tc>
          <w:tcPr>
            <w:tcW w:type="dxa" w:w="132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Crecimiento</w:t>
            </w:r>
          </w:p>
        </w:tc>
        <w:tc>
          <w:tcPr>
            <w:tcW w:type="dxa" w:w="118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Margen</w:t>
            </w:r>
          </w:p>
        </w:tc>
        <w:tc>
          <w:tcPr>
            <w:tcW w:type="dxa" w:w="132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Tipo de margen</w:t>
            </w:r>
          </w:p>
        </w:tc>
      </w:tr>
      <w:tr>
        <w:trPr>
          <w:cantSplit/>
        </w:trPr>
        <w:tc>
          <w:tcPr>
            <w:tcW w:type="dxa" w:w="316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Ferroviario</w:t>
            </w:r>
          </w:p>
        </w:tc>
        <w:tc>
          <w:tcPr>
            <w:tcW w:type="dxa" w:w="13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3.304</w:t>
            </w:r>
          </w:p>
        </w:tc>
        <w:tc>
          <w:tcPr>
            <w:tcW w:type="dxa" w:w="13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73,6 %</w:t>
            </w:r>
          </w:p>
        </w:tc>
        <w:tc>
          <w:tcPr>
            <w:tcW w:type="dxa" w:w="13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+0,6 %</w:t>
            </w:r>
          </w:p>
        </w:tc>
        <w:tc>
          <w:tcPr>
            <w:tcW w:type="dxa" w:w="11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5,2 %</w:t>
            </w:r>
          </w:p>
        </w:tc>
        <w:tc>
          <w:tcPr>
            <w:tcW w:type="dxa" w:w="132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EBIT</w:t>
            </w:r>
          </w:p>
        </w:tc>
      </w:tr>
      <w:tr>
        <w:trPr>
          <w:cantSplit/>
        </w:trPr>
        <w:tc>
          <w:tcPr>
            <w:tcW w:type="dxa" w:w="316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Autobuses (Solaris)</w:t>
            </w:r>
          </w:p>
        </w:tc>
        <w:tc>
          <w:tcPr>
            <w:tcW w:type="dxa" w:w="132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1.183</w:t>
            </w:r>
          </w:p>
        </w:tc>
        <w:tc>
          <w:tcPr>
            <w:tcW w:type="dxa" w:w="132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26,4 %</w:t>
            </w:r>
          </w:p>
        </w:tc>
        <w:tc>
          <w:tcPr>
            <w:tcW w:type="dxa" w:w="132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+27,6 %</w:t>
            </w:r>
          </w:p>
        </w:tc>
        <w:tc>
          <w:tcPr>
            <w:tcW w:type="dxa" w:w="118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6,3 %</w:t>
            </w:r>
          </w:p>
        </w:tc>
        <w:tc>
          <w:tcPr>
            <w:tcW w:type="dxa" w:w="132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EBIT</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700000"/>
            <wp:effectExtent l="0" t="0" r="0" b="0"/>
            <wp:docPr id="1002" name="Gráfico 2" descr="Ingresos por segmento (EUR, millones)"/>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2"/>
              </a:graphicData>
            </a:graphic>
          </wp:inline>
        </w:drawing>
      </w:r>
    </w:p>
    <w:p>
      <w:pPr>
        <w:keepNext w:val="false"/>
        <w:spacing w:after="160" w:before="120"/>
        <w:jc w:val="center"/>
      </w:pPr>
      <w:r>
        <w:drawing>
          <wp:inline xmlns:wp="http://schemas.openxmlformats.org/drawingml/2006/wordprocessingDrawing" distT="0" distB="0" distL="0" distR="0">
            <wp:extent cx="5760000" cy="2340000"/>
            <wp:effectExtent l="0" t="0" r="0" b="0"/>
            <wp:docPr id="1003" name="Gráfico 3" descr="Peso de cada segmento en los ingresos (2025)"/>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3"/>
              </a:graphicData>
            </a:graphic>
          </wp:inline>
        </w:drawing>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125"/>
        <w:gridCol w:w="1302"/>
        <w:gridCol w:w="1302"/>
        <w:gridCol w:w="1302"/>
        <w:gridCol w:w="1302"/>
        <w:gridCol w:w="1305"/>
      </w:tblGrid>
      <w:tr>
        <w:trPr>
          <w:cantSplit/>
          <w:tblHeader/>
        </w:trPr>
        <w:tc>
          <w:tcPr>
            <w:tcW w:type="dxa" w:w="312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Ingresos por segmento</w:t>
            </w:r>
          </w:p>
        </w:tc>
        <w:tc>
          <w:tcPr>
            <w:tcW w:type="dxa" w:w="130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2021</w:t>
            </w:r>
          </w:p>
        </w:tc>
        <w:tc>
          <w:tcPr>
            <w:tcW w:type="dxa" w:w="130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2022</w:t>
            </w:r>
          </w:p>
        </w:tc>
        <w:tc>
          <w:tcPr>
            <w:tcW w:type="dxa" w:w="130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2023</w:t>
            </w:r>
          </w:p>
        </w:tc>
        <w:tc>
          <w:tcPr>
            <w:tcW w:type="dxa" w:w="130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2024</w:t>
            </w:r>
          </w:p>
        </w:tc>
        <w:tc>
          <w:tcPr>
            <w:tcW w:type="dxa" w:w="130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2025</w:t>
            </w:r>
          </w:p>
        </w:tc>
      </w:tr>
      <w:tr>
        <w:trPr>
          <w:cantSplit/>
        </w:trPr>
        <w:tc>
          <w:tcPr>
            <w:tcW w:type="dxa" w:w="31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Ferroviario</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2.222</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2.470</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3.006</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3.285</w:t>
            </w:r>
          </w:p>
        </w:tc>
        <w:tc>
          <w:tcPr>
            <w:tcW w:type="dxa" w:w="13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3.304</w:t>
            </w:r>
          </w:p>
        </w:tc>
      </w:tr>
      <w:tr>
        <w:trPr>
          <w:cantSplit/>
        </w:trPr>
        <w:tc>
          <w:tcPr>
            <w:tcW w:type="dxa" w:w="31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Autobuses (Solaris)</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721</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696</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819</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927</w:t>
            </w:r>
          </w:p>
        </w:tc>
        <w:tc>
          <w:tcPr>
            <w:tcW w:type="dxa" w:w="13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1.183</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160000"/>
            <wp:effectExtent l="0" t="0" r="0" b="0"/>
            <wp:docPr id="1004" name="Gráfico 4" descr="Ingresos por geografía, según destino (% del total)"/>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4"/>
              </a:graphicData>
            </a:graphic>
          </wp:inline>
        </w:drawing>
      </w:r>
    </w:p>
    <w:p>
      <w:pPr>
        <w:pStyle w:val="Heading2"/>
      </w:pPr>
      <w:r>
        <w:t xml:space="preserve">Clientes, recurrencia y poder de precios</w:t>
      </w:r>
    </w:p>
    <w:p>
      <w:pPr>
        <w:spacing w:after="100"/>
      </w:pPr>
      <w:r>
        <w:t xml:space="preserve">Ningún cliente llegó al 10 % de la cifra de negocios en 2025 ni en 2024 [1], pero los contratos son grandes: SNCB (1.700 M EUR, el mayor de su historia) [1], ONCF en Marruecos (cerca de 600 M) y Trivia Trens (unos 500 M a 24 años) [1]. La clientela es muy repetitiva: entre 2019 y septiembre de 2022, el 65 % de la contratación vino de clientes que ya lo eran y el 47 % fueron ampliaciones de contratos [15]. Lo confirman las opciones ejercidas en 2025 (Metro de Madrid amplió a 48 trenes; Régiolis para SNCF) y que los grandes contratos de mantenimiento son de flotas que fabricó CAF (101 trenes de Northern, 107 de Trivia) [1]. Solaris vendió en 15 países; sus primeros mercados de pedidos en 2025 fueron Polonia (1.196 vehículos), Suecia (378) y Alemania (359) [1]. El poder de precios es limitado: los contratos se ganan en concurso y a precio cerrado, y la inflación de 2022 comprimió el margen de la cartera (≈ 1,5 puntos) [15].</w:t>
      </w:r>
    </w:p>
    <w:p>
      <w:pPr>
        <w:pStyle w:val="Heading2"/>
      </w:pPr>
      <w:r>
        <w:t xml:space="preserve">Indicadores operativos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440"/>
        <w:gridCol w:w="1220"/>
        <w:gridCol w:w="1220"/>
        <w:gridCol w:w="1098"/>
        <w:gridCol w:w="3660"/>
      </w:tblGrid>
      <w:tr>
        <w:trPr>
          <w:cantSplit/>
          <w:tblHeader/>
        </w:trPr>
        <w:tc>
          <w:tcPr>
            <w:tcW w:type="dxa" w:w="244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Indicador</w:t>
            </w:r>
          </w:p>
        </w:tc>
        <w:tc>
          <w:tcPr>
            <w:tcW w:type="dxa" w:w="122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Anterior</w:t>
            </w:r>
          </w:p>
        </w:tc>
        <w:tc>
          <w:tcPr>
            <w:tcW w:type="dxa" w:w="122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Actual</w:t>
            </w:r>
          </w:p>
        </w:tc>
        <w:tc>
          <w:tcPr>
            <w:tcW w:type="dxa" w:w="109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Variación</w:t>
            </w:r>
          </w:p>
        </w:tc>
        <w:tc>
          <w:tcPr>
            <w:tcW w:type="dxa" w:w="366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Lectura</w:t>
            </w:r>
          </w:p>
        </w:tc>
      </w:tr>
      <w:tr>
        <w:trPr>
          <w:cantSplit/>
        </w:trPr>
        <w:tc>
          <w:tcPr>
            <w:tcW w:type="dxa" w:w="244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Cartera de pedidos (M EUR)</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14.695 (2024)</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16.235 (2025); 17.743 a 30-jun-26</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+10 % en 2025; +9 % en 1S26</w:t>
            </w:r>
          </w:p>
        </w:tc>
        <w:tc>
          <w:tcPr>
            <w:tcW w:type="dxa" w:w="366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Ferroviario 13.882 y Autobuses 2.353 a dic-25; 15.609 y 2.134 a jun-26 [1, 8]</w:t>
            </w:r>
          </w:p>
        </w:tc>
      </w:tr>
      <w:tr>
        <w:trPr>
          <w:cantSplit/>
        </w:trPr>
        <w:tc>
          <w:tcPr>
            <w:tcW w:type="dxa" w:w="244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Contratación (M EUR)</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4.707 (2024)</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6.027 (2025); 4.035 en 1S26</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+28 %; +31 % en 1S26</w:t>
            </w:r>
          </w:p>
        </w:tc>
        <w:tc>
          <w:tcPr>
            <w:tcW w:type="dxa" w:w="366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1S26 incluye SNCB (Bélgica), más de 1.700 M [1, 8]</w:t>
            </w:r>
          </w:p>
        </w:tc>
      </w:tr>
      <w:tr>
        <w:trPr>
          <w:cantSplit/>
        </w:trPr>
        <w:tc>
          <w:tcPr>
            <w:tcW w:type="dxa" w:w="244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Book-to-bill (x)</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 (2024)</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 (2025); 1,6 en 1S26</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+0,2</w:t>
            </w:r>
          </w:p>
        </w:tc>
        <w:tc>
          <w:tcPr>
            <w:tcW w:type="dxa" w:w="366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[1, 8]</w:t>
            </w:r>
          </w:p>
        </w:tc>
      </w:tr>
      <w:tr>
        <w:trPr>
          <w:cantSplit/>
        </w:trPr>
        <w:tc>
          <w:tcPr>
            <w:tcW w:type="dxa" w:w="244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Ventas de servicios ferroviarios (M EUR)</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654,6 (2024)</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756,4 (2025)</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+15,6 %</w:t>
            </w:r>
          </w:p>
        </w:tc>
        <w:tc>
          <w:tcPr>
            <w:tcW w:type="dxa" w:w="366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16,9 % de las ventas del grupo en 2025 [1]</w:t>
            </w:r>
          </w:p>
        </w:tc>
      </w:tr>
      <w:tr>
        <w:trPr>
          <w:cantSplit/>
        </w:trPr>
        <w:tc>
          <w:tcPr>
            <w:tcW w:type="dxa" w:w="244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Inversión en circulante (M EUR, MAR de CAF)</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 (2024)</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87 (2025)</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+98</w:t>
            </w:r>
          </w:p>
        </w:tc>
        <w:tc>
          <w:tcPr>
            <w:tcW w:type="dxa" w:w="366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[1]</w:t>
            </w:r>
          </w:p>
        </w:tc>
      </w:tr>
      <w:tr>
        <w:trPr>
          <w:cantSplit/>
        </w:trPr>
        <w:tc>
          <w:tcPr>
            <w:tcW w:type="dxa" w:w="244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Deuda financiera neta / EBITDA (x)</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0,7 (2024)</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0,5 (2025); 0,5 a jun-26</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-0,2</w:t>
            </w:r>
          </w:p>
        </w:tc>
        <w:tc>
          <w:tcPr>
            <w:tcW w:type="dxa" w:w="366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DFN 188 M dic-25; 176 M jun-26 [1, 8]</w:t>
            </w:r>
          </w:p>
        </w:tc>
      </w:tr>
      <w:tr>
        <w:trPr>
          <w:cantSplit/>
        </w:trPr>
        <w:tc>
          <w:tcPr>
            <w:tcW w:type="dxa" w:w="244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Autobuses entregados (uds.)</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765 (1S25)</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1.079 (1S26)</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+41 %</w:t>
            </w:r>
          </w:p>
        </w:tc>
        <w:tc>
          <w:tcPr>
            <w:tcW w:type="dxa" w:w="366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90 % cero emisiones en 1S26; cartera de 2.387 autobuses a jun-26 [8]</w:t>
            </w:r>
          </w:p>
        </w:tc>
      </w:tr>
      <w:tr>
        <w:trPr>
          <w:cantSplit/>
        </w:trPr>
        <w:tc>
          <w:tcPr>
            <w:tcW w:type="dxa" w:w="244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ROCE (%)</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13,9 (2024)</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16,1 (2025)</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+2,2 p.p.</w:t>
            </w:r>
          </w:p>
        </w:tc>
        <w:tc>
          <w:tcPr>
            <w:tcW w:type="dxa" w:w="366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MAR de CAF [1]</w:t>
            </w:r>
          </w:p>
        </w:tc>
      </w:tr>
    </w:tbl>
    <w:p>
      <w:pPr>
        <w:spacing w:after="160" w:before="0"/>
      </w:pPr>
    </w:p>
    <w:p>
      <w:pPr>
        <w:pStyle w:val="Heading1"/>
      </w:pPr>
      <w:r>
        <w:t xml:space="preserve">3. Sector y mercado</w:t>
      </w:r>
    </w:p>
    <w:p>
      <w:pPr>
        <w:pStyle w:val="Confianza"/>
        <w:spacing w:after="100"/>
      </w:pPr>
      <w:r>
        <w:t xml:space="preserve">Confianza: Media</w:t>
      </w:r>
    </w:p>
    <w:p>
      <w:pPr>
        <w:spacing w:after="100"/>
      </w:pPr>
      <w:r>
        <w:t xml:space="preserve">El mercado relevante es el </w:t>
      </w:r>
      <w:r>
        <w:rPr>
          <w:b/>
        </w:rPr>
        <w:t xml:space="preserve">suministro ferroviario mundial</w:t>
      </w:r>
      <w:r>
        <w:t xml:space="preserve"> que mide el World Rail Market Study de UNIFE (Bain &amp; Company, 11.ª edición, publicada el 22-sep-2026): material rodante, servicios, infraestructura, control-mando y señalización y proyectos llave en mano en 66 países (≈ 99 % de la demanda) [24]. A CAF le tocan sobre todo el material rodante (68.800 M EUR al año) y los servicios (84.100 M), el 69 % del total. Solo el 56 % del mercado está abierto a proveedores europeos [24]. Como contraste, la serie de la edición de 2024 [25] y el crecimiento de SCI Verkehr que cita Stadler (5,8 % anual en 2023-2028) [20]. El segundo mercado, Autobuses (26 % de las ventas), es el </w:t>
      </w:r>
      <w:r>
        <w:rPr>
          <w:b/>
        </w:rPr>
        <w:t xml:space="preserve">autobús urbano europeo</w:t>
      </w:r>
      <w:r>
        <w:t xml:space="preserve">: 38.238 autobuses matriculados en la UE en 2025 [28], de ellos 11.607 eléctricos en Europa ampliada [26].</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23"/>
        <w:gridCol w:w="2796"/>
        <w:gridCol w:w="2023"/>
        <w:gridCol w:w="2796"/>
      </w:tblGrid>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Tamaño del mercado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 220.600 M EUR al año de media en 2023-2025 (mercado ferroviario mundial; 124.000 M accesibles a proveedores europeos) [24]; autobuses: 38.238 unidades matriculadas en la UE en 2025 (+7,5 %) [28].</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Posición en el ciclo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Expansión</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Crecimiento histórico anual</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4,6 %</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Crecimiento previsto anual</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3,2 %</w:t>
            </w:r>
          </w:p>
        </w:tc>
      </w:tr>
      <w:tr>
        <w:trPr>
          <w:cantSplit/>
        </w:trPr>
        <w:tc>
          <w:tcPr>
            <w:tcW w:type="dxa" w:w="2023"/>
            <w:tcBorders>
              <w:top w:val="none" w:color="FFFFFF" w:sz="0"/>
              <w:left w:val="none" w:color="FFFFFF" w:sz="0"/>
              <w:bottom w:val="single" w:color="D9D8D3" w:sz="4"/>
              <w:right w:val="none" w:color="FFFFFF" w:sz="0"/>
            </w:tcBorders>
            <w:tcMar>
              <w:top w:type="dxa" w:w="50"/>
              <w:left w:type="dxa" w:w="80"/>
              <w:bottom w:type="dxa" w:w="50"/>
              <w:right w:type="dxa" w:w="80"/>
            </w:tcMar>
          </w:tcP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Estructura</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Moderadamente concentrada</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340000"/>
            <wp:effectExtent l="0" t="0" r="0" b="0"/>
            <wp:docPr id="1005" name="Gráfico 5" descr="Tamaño del mercado (millones de EUR al año (media trienal del WRMS; el año es el central del trienio)) · «e» = previsión"/>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5"/>
              </a:graphicData>
            </a:graphic>
          </wp:inline>
        </w:drawing>
      </w:r>
    </w:p>
    <w:p>
      <w:pPr>
        <w:pStyle w:val="Heading2"/>
      </w:pPr>
      <w:r>
        <w:t xml:space="preserve">Motores de la demanda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503"/>
        <w:gridCol w:w="876"/>
        <w:gridCol w:w="1251"/>
        <w:gridCol w:w="5008"/>
      </w:tblGrid>
      <w:tr>
        <w:trPr>
          <w:cantSplit/>
          <w:tblHeader/>
        </w:trPr>
        <w:tc>
          <w:tcPr>
            <w:tcW w:type="dxa" w:w="250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Motor</w:t>
            </w:r>
          </w:p>
        </w:tc>
        <w:tc>
          <w:tcPr>
            <w:tcW w:type="dxa" w:w="87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Efecto</w:t>
            </w:r>
          </w:p>
        </w:tc>
        <w:tc>
          <w:tcPr>
            <w:tcW w:type="dxa" w:w="125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Horizonte</w:t>
            </w:r>
          </w:p>
        </w:tc>
        <w:tc>
          <w:tcPr>
            <w:tcW w:type="dxa" w:w="500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Evidencia</w:t>
            </w:r>
          </w:p>
        </w:tc>
      </w:tr>
      <w:tr>
        <w:trPr>
          <w:cantSplit/>
        </w:trPr>
        <w:tc>
          <w:tcPr>
            <w:tcW w:type="dxa" w:w="250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Descarbonización del transporte urbano</w:t>
            </w:r>
          </w:p>
        </w:tc>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Estructural</w:t>
            </w:r>
          </w:p>
        </w:tc>
        <w:tc>
          <w:tcPr>
            <w:tcW w:type="dxa" w:w="50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El 60 % de los autobuses urbanos de la UE matriculados en 2025 fue de cero emisiones [26]; la Directiva de Vehículos Limpios exige que España, Alemania e Italia compren un 65 % de autobuses limpios en 2026-2030 (45 % en 2021-2025) [32]; el 86,5 % de las ventas de CAF está alineado con la taxonomía [1].</w:t>
            </w:r>
          </w:p>
        </w:tc>
      </w:tr>
      <w:tr>
        <w:trPr>
          <w:cantSplit/>
        </w:trPr>
        <w:tc>
          <w:tcPr>
            <w:tcW w:type="dxa" w:w="250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Inversión pública en ferrocarril y renovación de flotas</w:t>
            </w:r>
          </w:p>
        </w:tc>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Estructural</w:t>
            </w:r>
          </w:p>
        </w:tc>
        <w:tc>
          <w:tcPr>
            <w:tcW w:type="dxa" w:w="50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Mercado de 220.600 M EUR que crecerá un 3,2 % anual hasta 267.000 M en 2029-2031 [24]; Alstom contrató un récord de 27.628 M EUR (relación entre pedidos y ventas de 1,4) [18].</w:t>
            </w:r>
          </w:p>
        </w:tc>
      </w:tr>
      <w:tr>
        <w:trPr>
          <w:cantSplit/>
        </w:trPr>
        <w:tc>
          <w:tcPr>
            <w:tcW w:type="dxa" w:w="250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Servicios sobre la flota instalada</w:t>
            </w:r>
          </w:p>
        </w:tc>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Estructural</w:t>
            </w:r>
          </w:p>
        </w:tc>
        <w:tc>
          <w:tcPr>
            <w:tcW w:type="dxa" w:w="50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Los servicios son el mayor segmento del mercado (84.100 M EUR al año) [24]; la contratación de servicios de CAF subió de 671 M a 1.714 M EUR en 2025 [1].</w:t>
            </w:r>
          </w:p>
        </w:tc>
      </w:tr>
      <w:tr>
        <w:trPr>
          <w:cantSplit/>
        </w:trPr>
        <w:tc>
          <w:tcPr>
            <w:tcW w:type="dxa" w:w="250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Urbanización: metro y tranvía</w:t>
            </w:r>
          </w:p>
        </w:tc>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Estructural</w:t>
            </w:r>
          </w:p>
        </w:tc>
        <w:tc>
          <w:tcPr>
            <w:tcW w:type="dxa" w:w="50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Las ventas de tranvías de CAF subieron de 380 M a 513 M EUR y las de metros de 249 M a 332 M en 2025 [1].</w:t>
            </w:r>
          </w:p>
        </w:tc>
      </w:tr>
      <w:tr>
        <w:trPr>
          <w:cantSplit/>
        </w:trPr>
        <w:tc>
          <w:tcPr>
            <w:tcW w:type="dxa" w:w="250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Mercados cerrados y competencia china</w:t>
            </w:r>
          </w:p>
        </w:tc>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Estructural</w:t>
            </w:r>
          </w:p>
        </w:tc>
        <w:tc>
          <w:tcPr>
            <w:tcW w:type="dxa" w:w="50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La parte accesible a proveedores europeos bajó del 59 % al 56 %; quedan fuera unos 97.000 M EUR al año [24]. Yutong y BYD suman el 26,7 % de los autobuses eléctricos matriculados en Europa en 2025 [26].</w:t>
            </w:r>
          </w:p>
        </w:tc>
      </w:tr>
      <w:tr>
        <w:trPr>
          <w:cantSplit/>
        </w:trPr>
        <w:tc>
          <w:tcPr>
            <w:tcW w:type="dxa" w:w="250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Inflación y ejecución de contratos a precio fijo</w:t>
            </w:r>
          </w:p>
        </w:tc>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Cíclico</w:t>
            </w:r>
          </w:p>
        </w:tc>
        <w:tc>
          <w:tcPr>
            <w:tcW w:type="dxa" w:w="500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CAF estimaba en 2022 un impacto de ≈ 1,5 puntos en la rentabilidad de su cartera [15]; Alstom bajó su margen EBIT ajustado del 6,4 % al 6,1 % por la ejecución de algunos contratos [18]; las inundaciones de Valencia siguen lastrando a Stadler (margen EBIT del 4,4 %) [20].</w:t>
            </w:r>
          </w:p>
        </w:tc>
      </w:tr>
    </w:tbl>
    <w:p>
      <w:pPr>
        <w:spacing w:after="160" w:before="0"/>
      </w:pPr>
    </w:p>
    <w:p>
      <w:pPr>
        <w:pStyle w:val="Heading2"/>
      </w:pPr>
      <w:r>
        <w:t xml:space="preserve">Las cinco fuerzas</w:t>
      </w:r>
    </w:p>
    <w:p>
      <w:pPr>
        <w:keepNext w:val="false"/>
        <w:spacing w:after="160" w:before="120"/>
        <w:jc w:val="center"/>
      </w:pPr>
      <w:r>
        <w:drawing>
          <wp:inline xmlns:wp="http://schemas.openxmlformats.org/drawingml/2006/wordprocessingDrawing" distT="0" distB="0" distL="0" distR="0">
            <wp:extent cx="5760000" cy="2700000"/>
            <wp:effectExtent l="0" t="0" r="0" b="0"/>
            <wp:docPr id="1006" name="Gráfico 6" descr="Cinco fuerzas: intensidad (1 = favorable, 5 = desfavorable)"/>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6"/>
              </a:graphicData>
            </a:graphic>
          </wp:inline>
        </w:drawing>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409"/>
        <w:gridCol w:w="1204"/>
        <w:gridCol w:w="6025"/>
      </w:tblGrid>
      <w:tr>
        <w:trPr>
          <w:cantSplit/>
          <w:tblHeader/>
        </w:trPr>
        <w:tc>
          <w:tcPr>
            <w:tcW w:type="dxa" w:w="240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Fuerza</w:t>
            </w:r>
          </w:p>
        </w:tc>
        <w:tc>
          <w:tcPr>
            <w:tcW w:type="dxa" w:w="120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Intensidad (1-5)</w:t>
            </w:r>
          </w:p>
        </w:tc>
        <w:tc>
          <w:tcPr>
            <w:tcW w:type="dxa" w:w="602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Justificación</w:t>
            </w:r>
          </w:p>
        </w:tc>
      </w:tr>
      <w:tr>
        <w:trPr>
          <w:cantSplit/>
        </w:trPr>
        <w:tc>
          <w:tcPr>
            <w:tcW w:type="dxa" w:w="240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Rivalidad</w:t>
            </w:r>
          </w:p>
        </w:tc>
        <w:tc>
          <w:tcPr>
            <w:tcW w:type="dxa" w:w="12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4</w:t>
            </w:r>
          </w:p>
        </w:tc>
        <w:tc>
          <w:tcPr>
            <w:tcW w:type="dxa" w:w="60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Concursos públicos con pocos fabricantes de gran escala y precio cerrado. Los márgenes EBIT de 2025 lo reflejan: CAF Ferroviario 5,2 % [1], Stadler 4,4 % [20], Alstom 6,1 % ajustado y 2,8 % contable [18]; solo Siemens Mobility (8,8 %) [19] e Hitachi (8,2 %) [21] superan el 8 %.</w:t>
            </w:r>
          </w:p>
        </w:tc>
      </w:tr>
      <w:tr>
        <w:trPr>
          <w:cantSplit/>
        </w:trPr>
        <w:tc>
          <w:tcPr>
            <w:tcW w:type="dxa" w:w="240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Poder de los clientes</w:t>
            </w:r>
          </w:p>
        </w:tc>
        <w:tc>
          <w:tcPr>
            <w:tcW w:type="dxa" w:w="12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4</w:t>
            </w:r>
          </w:p>
        </w:tc>
        <w:tc>
          <w:tcPr>
            <w:tcW w:type="dxa" w:w="60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Compradores públicos o concesionarios que licitan, fijan penalizaciones y exigen avales; Talgo afronta una penalización de 116 M EUR de Renfe por retrasos [29]. Ningún cliente pesa un 10 % en CAF [1], pero un solo contrato (SNCB) equivale al 38 % de las ventas anuales [1].</w:t>
            </w:r>
          </w:p>
        </w:tc>
      </w:tr>
      <w:tr>
        <w:trPr>
          <w:cantSplit/>
        </w:trPr>
        <w:tc>
          <w:tcPr>
            <w:tcW w:type="dxa" w:w="240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Poder de los proveedores</w:t>
            </w:r>
          </w:p>
        </w:tc>
        <w:tc>
          <w:tcPr>
            <w:tcW w:type="dxa" w:w="12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3</w:t>
            </w:r>
          </w:p>
        </w:tc>
        <w:tc>
          <w:tcPr>
            <w:tcW w:type="dxa" w:w="60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Persisten tensiones en baterías y semiconductores [1]; en los regionales franceses, Alstom es a la vez socio y proveedor de equipos de CAF [1].</w:t>
            </w:r>
          </w:p>
        </w:tc>
      </w:tr>
      <w:tr>
        <w:trPr>
          <w:cantSplit/>
        </w:trPr>
        <w:tc>
          <w:tcPr>
            <w:tcW w:type="dxa" w:w="240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Amenaza de entrada</w:t>
            </w:r>
          </w:p>
        </w:tc>
        <w:tc>
          <w:tcPr>
            <w:tcW w:type="dxa" w:w="12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3</w:t>
            </w:r>
          </w:p>
        </w:tc>
        <w:tc>
          <w:tcPr>
            <w:tcW w:type="dxa" w:w="60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En ferrocarril las barreras son altas (homologaciones, referencias, más de 3.300 ingenieros en CAF) [1], y la UE frena a CRRC con el Reglamento de subvenciones extranjeras (primera investigación a fondo, feb-2024) [31]. En autobuses la entrada es real: Yutong lidera el eléctrico europeo con el 15,5 % y BYD triplicó sus matriculaciones (+206 %) [26].</w:t>
            </w:r>
          </w:p>
        </w:tc>
      </w:tr>
      <w:tr>
        <w:trPr>
          <w:cantSplit/>
        </w:trPr>
        <w:tc>
          <w:tcPr>
            <w:tcW w:type="dxa" w:w="240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Amenaza de sustitutos</w:t>
            </w:r>
          </w:p>
        </w:tc>
        <w:tc>
          <w:tcPr>
            <w:tcW w:type="dxa" w:w="120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2</w:t>
            </w:r>
          </w:p>
        </w:tc>
        <w:tc>
          <w:tcPr>
            <w:tcW w:type="dxa" w:w="60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El ferrocarril y el autobús urbano no tienen sustituto en la movilidad masiva urbana; la política climática los favorece frente al coche [32]. Dentro del autobús, el eléctrico sustituye al diésel y CAF lo tiene: el 86 % de las ventas de Solaris son de cero o bajas emisiones [1].</w:t>
            </w:r>
          </w:p>
        </w:tc>
      </w:tr>
    </w:tbl>
    <w:p>
      <w:pPr>
        <w:spacing w:after="160" w:before="0"/>
      </w:pPr>
    </w:p>
    <w:p>
      <w:pPr>
        <w:pStyle w:val="Heading2"/>
      </w:pPr>
      <w:r>
        <w:t xml:space="preserve">Ciclo</w:t>
      </w:r>
    </w:p>
    <w:p>
      <w:pPr>
        <w:spacing w:after="100"/>
      </w:pPr>
      <w:r>
        <w:t xml:space="preserve">Todos los indicadores de pedidos están en máximos: la relación entre pedidos y ventas de CAF fue de 1,3 en 2025 y de 1,6 en el 1S26 [1, 14]; la de Alstom, de 1,4, con una cartera de 104.400 M EUR [18]; Stadler tiene 32.286 M CHF en cartera [20] y Siemens Mobility contrató 16.994 M EUR frente a 12.444 M de ventas [19]. El mercado creció un 4,6 % anual sin inflación en 2023-2025 [24]. El ciclo ferroviario sigue a la inversión pública más que al PIB: el WRMS registró 176.500 M EUR de media en 2019-2021, en plena pandemia, y crecimiento real después [25]. El golpe de 2022 llegó por los márgenes, no por la demanda: la inflación sobre contratos a precio fijo [15]. No he documentado el comportamiento de 2008-09.</w:t>
      </w:r>
    </w:p>
    <w:p>
      <w:pPr>
        <w:pStyle w:val="Heading2"/>
      </w:pPr>
      <w:r>
        <w:t xml:space="preserve">Regulación</w:t>
      </w:r>
    </w:p>
    <w:p>
      <w:pPr>
        <w:spacing w:after="100"/>
      </w:pPr>
      <w:r>
        <w:rPr>
          <w:b/>
        </w:rPr>
        <w:t xml:space="preserve">Directiva de Vehículos Limpios (UE 2019/1161)</w:t>
      </w:r>
      <w:r>
        <w:t xml:space="preserve">: cuota mínima de autobuses limpios en la compra pública, la mitad de ellos de cero emisiones; en 2026-2030 sube al 65 % en España, Alemania e Italia, al 61 % en Francia y al 46 % en Polonia [32]. CAF recuerda que en 2035 todos los autobuses urbanos que se compren deberán ser de cero emisiones [1]. </w:t>
      </w:r>
      <w:r>
        <w:rPr>
          <w:b/>
        </w:rPr>
        <w:t xml:space="preserve">Reglamento de subvenciones extranjeras</w:t>
      </w:r>
      <w:r>
        <w:t xml:space="preserve">: la Comisión abrió el 20-feb-2024 su primera investigación a fondo, contra CRRC Qingdao Sifang en un concurso de trenes en Bulgaria [31]. </w:t>
      </w:r>
      <w:r>
        <w:rPr>
          <w:b/>
        </w:rPr>
        <w:t xml:space="preserve">Aranceles y «Buy America»</w:t>
      </w:r>
      <w:r>
        <w:t xml:space="preserve">: CAF señala el riesgo de aranceles [1], y fabrica en Elmira (EE. UU.) los prototipos de Solaris para cumplir la norma [6]; Volvo Buses sufrió a final de 2025 los aranceles de EE. UU. a los autobuses de Canadá [23]. El nuevo Marco Financiero Plurianual 2028-2034 prioriza el clima [1].</w:t>
      </w:r>
    </w:p>
    <w:p>
      <w:pPr>
        <w:pStyle w:val="Heading2"/>
      </w:pPr>
      <w:r>
        <w:t xml:space="preserve">Tendencias y disrupción</w:t>
      </w:r>
    </w:p>
    <w:p>
      <w:pPr>
        <w:spacing w:after="100"/>
      </w:pPr>
      <w:r>
        <w:rPr>
          <w:b/>
        </w:rPr>
        <w:t xml:space="preserve">Cero emisiones</w:t>
      </w:r>
      <w:r>
        <w:t xml:space="preserve">: el autobús eléctrico creció un 48 % en Europa en 2025 [26] y Solaris tiene el 58 % del de hidrógeno [27]; en tren, baterías e hidrógeno sustituyen al diésel en líneas sin catenaria (Stadler dice tener ≈ 50 % de ese nicho en Europa [20]; CAF desarrolla un tren de baterías de gran autonomía [1]). </w:t>
      </w:r>
      <w:r>
        <w:rPr>
          <w:b/>
        </w:rPr>
        <w:t xml:space="preserve">Automatización y digitalización</w:t>
      </w:r>
      <w:r>
        <w:t xml:space="preserve">: CAF gana su primer proyecto de conducción automática GoA4 (metro de Nápoles) [14] y vende mantenimiento predictivo con su plataforma LeadMind [1]. </w:t>
      </w:r>
      <w:r>
        <w:rPr>
          <w:b/>
        </w:rPr>
        <w:t xml:space="preserve">Nuevos competidores</w:t>
      </w:r>
      <w:r>
        <w:t xml:space="preserve">: los fabricantes chinos (Yutong, BYD) y MAN ganan cuota en el autobús eléctrico, y Solaris cae al 7,6 % de las matriculaciones [26], aunque defiende un 11 % del eléctrico de batería y un 14 % del urbano de cero emisiones con otra base [27]. CAF gana en servicios y automatización y pierde cuota en el autobús eléctrico.</w:t>
      </w:r>
    </w:p>
    <w:p>
      <w:pPr>
        <w:pStyle w:val="Heading1"/>
      </w:pPr>
      <w:r>
        <w:t xml:space="preserve">4. Posición competitiva y foso</w:t>
      </w:r>
    </w:p>
    <w:p>
      <w:pPr>
        <w:pStyle w:val="Confianza"/>
        <w:spacing w:after="100"/>
      </w:pPr>
      <w:r>
        <w:t xml:space="preserve">Confianza: Media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23"/>
        <w:gridCol w:w="2796"/>
        <w:gridCol w:w="2023"/>
        <w:gridCol w:w="2796"/>
      </w:tblGrid>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Cuota de mercado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1,5 %</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Posición</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Fabricante europeo de segundo nivel en ferrocarril: las ventas ferroviarias de 3.305 M EUR son ≈ 1,5 % del mercado mundial de 220.600 M (estimación propia: 3.305 / 220.600) [1, 24], frente al 8,7 % de Alstom y el 5,6 % de Siemens Mobility. En autobús eléctrico europeo, Solaris es 7.ª por matriculaciones (7,6 %) [26]; con su propia base es 3.ª en el urbano de cero emisiones (≈ 14 %) y 1.ª en hidrógeno (58 %) [27].</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Foso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Estrecho</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Tendencia del foso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Estable</w:t>
            </w:r>
          </w:p>
        </w:tc>
      </w:tr>
    </w:tbl>
    <w:p>
      <w:pPr>
        <w:spacing w:after="16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906"/>
        <w:gridCol w:w="847"/>
        <w:gridCol w:w="953"/>
        <w:gridCol w:w="1059"/>
        <w:gridCol w:w="847"/>
        <w:gridCol w:w="847"/>
        <w:gridCol w:w="3179"/>
      </w:tblGrid>
      <w:tr>
        <w:trPr>
          <w:cantSplit/>
          <w:tblHeader/>
        </w:trPr>
        <w:tc>
          <w:tcPr>
            <w:tcW w:type="dxa" w:w="19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Competidor</w:t>
            </w:r>
          </w:p>
        </w:tc>
        <w:tc>
          <w:tcPr>
            <w:tcW w:type="dxa" w:w="84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País</w:t>
            </w:r>
          </w:p>
        </w:tc>
        <w:tc>
          <w:tcPr>
            <w:tcW w:type="dxa" w:w="95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Cotiza</w:t>
            </w:r>
          </w:p>
        </w:tc>
        <w:tc>
          <w:tcPr>
            <w:tcW w:type="dxa" w:w="105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Ingresos (M)</w:t>
            </w:r>
          </w:p>
        </w:tc>
        <w:tc>
          <w:tcPr>
            <w:tcW w:type="dxa" w:w="84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Cuota</w:t>
            </w:r>
          </w:p>
        </w:tc>
        <w:tc>
          <w:tcPr>
            <w:tcW w:type="dxa" w:w="84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 EBIT</w:t>
            </w:r>
          </w:p>
        </w:tc>
        <w:tc>
          <w:tcPr>
            <w:tcW w:type="dxa" w:w="317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Cómo compite</w:t>
            </w:r>
          </w:p>
        </w:tc>
      </w:tr>
      <w:tr>
        <w:trPr>
          <w:cantSplit/>
        </w:trPr>
        <w:tc>
          <w:tcPr>
            <w:tcW w:type="dxa" w:w="19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Alstom</w:t>
            </w:r>
          </w:p>
        </w:tc>
        <w:tc>
          <w:tcPr>
            <w:tcW w:type="dxa" w:w="8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Francia</w:t>
            </w:r>
          </w:p>
        </w:tc>
        <w:tc>
          <w:tcPr>
            <w:tcW w:type="dxa" w:w="95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ALO.PA</w:t>
            </w:r>
          </w:p>
        </w:tc>
        <w:tc>
          <w:tcPr>
            <w:tcW w:type="dxa" w:w="105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19.171</w:t>
            </w:r>
          </w:p>
        </w:tc>
        <w:tc>
          <w:tcPr>
            <w:tcW w:type="dxa" w:w="8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8,7 %</w:t>
            </w:r>
          </w:p>
        </w:tc>
        <w:tc>
          <w:tcPr>
            <w:tcW w:type="dxa" w:w="8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6,1 %</w:t>
            </w:r>
          </w:p>
        </w:tc>
        <w:tc>
          <w:tcPr>
            <w:tcW w:type="dxa" w:w="317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Mayor fabricante europeo por ventas; ejercicio a marzo de 2026. Margen EBIT ajustado del 6,1 % (2,8 % contable: 544 M); cartera de 104.400 M EUR y guía del 6,5 % para 2026/27, con problemas de ejecución en material rodante [18]. Es a la vez socio de CAF en los regionales franceses.</w:t>
            </w:r>
          </w:p>
        </w:tc>
      </w:tr>
      <w:tr>
        <w:trPr>
          <w:cantSplit/>
        </w:trPr>
        <w:tc>
          <w:tcPr>
            <w:tcW w:type="dxa" w:w="19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Siemens Mobility</w:t>
            </w:r>
          </w:p>
        </w:tc>
        <w:tc>
          <w:tcPr>
            <w:tcW w:type="dxa" w:w="8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Alemania</w:t>
            </w:r>
          </w:p>
        </w:tc>
        <w:tc>
          <w:tcPr>
            <w:tcW w:type="dxa" w:w="95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SIE.DE</w:t>
            </w:r>
          </w:p>
        </w:tc>
        <w:tc>
          <w:tcPr>
            <w:tcW w:type="dxa" w:w="105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12.444</w:t>
            </w:r>
          </w:p>
        </w:tc>
        <w:tc>
          <w:tcPr>
            <w:tcW w:type="dxa" w:w="8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5,6 %</w:t>
            </w:r>
          </w:p>
        </w:tc>
        <w:tc>
          <w:tcPr>
            <w:tcW w:type="dxa" w:w="8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8,8 %</w:t>
            </w:r>
          </w:p>
        </w:tc>
        <w:tc>
          <w:tcPr>
            <w:tcW w:type="dxa" w:w="317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Segmento de Siemens AG (ejercicio a septiembre de 2025). Margen de beneficio del segmento del 8,8 % (8,9 % en 2024); pedidos de 16.994 M EUR; guía 2026: crecimiento del 8-10 % y margen del 8-10 % [19].</w:t>
            </w:r>
          </w:p>
        </w:tc>
      </w:tr>
      <w:tr>
        <w:trPr>
          <w:cantSplit/>
        </w:trPr>
        <w:tc>
          <w:tcPr>
            <w:tcW w:type="dxa" w:w="19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Hitachi Rail</w:t>
            </w:r>
          </w:p>
        </w:tc>
        <w:tc>
          <w:tcPr>
            <w:tcW w:type="dxa" w:w="8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Japón</w:t>
            </w:r>
          </w:p>
        </w:tc>
        <w:tc>
          <w:tcPr>
            <w:tcW w:type="dxa" w:w="95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6501.T</w:t>
            </w:r>
          </w:p>
        </w:tc>
        <w:tc>
          <w:tcPr>
            <w:tcW w:type="dxa" w:w="105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7.418</w:t>
            </w:r>
          </w:p>
        </w:tc>
        <w:tc>
          <w:tcPr>
            <w:tcW w:type="dxa" w:w="8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3,4 %</w:t>
            </w:r>
          </w:p>
        </w:tc>
        <w:tc>
          <w:tcPr>
            <w:tcW w:type="dxa" w:w="8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8,2 %</w:t>
            </w:r>
          </w:p>
        </w:tc>
        <w:tc>
          <w:tcPr>
            <w:tcW w:type="dxa" w:w="317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Segmento Mobility de Hitachi (ejercicio a marzo de 2026): 1.321.571 M JPY de ventas y 108.115 M de EBITA ajustado, no EBIT [21].</w:t>
            </w:r>
          </w:p>
        </w:tc>
      </w:tr>
      <w:tr>
        <w:trPr>
          <w:cantSplit/>
        </w:trPr>
        <w:tc>
          <w:tcPr>
            <w:tcW w:type="dxa" w:w="19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Stadler Rail</w:t>
            </w:r>
          </w:p>
        </w:tc>
        <w:tc>
          <w:tcPr>
            <w:tcW w:type="dxa" w:w="8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Suiza</w:t>
            </w:r>
          </w:p>
        </w:tc>
        <w:tc>
          <w:tcPr>
            <w:tcW w:type="dxa" w:w="95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SRAIL.SW</w:t>
            </w:r>
          </w:p>
        </w:tc>
        <w:tc>
          <w:tcPr>
            <w:tcW w:type="dxa" w:w="105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3.931</w:t>
            </w:r>
          </w:p>
        </w:tc>
        <w:tc>
          <w:tcPr>
            <w:tcW w:type="dxa" w:w="8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1,8 %</w:t>
            </w:r>
          </w:p>
        </w:tc>
        <w:tc>
          <w:tcPr>
            <w:tcW w:type="dxa" w:w="8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4,4 %</w:t>
            </w:r>
          </w:p>
        </w:tc>
        <w:tc>
          <w:tcPr>
            <w:tcW w:type="dxa" w:w="317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3.679 M CHF de ventas y EBIT de 160,6 M CHF (4,4 %; 3,1 % en 2024), lastrado por las inundaciones de Valencia; cartera de 32.286 M CHF. Rival más directo de CAF en regionales, tranvías y locomotoras [20].</w:t>
            </w:r>
          </w:p>
        </w:tc>
      </w:tr>
      <w:tr>
        <w:trPr>
          <w:cantSplit/>
        </w:trPr>
        <w:tc>
          <w:tcPr>
            <w:tcW w:type="dxa" w:w="19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Talgo</w:t>
            </w:r>
          </w:p>
        </w:tc>
        <w:tc>
          <w:tcPr>
            <w:tcW w:type="dxa" w:w="8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España</w:t>
            </w:r>
          </w:p>
        </w:tc>
        <w:tc>
          <w:tcPr>
            <w:tcW w:type="dxa" w:w="95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TLGO.MC</w:t>
            </w:r>
          </w:p>
        </w:tc>
        <w:tc>
          <w:tcPr>
            <w:tcW w:type="dxa" w:w="105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618</w:t>
            </w:r>
          </w:p>
        </w:tc>
        <w:tc>
          <w:tcPr>
            <w:tcW w:type="dxa" w:w="8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0,3 %</w:t>
            </w:r>
          </w:p>
        </w:tc>
        <w:tc>
          <w:tcPr>
            <w:tcW w:type="dxa" w:w="8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317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618 M EUR de ventas y 100 M de pérdidas en 2025 por el contrato de Deutsche Bahn y una penalización de Renfe de 116 M; deuda neta de 394 M [29]. Rival en España en alta velocidad. No he leído su EBIT.</w:t>
            </w:r>
          </w:p>
        </w:tc>
      </w:tr>
      <w:tr>
        <w:trPr>
          <w:cantSplit/>
        </w:trPr>
        <w:tc>
          <w:tcPr>
            <w:tcW w:type="dxa" w:w="19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Daimler Buses (Mercedes-Benz, Setra)</w:t>
            </w:r>
          </w:p>
        </w:tc>
        <w:tc>
          <w:tcPr>
            <w:tcW w:type="dxa" w:w="8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Alemania</w:t>
            </w:r>
          </w:p>
        </w:tc>
        <w:tc>
          <w:tcPr>
            <w:tcW w:type="dxa" w:w="95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DTG.DE</w:t>
            </w:r>
          </w:p>
        </w:tc>
        <w:tc>
          <w:tcPr>
            <w:tcW w:type="dxa" w:w="105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5.963</w:t>
            </w:r>
          </w:p>
        </w:tc>
        <w:tc>
          <w:tcPr>
            <w:tcW w:type="dxa" w:w="8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12,0 %</w:t>
            </w:r>
          </w:p>
        </w:tc>
        <w:tc>
          <w:tcPr>
            <w:tcW w:type="dxa" w:w="8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10,0 %</w:t>
            </w:r>
          </w:p>
        </w:tc>
        <w:tc>
          <w:tcPr>
            <w:tcW w:type="dxa" w:w="317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Segmento de Daimler Truck: 26.991 autobuses vendidos en 2025, EBIT ajustado de 599 M EUR (10,0 %, el primer año de dos cifras) [22]; 3.º en el eléctrico europeo con 1.395 unidades [26]. Cuota sobre matriculaciones de eléctricos en Europa.</w:t>
            </w:r>
          </w:p>
        </w:tc>
      </w:tr>
      <w:tr>
        <w:trPr>
          <w:cantSplit/>
        </w:trPr>
        <w:tc>
          <w:tcPr>
            <w:tcW w:type="dxa" w:w="19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Volvo Buses</w:t>
            </w:r>
          </w:p>
        </w:tc>
        <w:tc>
          <w:tcPr>
            <w:tcW w:type="dxa" w:w="8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Suecia</w:t>
            </w:r>
          </w:p>
        </w:tc>
        <w:tc>
          <w:tcPr>
            <w:tcW w:type="dxa" w:w="95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VOLV-B.ST</w:t>
            </w:r>
          </w:p>
        </w:tc>
        <w:tc>
          <w:tcPr>
            <w:tcW w:type="dxa" w:w="105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2.230</w:t>
            </w:r>
          </w:p>
        </w:tc>
        <w:tc>
          <w:tcPr>
            <w:tcW w:type="dxa" w:w="8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3,1 %</w:t>
            </w:r>
          </w:p>
        </w:tc>
        <w:tc>
          <w:tcPr>
            <w:tcW w:type="dxa" w:w="8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8,7 %</w:t>
            </w:r>
          </w:p>
        </w:tc>
        <w:tc>
          <w:tcPr>
            <w:tcW w:type="dxa" w:w="317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25.072 M SEK de ventas y 2.192 M de resultado de explotación (9,1 % ajustado) en 2025 [23]; 364 eléctricos matriculados en Europa [26]. Más expuesto a interurbano y Latinoamérica.</w:t>
            </w:r>
          </w:p>
        </w:tc>
      </w:tr>
      <w:tr>
        <w:trPr>
          <w:cantSplit/>
        </w:trPr>
        <w:tc>
          <w:tcPr>
            <w:tcW w:type="dxa" w:w="19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Yutong Bus</w:t>
            </w:r>
          </w:p>
        </w:tc>
        <w:tc>
          <w:tcPr>
            <w:tcW w:type="dxa" w:w="84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China</w:t>
            </w:r>
          </w:p>
        </w:tc>
        <w:tc>
          <w:tcPr>
            <w:tcW w:type="dxa" w:w="95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600066.SS</w:t>
            </w:r>
          </w:p>
        </w:tc>
        <w:tc>
          <w:tcPr>
            <w:tcW w:type="dxa" w:w="105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5.483</w:t>
            </w:r>
          </w:p>
        </w:tc>
        <w:tc>
          <w:tcPr>
            <w:tcW w:type="dxa" w:w="84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15,5 %</w:t>
            </w:r>
          </w:p>
        </w:tc>
        <w:tc>
          <w:tcPr>
            <w:tcW w:type="dxa" w:w="84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w:t>
            </w:r>
          </w:p>
        </w:tc>
        <w:tc>
          <w:tcPr>
            <w:tcW w:type="dxa" w:w="317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41.426 M CNY de ventas y 5.554 M de beneficio neto (13,4 % de margen neto) en 2025; 17.149 autobuses exportados (+22 %) [30]. Líder del eléctrico europeo con 1.801 matriculaciones [26]. No he leído su EBIT.</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340000"/>
            <wp:effectExtent l="0" t="0" r="0" b="0"/>
            <wp:docPr id="1007" name="Gráfico 7" descr="Margen EBIT: la empresa frente a sus competidores (%)"/>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7"/>
              </a:graphicData>
            </a:graphic>
          </wp:inline>
        </w:drawing>
      </w:r>
    </w:p>
    <w:p>
      <w:pPr>
        <w:pStyle w:val="Heading2"/>
      </w:pPr>
      <w:r>
        <w:t xml:space="preserve">Fuentes de ventaja competitiva</w:t>
      </w:r>
    </w:p>
    <w:p>
      <w:pPr>
        <w:keepNext w:val="false"/>
        <w:spacing w:after="160" w:before="120"/>
        <w:jc w:val="center"/>
      </w:pPr>
      <w:r>
        <w:drawing>
          <wp:inline xmlns:wp="http://schemas.openxmlformats.org/drawingml/2006/wordprocessingDrawing" distT="0" distB="0" distL="0" distR="0">
            <wp:extent cx="5760000" cy="1980000"/>
            <wp:effectExtent l="0" t="0" r="0" b="0"/>
            <wp:docPr id="1008" name="Gráfico 8" descr="Fuentes de ventaja competitiva (0 = inexistente, 5 = muy fuerte)"/>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8"/>
              </a:graphicData>
            </a:graphic>
          </wp:inline>
        </w:drawing>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224"/>
        <w:gridCol w:w="1235"/>
        <w:gridCol w:w="6179"/>
      </w:tblGrid>
      <w:tr>
        <w:trPr>
          <w:cantSplit/>
          <w:tblHeader/>
        </w:trPr>
        <w:tc>
          <w:tcPr>
            <w:tcW w:type="dxa" w:w="222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Fuente</w:t>
            </w:r>
          </w:p>
        </w:tc>
        <w:tc>
          <w:tcPr>
            <w:tcW w:type="dxa" w:w="123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Puntuación (0-5)</w:t>
            </w:r>
          </w:p>
        </w:tc>
        <w:tc>
          <w:tcPr>
            <w:tcW w:type="dxa" w:w="617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Evidencia</w:t>
            </w:r>
          </w:p>
        </w:tc>
      </w:tr>
      <w:tr>
        <w:trPr>
          <w:cantSplit/>
        </w:trPr>
        <w:tc>
          <w:tcPr>
            <w:tcW w:type="dxa" w:w="222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Efectos de red</w:t>
            </w:r>
          </w:p>
        </w:tc>
        <w:tc>
          <w:tcPr>
            <w:tcW w:type="dxa" w:w="123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1</w:t>
            </w:r>
          </w:p>
        </w:tc>
        <w:tc>
          <w:tcPr>
            <w:tcW w:type="dxa" w:w="617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No hay red en sentido propio; la flota instalada alimenta los servicios: más de 150 contratos en 20 países y unos 12.000 coches mantenidos [1].</w:t>
            </w:r>
          </w:p>
        </w:tc>
      </w:tr>
      <w:tr>
        <w:trPr>
          <w:cantSplit/>
        </w:trPr>
        <w:tc>
          <w:tcPr>
            <w:tcW w:type="dxa" w:w="222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Costes de cambio</w:t>
            </w:r>
          </w:p>
        </w:tc>
        <w:tc>
          <w:tcPr>
            <w:tcW w:type="dxa" w:w="123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3</w:t>
            </w:r>
          </w:p>
        </w:tc>
        <w:tc>
          <w:tcPr>
            <w:tcW w:type="dxa" w:w="617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El 65 % de la contratación de 2019-2022 vino de clientes que repiten y el 47 % fueron ampliaciones [4]; los grandes contratos de mantenimiento son de flotas CAF (Northern 101 trenes, Trivia 107) [1]. Pero cada flota nueva sale a concurso.</w:t>
            </w:r>
          </w:p>
        </w:tc>
      </w:tr>
      <w:tr>
        <w:trPr>
          <w:cantSplit/>
        </w:trPr>
        <w:tc>
          <w:tcPr>
            <w:tcW w:type="dxa" w:w="222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Intangibles (marca, patentes, licencias)</w:t>
            </w:r>
          </w:p>
        </w:tc>
        <w:tc>
          <w:tcPr>
            <w:tcW w:type="dxa" w:w="123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3</w:t>
            </w:r>
          </w:p>
        </w:tc>
        <w:tc>
          <w:tcPr>
            <w:tcW w:type="dxa" w:w="617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Plataformas homologadas en muchos países (Urbos: 1.000 tranvías entregados; Coradia Polyvalent y Talent 3 comprados a Alstom) [1, 4]; Solaris tiene el 58 % del autobús de hidrógeno europeo [16].</w:t>
            </w:r>
          </w:p>
        </w:tc>
      </w:tr>
      <w:tr>
        <w:trPr>
          <w:cantSplit/>
        </w:trPr>
        <w:tc>
          <w:tcPr>
            <w:tcW w:type="dxa" w:w="222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Ventaja en costes</w:t>
            </w:r>
          </w:p>
        </w:tc>
        <w:tc>
          <w:tcPr>
            <w:tcW w:type="dxa" w:w="123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w:t>
            </w:r>
          </w:p>
        </w:tc>
        <w:tc>
          <w:tcPr>
            <w:tcW w:type="dxa" w:w="617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El margen ferroviario del 5,2 % supera al de Stadler (4,4 %) y al contable de Alstom (2,8 %), pero queda por debajo de Siemens Mobility (8,8 %) e Hitachi (8,2 %) [1, 7-10]; en autobuses, el 6,3 % de Solaris está lejos del 10,0 % de Daimler Buses y del 8,7 % de Volvo Buses [1, 11, 12].</w:t>
            </w:r>
          </w:p>
        </w:tc>
      </w:tr>
      <w:tr>
        <w:trPr>
          <w:cantSplit/>
        </w:trPr>
        <w:tc>
          <w:tcPr>
            <w:tcW w:type="dxa" w:w="222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Escala eficiente</w:t>
            </w:r>
          </w:p>
        </w:tc>
        <w:tc>
          <w:tcPr>
            <w:tcW w:type="dxa" w:w="123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2</w:t>
            </w:r>
          </w:p>
        </w:tc>
        <w:tc>
          <w:tcPr>
            <w:tcW w:type="dxa" w:w="617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Las ventas ferroviarias de 3.305 M EUR son una sexta parte de las de Alstom (19.171 M) [1, 7]; Solaris vendió 1.631 vehículos frente a 26.991 de Daimler Buses [1, 11].</w:t>
            </w:r>
          </w:p>
        </w:tc>
      </w:tr>
    </w:tbl>
    <w:p>
      <w:pPr>
        <w:spacing w:after="160" w:before="0"/>
      </w:pPr>
    </w:p>
    <w:p>
      <w:pPr>
        <w:pStyle w:val="Heading2"/>
      </w:pPr>
      <w:r>
        <w:t xml:space="preserve">Amenazas</w:t>
      </w:r>
    </w:p>
    <w:p>
      <w:pPr>
        <w:spacing w:after="100"/>
      </w:pPr>
      <w:r>
        <w:rPr>
          <w:b/>
        </w:rPr>
        <w:t xml:space="preserve">Fabricantes chinos en autobuses</w:t>
      </w:r>
      <w:r>
        <w:t xml:space="preserve"> (probabilidad alta): Yutong (15,5 %) y BYD (11,2 %, +206 % en un año) suman más cuota que Mercedes y MAN juntos en el eléctrico europeo, y Solaris queda en el 7,6 % [26]; Yutong gana un 13,4 % neto sobre ventas [30], el doble que Solaris en EBIT. </w:t>
      </w:r>
      <w:r>
        <w:rPr>
          <w:b/>
        </w:rPr>
        <w:t xml:space="preserve">Escala de Alstom y Siemens</w:t>
      </w:r>
      <w:r>
        <w:t xml:space="preserve"> (media): carteras y márgenes que permiten pujar más bajo en los grandes concursos [18, 19]. </w:t>
      </w:r>
      <w:r>
        <w:rPr>
          <w:b/>
        </w:rPr>
        <w:t xml:space="preserve">CRRC en Europa</w:t>
      </w:r>
      <w:r>
        <w:t xml:space="preserve"> (baja mientras rija el Reglamento de subvenciones extranjeras) [31]. </w:t>
      </w:r>
      <w:r>
        <w:rPr>
          <w:b/>
        </w:rPr>
        <w:t xml:space="preserve">Contratos a precio fijo</w:t>
      </w:r>
      <w:r>
        <w:t xml:space="preserve"> (media): un ciclo inflacionario volvería a comprimir márgenes, como en 2022 [15].</w:t>
      </w:r>
    </w:p>
    <w:p>
      <w:r>
        <w:br w:type="page"/>
      </w:r>
    </w:p>
    <w:p>
      <w:pPr>
        <w:pStyle w:val="Parte"/>
      </w:pPr>
      <w:r>
        <w:t xml:space="preserve">Parte II — Finanzas</w:t>
      </w:r>
    </w:p>
    <w:p>
      <w:pPr>
        <w:pStyle w:val="Heading1"/>
      </w:pPr>
      <w:r>
        <w:t xml:space="preserve">5. Cuenta de resultados</w:t>
      </w:r>
    </w:p>
    <w:p>
      <w:pPr>
        <w:pStyle w:val="Confianza"/>
        <w:spacing w:after="100"/>
      </w:pPr>
      <w:r>
        <w:t xml:space="preserve">Confianza: Alta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876"/>
        <w:gridCol w:w="973"/>
        <w:gridCol w:w="778"/>
        <w:gridCol w:w="778"/>
        <w:gridCol w:w="876"/>
        <w:gridCol w:w="827"/>
        <w:gridCol w:w="827"/>
        <w:gridCol w:w="778"/>
        <w:gridCol w:w="827"/>
        <w:gridCol w:w="681"/>
        <w:gridCol w:w="681"/>
        <w:gridCol w:w="736"/>
      </w:tblGrid>
      <w:tr>
        <w:trPr>
          <w:cantSplit/>
          <w:tblHeader/>
        </w:trPr>
        <w:tc>
          <w:tcPr>
            <w:tcW w:type="dxa" w:w="87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Periodo</w:t>
            </w:r>
          </w:p>
        </w:tc>
        <w:tc>
          <w:tcPr>
            <w:tcW w:type="dxa" w:w="97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Ingresos</w:t>
            </w:r>
          </w:p>
        </w:tc>
        <w:tc>
          <w:tcPr>
            <w:tcW w:type="dxa" w:w="77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Crec.</w:t>
            </w:r>
          </w:p>
        </w:tc>
        <w:tc>
          <w:tcPr>
            <w:tcW w:type="dxa" w:w="77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 tras aprov.</w:t>
            </w:r>
          </w:p>
        </w:tc>
        <w:tc>
          <w:tcPr>
            <w:tcW w:type="dxa" w:w="87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EBITDA</w:t>
            </w:r>
          </w:p>
        </w:tc>
        <w:tc>
          <w:tcPr>
            <w:tcW w:type="dxa" w:w="82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 EBITDA</w:t>
            </w:r>
          </w:p>
        </w:tc>
        <w:tc>
          <w:tcPr>
            <w:tcW w:type="dxa" w:w="82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EBIT</w:t>
            </w:r>
          </w:p>
        </w:tc>
        <w:tc>
          <w:tcPr>
            <w:tcW w:type="dxa" w:w="77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 EBIT</w:t>
            </w:r>
          </w:p>
        </w:tc>
        <w:tc>
          <w:tcPr>
            <w:tcW w:type="dxa" w:w="82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B. neto</w:t>
            </w:r>
          </w:p>
        </w:tc>
        <w:tc>
          <w:tcPr>
            <w:tcW w:type="dxa" w:w="68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BPA</w:t>
            </w:r>
          </w:p>
        </w:tc>
        <w:tc>
          <w:tcPr>
            <w:tcW w:type="dxa" w:w="68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DPA</w:t>
            </w:r>
          </w:p>
        </w:tc>
        <w:tc>
          <w:tcPr>
            <w:tcW w:type="dxa" w:w="73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Tipo imp.</w:t>
            </w:r>
          </w:p>
        </w:tc>
      </w:tr>
      <w:tr>
        <w:trPr>
          <w:cantSplit/>
        </w:trPr>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2018</w:t>
            </w:r>
          </w:p>
        </w:tc>
        <w:tc>
          <w:tcPr>
            <w:tcW w:type="dxa" w:w="97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2.048</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50,4 %</w:t>
            </w:r>
          </w:p>
        </w:tc>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201</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9,8 %</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144</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7,0 %</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43</w:t>
            </w:r>
          </w:p>
        </w:tc>
        <w:tc>
          <w:tcPr>
            <w:tcW w:type="dxa" w:w="6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1,27</w:t>
            </w:r>
          </w:p>
        </w:tc>
        <w:tc>
          <w:tcPr>
            <w:tcW w:type="dxa" w:w="6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0,77</w:t>
            </w:r>
          </w:p>
        </w:tc>
        <w:tc>
          <w:tcPr>
            <w:tcW w:type="dxa" w:w="7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51 %</w:t>
            </w:r>
          </w:p>
        </w:tc>
      </w:tr>
      <w:tr>
        <w:trPr>
          <w:cantSplit/>
        </w:trPr>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2019</w:t>
            </w:r>
          </w:p>
        </w:tc>
        <w:tc>
          <w:tcPr>
            <w:tcW w:type="dxa" w:w="97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2.598</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+26,8 %</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47,2 %</w:t>
            </w:r>
          </w:p>
        </w:tc>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206</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7,9 %</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125</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4,8 %</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w:t>
            </w:r>
          </w:p>
        </w:tc>
        <w:tc>
          <w:tcPr>
            <w:tcW w:type="dxa" w:w="6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0,72</w:t>
            </w:r>
          </w:p>
        </w:tc>
        <w:tc>
          <w:tcPr>
            <w:tcW w:type="dxa" w:w="6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0,84</w:t>
            </w:r>
          </w:p>
        </w:tc>
        <w:tc>
          <w:tcPr>
            <w:tcW w:type="dxa" w:w="7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59 %</w:t>
            </w:r>
          </w:p>
        </w:tc>
      </w:tr>
      <w:tr>
        <w:trPr>
          <w:cantSplit/>
        </w:trPr>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2020</w:t>
            </w:r>
          </w:p>
        </w:tc>
        <w:tc>
          <w:tcPr>
            <w:tcW w:type="dxa" w:w="97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2.762</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+6,3 %</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45,0 %</w:t>
            </w:r>
          </w:p>
        </w:tc>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201</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7,3 %</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121</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4,4 %</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w:t>
            </w:r>
          </w:p>
        </w:tc>
        <w:tc>
          <w:tcPr>
            <w:tcW w:type="dxa" w:w="6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0,26</w:t>
            </w:r>
          </w:p>
        </w:tc>
        <w:tc>
          <w:tcPr>
            <w:tcW w:type="dxa" w:w="6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0,00</w:t>
            </w:r>
          </w:p>
        </w:tc>
        <w:tc>
          <w:tcPr>
            <w:tcW w:type="dxa" w:w="7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79 %</w:t>
            </w:r>
          </w:p>
        </w:tc>
      </w:tr>
      <w:tr>
        <w:trPr>
          <w:cantSplit/>
        </w:trPr>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2021</w:t>
            </w:r>
          </w:p>
        </w:tc>
        <w:tc>
          <w:tcPr>
            <w:tcW w:type="dxa" w:w="97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2.943</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+6,5 %</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46,0 %</w:t>
            </w:r>
          </w:p>
        </w:tc>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255</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8,7 %</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165</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5,6 %</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86</w:t>
            </w:r>
          </w:p>
        </w:tc>
        <w:tc>
          <w:tcPr>
            <w:tcW w:type="dxa" w:w="6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2,51</w:t>
            </w:r>
          </w:p>
        </w:tc>
        <w:tc>
          <w:tcPr>
            <w:tcW w:type="dxa" w:w="6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1,00</w:t>
            </w:r>
          </w:p>
        </w:tc>
        <w:tc>
          <w:tcPr>
            <w:tcW w:type="dxa" w:w="7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32 %</w:t>
            </w:r>
          </w:p>
        </w:tc>
      </w:tr>
      <w:tr>
        <w:trPr>
          <w:cantSplit/>
        </w:trPr>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2022</w:t>
            </w:r>
          </w:p>
        </w:tc>
        <w:tc>
          <w:tcPr>
            <w:tcW w:type="dxa" w:w="97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3.165</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+7,6 %</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45,3 %</w:t>
            </w:r>
          </w:p>
        </w:tc>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232</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7,3 %</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139</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4,4 %</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52</w:t>
            </w:r>
          </w:p>
        </w:tc>
        <w:tc>
          <w:tcPr>
            <w:tcW w:type="dxa" w:w="6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1,52</w:t>
            </w:r>
          </w:p>
        </w:tc>
        <w:tc>
          <w:tcPr>
            <w:tcW w:type="dxa" w:w="6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0,86</w:t>
            </w:r>
          </w:p>
        </w:tc>
        <w:tc>
          <w:tcPr>
            <w:tcW w:type="dxa" w:w="7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40 %</w:t>
            </w:r>
          </w:p>
        </w:tc>
      </w:tr>
      <w:tr>
        <w:trPr>
          <w:cantSplit/>
        </w:trPr>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2023</w:t>
            </w:r>
          </w:p>
        </w:tc>
        <w:tc>
          <w:tcPr>
            <w:tcW w:type="dxa" w:w="97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3.825</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+20,8 %</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43,1 %</w:t>
            </w:r>
          </w:p>
        </w:tc>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286</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7,5 %</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179</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4,7 %</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89</w:t>
            </w:r>
          </w:p>
        </w:tc>
        <w:tc>
          <w:tcPr>
            <w:tcW w:type="dxa" w:w="6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2,60</w:t>
            </w:r>
          </w:p>
        </w:tc>
        <w:tc>
          <w:tcPr>
            <w:tcW w:type="dxa" w:w="6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1,11</w:t>
            </w:r>
          </w:p>
        </w:tc>
        <w:tc>
          <w:tcPr>
            <w:tcW w:type="dxa" w:w="7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34 %</w:t>
            </w:r>
          </w:p>
        </w:tc>
      </w:tr>
      <w:tr>
        <w:trPr>
          <w:cantSplit/>
        </w:trPr>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2024</w:t>
            </w:r>
          </w:p>
        </w:tc>
        <w:tc>
          <w:tcPr>
            <w:tcW w:type="dxa" w:w="97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4.212</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+10,1 %</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45,2 %</w:t>
            </w:r>
          </w:p>
        </w:tc>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325</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7,7 %</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216</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5,1 %</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103</w:t>
            </w:r>
          </w:p>
        </w:tc>
        <w:tc>
          <w:tcPr>
            <w:tcW w:type="dxa" w:w="6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3,02</w:t>
            </w:r>
          </w:p>
        </w:tc>
        <w:tc>
          <w:tcPr>
            <w:tcW w:type="dxa" w:w="6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1,34</w:t>
            </w:r>
          </w:p>
        </w:tc>
        <w:tc>
          <w:tcPr>
            <w:tcW w:type="dxa" w:w="7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33 %</w:t>
            </w:r>
          </w:p>
        </w:tc>
      </w:tr>
      <w:tr>
        <w:trPr>
          <w:cantSplit/>
        </w:trPr>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2025</w:t>
            </w:r>
          </w:p>
        </w:tc>
        <w:tc>
          <w:tcPr>
            <w:tcW w:type="dxa" w:w="97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4.487</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+6,5 %</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46,7 %</w:t>
            </w:r>
          </w:p>
        </w:tc>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350</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7,8 %</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246</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5,5 %</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146</w:t>
            </w:r>
          </w:p>
        </w:tc>
        <w:tc>
          <w:tcPr>
            <w:tcW w:type="dxa" w:w="68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4,27</w:t>
            </w:r>
          </w:p>
        </w:tc>
        <w:tc>
          <w:tcPr>
            <w:tcW w:type="dxa" w:w="68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1,52</w:t>
            </w:r>
          </w:p>
        </w:tc>
        <w:tc>
          <w:tcPr>
            <w:tcW w:type="dxa" w:w="7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30 %</w:t>
            </w:r>
          </w:p>
        </w:tc>
      </w:tr>
    </w:tbl>
    <w:p>
      <w:pPr>
        <w:spacing w:after="160" w:before="0"/>
      </w:pPr>
    </w:p>
    <w:p>
      <w:pPr>
        <w:spacing w:after="100"/>
      </w:pPr>
      <w:r>
        <w:t xml:space="preserve">Crecimiento anual compuesto 2018-2025: ingresos </w:t>
      </w:r>
      <w:r>
        <w:rPr>
          <w:b/>
          <w:bCs/>
        </w:rPr>
        <w:t xml:space="preserve">11,9 %</w:t>
      </w:r>
      <w:r>
        <w:t xml:space="preserve">, EBITDA </w:t>
      </w:r>
      <w:r>
        <w:rPr>
          <w:b/>
          <w:bCs/>
        </w:rPr>
        <w:t xml:space="preserve">8,2 %</w:t>
      </w:r>
      <w:r>
        <w:t xml:space="preserve">, BPA </w:t>
      </w:r>
      <w:r>
        <w:rPr>
          <w:b/>
          <w:bCs/>
        </w:rPr>
        <w:t xml:space="preserve">18,9 %</w:t>
      </w:r>
      <w:r>
        <w:t xml:space="preserve">.</w:t>
      </w:r>
    </w:p>
    <w:p>
      <w:pPr>
        <w:keepNext w:val="false"/>
        <w:spacing w:after="160" w:before="120"/>
        <w:jc w:val="center"/>
      </w:pPr>
      <w:r>
        <w:drawing>
          <wp:inline xmlns:wp="http://schemas.openxmlformats.org/drawingml/2006/wordprocessingDrawing" distT="0" distB="0" distL="0" distR="0">
            <wp:extent cx="5760000" cy="2700000"/>
            <wp:effectExtent l="0" t="0" r="0" b="0"/>
            <wp:docPr id="1009" name="Gráfico 9" descr="Ingresos y EBITDA (EUR, millones) · «e» = proyección propia del DCF"/>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9"/>
              </a:graphicData>
            </a:graphic>
          </wp:inline>
        </w:drawing>
      </w:r>
    </w:p>
    <w:p>
      <w:pPr>
        <w:keepNext w:val="false"/>
        <w:spacing w:after="160" w:before="120"/>
        <w:jc w:val="center"/>
      </w:pPr>
      <w:r>
        <w:drawing>
          <wp:inline xmlns:wp="http://schemas.openxmlformats.org/drawingml/2006/wordprocessingDrawing" distT="0" distB="0" distL="0" distR="0">
            <wp:extent cx="5760000" cy="2700000"/>
            <wp:effectExtent l="0" t="0" r="0" b="0"/>
            <wp:docPr id="1010" name="Gráfico 10" descr="Márgenes (% de ingresos)"/>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10"/>
              </a:graphicData>
            </a:graphic>
          </wp:inline>
        </w:drawing>
      </w:r>
    </w:p>
    <w:p>
      <w:pPr>
        <w:spacing w:after="100"/>
      </w:pPr>
      <w:r>
        <w:t xml:space="preserve">CAF ha duplicado las ventas en siete años (2.048 M en 2018 a 4.487 M en 2025; TCAC del 11,9 %), pero una parte es comprada: Solaris aporta 1.183 M en 2025 y entró en el perímetro en septiembre de 2018, y Reichshoffen añadió unos 138 M anuales desde agosto de 2022 [1, 3, 5]. Sin compras, el crecimiento de 2023-2025 fue del 6,5-20,8 % anual, empujado por una cartera que pasó de 9.640 M (2021) a 16.235 M (2025) [1, 4]. El margen es el punto débil: el EBITDA sobre ventas fue del 9,8 % en 2018 y no ha vuelto a pasar del 8,7 % (2021); en 2022 cayó al 7,3 % porque la cartera estaba firmada a precio cerrado antes de la inflación, y desde entonces sube despacio (7,5 %, 7,7 % y 7,8 %) [1, 2, 3, 4]. El EBIT ferroviario sigue en el 5,2 % (7,6 % en 2018) y lo que mejora es Solaris: de −3,7 M en 2022 a 75,1 M en 2025 (6,3 %) y 60 M en el 1S26 (7,3 %) [1, 8]. El beneficio por acción crece más (TCAC del 18,9 %) porque 2018 parte de un BPA de 1,27 EUR y el resultado financiero ha bajado de −63 M a −37 M [1, 5].</w:t>
      </w:r>
    </w:p>
    <w:p>
      <w:pPr>
        <w:pStyle w:val="Heading2"/>
      </w:pPr>
      <w:r>
        <w:t xml:space="preserve">Ajustes y partidas no recurrentes</w:t>
      </w:r>
    </w:p>
    <w:p>
      <w:pPr>
        <w:spacing w:after="100"/>
      </w:pPr>
      <w:r>
        <w:t xml:space="preserve">CAF publica un «EBITDA ajustado» que en 2024-2025 coincide con el reportado (325 M y 350 M; los otros ajustes son 0) [1]; el informe usa las cifras NIIF. Partidas no recurrentes identificadas: −37,9 M en 2019 por la multa del CADE (Brasil), que dejó el beneficio en 24,7 M [5]; la COVID en 2020 (sin dividendo) [4]; y en 2022 el impacto de la inflación en contratos a precio cerrado, que CAF estimó en ≈ 1,5 puntos de margen de su cartera [15]. La actualización de la multa del CADE por la SELIC (5,9 M en 2025) va en gastos financieros todos los años [1]. El resultado por puesta en equivalencia (entre −4,2 y +6,4 M) está en el BAI y no en el resultado financiero [1, 2, 3, 4, 5].</w:t>
      </w:r>
    </w:p>
    <w:p>
      <w:pPr>
        <w:pStyle w:val="Heading1"/>
      </w:pPr>
      <w:r>
        <w:t xml:space="preserve">6. Resultados recientes</w:t>
      </w:r>
    </w:p>
    <w:p>
      <w:pPr>
        <w:pStyle w:val="Confianza"/>
        <w:spacing w:after="100"/>
      </w:pPr>
      <w:r>
        <w:t xml:space="preserve">Confianza: Alta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318"/>
        <w:gridCol w:w="1220"/>
        <w:gridCol w:w="1220"/>
        <w:gridCol w:w="1220"/>
        <w:gridCol w:w="1220"/>
        <w:gridCol w:w="976"/>
        <w:gridCol w:w="1464"/>
      </w:tblGrid>
      <w:tr>
        <w:trPr>
          <w:cantSplit/>
          <w:tblHeader/>
        </w:trPr>
        <w:tc>
          <w:tcPr>
            <w:tcW w:type="dxa" w:w="109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Periodo</w:t>
            </w:r>
          </w:p>
        </w:tc>
        <w:tc>
          <w:tcPr>
            <w:tcW w:type="dxa" w:w="122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Ingresos</w:t>
            </w:r>
          </w:p>
        </w:tc>
        <w:tc>
          <w:tcPr>
            <w:tcW w:type="dxa" w:w="122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Crec. interanual</w:t>
            </w:r>
          </w:p>
        </w:tc>
        <w:tc>
          <w:tcPr>
            <w:tcW w:type="dxa" w:w="122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EBITDA</w:t>
            </w:r>
          </w:p>
        </w:tc>
        <w:tc>
          <w:tcPr>
            <w:tcW w:type="dxa" w:w="122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 EBITDA</w:t>
            </w:r>
          </w:p>
        </w:tc>
        <w:tc>
          <w:tcPr>
            <w:tcW w:type="dxa" w:w="97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BPA</w:t>
            </w:r>
          </w:p>
        </w:tc>
        <w:tc>
          <w:tcPr>
            <w:tcW w:type="dxa" w:w="146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Frente al consenso</w:t>
            </w:r>
          </w:p>
        </w:tc>
      </w:tr>
      <w:tr>
        <w:trPr>
          <w:cantSplit/>
        </w:trPr>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1S24</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2.080</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+10,9 %</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155</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7,4 %</w:t>
            </w:r>
          </w:p>
        </w:tc>
        <w:tc>
          <w:tcPr>
            <w:tcW w:type="dxa" w:w="9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1,52</w:t>
            </w:r>
          </w:p>
        </w:tc>
        <w:tc>
          <w:tcPr>
            <w:tcW w:type="dxa" w:w="146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w:t>
            </w:r>
          </w:p>
        </w:tc>
      </w:tr>
      <w:tr>
        <w:trPr>
          <w:cantSplit/>
        </w:trPr>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2S24</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2.131</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+9,4 %</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170</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8,0 %</w:t>
            </w:r>
          </w:p>
        </w:tc>
        <w:tc>
          <w:tcPr>
            <w:tcW w:type="dxa" w:w="9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1,50</w:t>
            </w:r>
          </w:p>
        </w:tc>
        <w:tc>
          <w:tcPr>
            <w:tcW w:type="dxa" w:w="146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w:t>
            </w:r>
          </w:p>
        </w:tc>
      </w:tr>
      <w:tr>
        <w:trPr>
          <w:cantSplit/>
        </w:trPr>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1S25</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2.174</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+4,5 %</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165</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7,6 %</w:t>
            </w:r>
          </w:p>
        </w:tc>
        <w:tc>
          <w:tcPr>
            <w:tcW w:type="dxa" w:w="9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2,13</w:t>
            </w:r>
          </w:p>
        </w:tc>
        <w:tc>
          <w:tcPr>
            <w:tcW w:type="dxa" w:w="146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w:t>
            </w:r>
          </w:p>
        </w:tc>
      </w:tr>
      <w:tr>
        <w:trPr>
          <w:cantSplit/>
        </w:trPr>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2S25</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2.313</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+8,5 %</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185</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8,0 %</w:t>
            </w:r>
          </w:p>
        </w:tc>
        <w:tc>
          <w:tcPr>
            <w:tcW w:type="dxa" w:w="9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2,14</w:t>
            </w:r>
          </w:p>
        </w:tc>
        <w:tc>
          <w:tcPr>
            <w:tcW w:type="dxa" w:w="146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En línea</w:t>
            </w:r>
          </w:p>
        </w:tc>
      </w:tr>
      <w:tr>
        <w:trPr>
          <w:cantSplit/>
        </w:trPr>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1S26</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2.527</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+16,3 %</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206</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8,2 %</w:t>
            </w:r>
          </w:p>
        </w:tc>
        <w:tc>
          <w:tcPr>
            <w:tcW w:type="dxa" w:w="97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2,89</w:t>
            </w:r>
          </w:p>
        </w:tc>
        <w:tc>
          <w:tcPr>
            <w:tcW w:type="dxa" w:w="146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Superior</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340000"/>
            <wp:effectExtent l="0" t="0" r="0" b="0"/>
            <wp:docPr id="1011" name="Gráfico 11" descr="Crecimiento interanual por trimestre (%)"/>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11"/>
              </a:graphicData>
            </a:graphic>
          </wp:inline>
        </w:drawing>
      </w:r>
    </w:p>
    <w:p>
      <w:pPr>
        <w:pStyle w:val="Heading2"/>
      </w:pPr>
      <w:r>
        <w:t xml:space="preserve">Lo que dijo la dirección en las últimas presentaciones</w:t>
      </w:r>
    </w:p>
    <w:p>
      <w:pPr>
        <w:spacing w:after="100"/>
      </w:pPr>
      <w:r>
        <w:t xml:space="preserve">CAF no publica transcripciones; este resumen sale de las dos últimas presentaciones y de las notas previas de un analista [72]. En el 1T26 (7-may) la dirección explicó una caída del 5 % de las ventas ferroviarias por un «efecto contable» que revertiría en junio, y presumió de contratación: 2.883 M (book-to-bill de 2,5x) con el contrato de SNCB y cerca de 900 M firmados fuera de cartera (El Cairo, Nápoles, Belgrado) [9]. En el 1S26 (30-jul) cumplió: ventas ferroviarias +3 % en el semestre, ventas del grupo +16 % y EBIT +32 %, un 15 % por encima del consenso de 11 analistas que recoge la propia CAF (131 M) [8, 48]. Dos cambios de discurso. Primero, Solaris pasa a ser el motor (1.079 autobuses entregados, +41 %, y margen EBIT del 7,3 %), pero la empresa avisa de que el 2S26 tendrá un reparto de entregas «similar al de ejercicios anteriores», es decir, menos favorable [8]. Segundo, reconoce que la cartera ferroviaria sigue «aún impactada parcialmente por la inflación» y aparece Oriente Medio como riesgo de ejecución «sin impacto material» [8]. Lo que no explicó: el circulante subió 148 M en el semestre (de 87 a 235 M) y el cash flow fue de solo 12 M; la presentación lo atribuye a la «calendarización de los cobros» sin dar el calendario [8]. Tampoco hay guía de margen para 2027 hasta el nuevo plan del 4T26 [8].</w:t>
      </w:r>
    </w:p>
    <w:p>
      <w:pPr>
        <w:pStyle w:val="Heading1"/>
      </w:pPr>
      <w:r>
        <w:t xml:space="preserve">7. Balance y capital circulante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58"/>
        <w:gridCol w:w="1064"/>
        <w:gridCol w:w="1171"/>
        <w:gridCol w:w="958"/>
        <w:gridCol w:w="851"/>
        <w:gridCol w:w="958"/>
        <w:gridCol w:w="851"/>
        <w:gridCol w:w="958"/>
        <w:gridCol w:w="958"/>
        <w:gridCol w:w="911"/>
      </w:tblGrid>
      <w:tr>
        <w:trPr>
          <w:cantSplit/>
          <w:tblHeader/>
        </w:trPr>
        <w:tc>
          <w:tcPr>
            <w:tcW w:type="dxa" w:w="95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Periodo</w:t>
            </w:r>
          </w:p>
        </w:tc>
        <w:tc>
          <w:tcPr>
            <w:tcW w:type="dxa" w:w="106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Activo total</w:t>
            </w:r>
          </w:p>
        </w:tc>
        <w:tc>
          <w:tcPr>
            <w:tcW w:type="dxa" w:w="117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Fondo com. + intang.</w:t>
            </w:r>
          </w:p>
        </w:tc>
        <w:tc>
          <w:tcPr>
            <w:tcW w:type="dxa" w:w="95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Circulante</w:t>
            </w:r>
          </w:p>
        </w:tc>
        <w:tc>
          <w:tcPr>
            <w:tcW w:type="dxa" w:w="85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Caja</w:t>
            </w:r>
          </w:p>
        </w:tc>
        <w:tc>
          <w:tcPr>
            <w:tcW w:type="dxa" w:w="95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Deuda fin.</w:t>
            </w:r>
          </w:p>
        </w:tc>
        <w:tc>
          <w:tcPr>
            <w:tcW w:type="dxa" w:w="85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Arrend.</w:t>
            </w:r>
          </w:p>
        </w:tc>
        <w:tc>
          <w:tcPr>
            <w:tcW w:type="dxa" w:w="95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Deuda neta</w:t>
            </w:r>
          </w:p>
        </w:tc>
        <w:tc>
          <w:tcPr>
            <w:tcW w:type="dxa" w:w="95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Patrimonio</w:t>
            </w:r>
          </w:p>
        </w:tc>
        <w:tc>
          <w:tcPr>
            <w:tcW w:type="dxa" w:w="91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DN/EBITDA</w:t>
            </w:r>
          </w:p>
        </w:tc>
      </w:tr>
      <w:tr>
        <w:trPr>
          <w:cantSplit/>
        </w:trPr>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2018</w:t>
            </w:r>
          </w:p>
        </w:tc>
        <w:tc>
          <w:tcPr>
            <w:tcW w:type="dxa" w:w="106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4.006</w:t>
            </w:r>
          </w:p>
        </w:tc>
        <w:tc>
          <w:tcPr>
            <w:tcW w:type="dxa" w:w="117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308</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110</w:t>
            </w:r>
          </w:p>
        </w:tc>
        <w:tc>
          <w:tcPr>
            <w:tcW w:type="dxa" w:w="8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603</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1.022</w:t>
            </w:r>
          </w:p>
        </w:tc>
        <w:tc>
          <w:tcPr>
            <w:tcW w:type="dxa" w:w="8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421</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752</w:t>
            </w:r>
          </w:p>
        </w:tc>
        <w:tc>
          <w:tcPr>
            <w:tcW w:type="dxa" w:w="91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2,1x</w:t>
            </w:r>
          </w:p>
        </w:tc>
      </w:tr>
      <w:tr>
        <w:trPr>
          <w:cantSplit/>
        </w:trPr>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2019</w:t>
            </w:r>
          </w:p>
        </w:tc>
        <w:tc>
          <w:tcPr>
            <w:tcW w:type="dxa" w:w="106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4.323</w:t>
            </w:r>
          </w:p>
        </w:tc>
        <w:tc>
          <w:tcPr>
            <w:tcW w:type="dxa" w:w="117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348</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140</w:t>
            </w:r>
          </w:p>
        </w:tc>
        <w:tc>
          <w:tcPr>
            <w:tcW w:type="dxa" w:w="8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539</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1.068</w:t>
            </w:r>
          </w:p>
        </w:tc>
        <w:tc>
          <w:tcPr>
            <w:tcW w:type="dxa" w:w="8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68</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597</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733</w:t>
            </w:r>
          </w:p>
        </w:tc>
        <w:tc>
          <w:tcPr>
            <w:tcW w:type="dxa" w:w="91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2,9x</w:t>
            </w:r>
          </w:p>
        </w:tc>
      </w:tr>
      <w:tr>
        <w:trPr>
          <w:cantSplit/>
        </w:trPr>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2020</w:t>
            </w:r>
          </w:p>
        </w:tc>
        <w:tc>
          <w:tcPr>
            <w:tcW w:type="dxa" w:w="106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4.079</w:t>
            </w:r>
          </w:p>
        </w:tc>
        <w:tc>
          <w:tcPr>
            <w:tcW w:type="dxa" w:w="117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324</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152</w:t>
            </w:r>
          </w:p>
        </w:tc>
        <w:tc>
          <w:tcPr>
            <w:tcW w:type="dxa" w:w="8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574</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995</w:t>
            </w:r>
          </w:p>
        </w:tc>
        <w:tc>
          <w:tcPr>
            <w:tcW w:type="dxa" w:w="8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57</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478</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633</w:t>
            </w:r>
          </w:p>
        </w:tc>
        <w:tc>
          <w:tcPr>
            <w:tcW w:type="dxa" w:w="91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2,4x</w:t>
            </w:r>
          </w:p>
        </w:tc>
      </w:tr>
      <w:tr>
        <w:trPr>
          <w:cantSplit/>
        </w:trPr>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2021</w:t>
            </w:r>
          </w:p>
        </w:tc>
        <w:tc>
          <w:tcPr>
            <w:tcW w:type="dxa" w:w="106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4.270</w:t>
            </w:r>
          </w:p>
        </w:tc>
        <w:tc>
          <w:tcPr>
            <w:tcW w:type="dxa" w:w="117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332</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285</w:t>
            </w:r>
          </w:p>
        </w:tc>
        <w:tc>
          <w:tcPr>
            <w:tcW w:type="dxa" w:w="8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551</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967</w:t>
            </w:r>
          </w:p>
        </w:tc>
        <w:tc>
          <w:tcPr>
            <w:tcW w:type="dxa" w:w="8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57</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472</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727</w:t>
            </w:r>
          </w:p>
        </w:tc>
        <w:tc>
          <w:tcPr>
            <w:tcW w:type="dxa" w:w="91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1,9x</w:t>
            </w:r>
          </w:p>
        </w:tc>
      </w:tr>
      <w:tr>
        <w:trPr>
          <w:cantSplit/>
        </w:trPr>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2022</w:t>
            </w:r>
          </w:p>
        </w:tc>
        <w:tc>
          <w:tcPr>
            <w:tcW w:type="dxa" w:w="106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4.951</w:t>
            </w:r>
          </w:p>
        </w:tc>
        <w:tc>
          <w:tcPr>
            <w:tcW w:type="dxa" w:w="117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456</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131</w:t>
            </w:r>
          </w:p>
        </w:tc>
        <w:tc>
          <w:tcPr>
            <w:tcW w:type="dxa" w:w="8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473</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874</w:t>
            </w:r>
          </w:p>
        </w:tc>
        <w:tc>
          <w:tcPr>
            <w:tcW w:type="dxa" w:w="8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90</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491</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776</w:t>
            </w:r>
          </w:p>
        </w:tc>
        <w:tc>
          <w:tcPr>
            <w:tcW w:type="dxa" w:w="91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2,1x</w:t>
            </w:r>
          </w:p>
        </w:tc>
      </w:tr>
      <w:tr>
        <w:trPr>
          <w:cantSplit/>
        </w:trPr>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2023</w:t>
            </w:r>
          </w:p>
        </w:tc>
        <w:tc>
          <w:tcPr>
            <w:tcW w:type="dxa" w:w="106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5.052</w:t>
            </w:r>
          </w:p>
        </w:tc>
        <w:tc>
          <w:tcPr>
            <w:tcW w:type="dxa" w:w="117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471</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304</w:t>
            </w:r>
          </w:p>
        </w:tc>
        <w:tc>
          <w:tcPr>
            <w:tcW w:type="dxa" w:w="8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443</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820</w:t>
            </w:r>
          </w:p>
        </w:tc>
        <w:tc>
          <w:tcPr>
            <w:tcW w:type="dxa" w:w="8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88</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465</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855</w:t>
            </w:r>
          </w:p>
        </w:tc>
        <w:tc>
          <w:tcPr>
            <w:tcW w:type="dxa" w:w="91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1,6x</w:t>
            </w:r>
          </w:p>
        </w:tc>
      </w:tr>
      <w:tr>
        <w:trPr>
          <w:cantSplit/>
        </w:trPr>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2024</w:t>
            </w:r>
          </w:p>
        </w:tc>
        <w:tc>
          <w:tcPr>
            <w:tcW w:type="dxa" w:w="106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5.216</w:t>
            </w:r>
          </w:p>
        </w:tc>
        <w:tc>
          <w:tcPr>
            <w:tcW w:type="dxa" w:w="117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475</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331</w:t>
            </w:r>
          </w:p>
        </w:tc>
        <w:tc>
          <w:tcPr>
            <w:tcW w:type="dxa" w:w="8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574</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833</w:t>
            </w:r>
          </w:p>
        </w:tc>
        <w:tc>
          <w:tcPr>
            <w:tcW w:type="dxa" w:w="8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88</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347</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882</w:t>
            </w:r>
          </w:p>
        </w:tc>
        <w:tc>
          <w:tcPr>
            <w:tcW w:type="dxa" w:w="91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1,1x</w:t>
            </w:r>
          </w:p>
        </w:tc>
      </w:tr>
      <w:tr>
        <w:trPr>
          <w:cantSplit/>
        </w:trPr>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2025</w:t>
            </w:r>
          </w:p>
        </w:tc>
        <w:tc>
          <w:tcPr>
            <w:tcW w:type="dxa" w:w="106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5.533</w:t>
            </w:r>
          </w:p>
        </w:tc>
        <w:tc>
          <w:tcPr>
            <w:tcW w:type="dxa" w:w="117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467</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405</w:t>
            </w:r>
          </w:p>
        </w:tc>
        <w:tc>
          <w:tcPr>
            <w:tcW w:type="dxa" w:w="85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598</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812</w:t>
            </w:r>
          </w:p>
        </w:tc>
        <w:tc>
          <w:tcPr>
            <w:tcW w:type="dxa" w:w="85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90</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304</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981</w:t>
            </w:r>
          </w:p>
        </w:tc>
        <w:tc>
          <w:tcPr>
            <w:tcW w:type="dxa" w:w="91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0,9x</w:t>
            </w:r>
          </w:p>
        </w:tc>
      </w:tr>
    </w:tbl>
    <w:p>
      <w:pPr>
        <w:spacing w:after="16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338"/>
        <w:gridCol w:w="1472"/>
        <w:gridCol w:w="1338"/>
        <w:gridCol w:w="1338"/>
        <w:gridCol w:w="1338"/>
        <w:gridCol w:w="1472"/>
        <w:gridCol w:w="1342"/>
      </w:tblGrid>
      <w:tr>
        <w:trPr>
          <w:cantSplit/>
          <w:tblHeader/>
        </w:trPr>
        <w:tc>
          <w:tcPr>
            <w:tcW w:type="dxa" w:w="133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Periodo</w:t>
            </w:r>
          </w:p>
        </w:tc>
        <w:tc>
          <w:tcPr>
            <w:tcW w:type="dxa" w:w="147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Circulante / ventas</w:t>
            </w:r>
          </w:p>
        </w:tc>
        <w:tc>
          <w:tcPr>
            <w:tcW w:type="dxa" w:w="133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Días de cobro</w:t>
            </w:r>
          </w:p>
        </w:tc>
        <w:tc>
          <w:tcPr>
            <w:tcW w:type="dxa" w:w="133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Días de inventario</w:t>
            </w:r>
          </w:p>
        </w:tc>
        <w:tc>
          <w:tcPr>
            <w:tcW w:type="dxa" w:w="133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Días de pago</w:t>
            </w:r>
          </w:p>
        </w:tc>
        <w:tc>
          <w:tcPr>
            <w:tcW w:type="dxa" w:w="147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Ciclo de caja (días)</w:t>
            </w:r>
          </w:p>
        </w:tc>
        <w:tc>
          <w:tcPr>
            <w:tcW w:type="dxa" w:w="134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Liquidez corriente</w:t>
            </w:r>
          </w:p>
        </w:tc>
      </w:tr>
      <w:tr>
        <w:trPr>
          <w:cantSplit/>
        </w:trPr>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2018</w:t>
            </w:r>
          </w:p>
        </w:tc>
        <w:tc>
          <w:tcPr>
            <w:tcW w:type="dxa" w:w="147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5,4 %</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234</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74</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312</w:t>
            </w:r>
          </w:p>
        </w:tc>
        <w:tc>
          <w:tcPr>
            <w:tcW w:type="dxa" w:w="147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w:t>
            </w:r>
          </w:p>
        </w:tc>
        <w:tc>
          <w:tcPr>
            <w:tcW w:type="dxa" w:w="13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1,2x</w:t>
            </w:r>
          </w:p>
        </w:tc>
      </w:tr>
      <w:tr>
        <w:trPr>
          <w:cantSplit/>
        </w:trPr>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2019</w:t>
            </w:r>
          </w:p>
        </w:tc>
        <w:tc>
          <w:tcPr>
            <w:tcW w:type="dxa" w:w="147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5,4 %</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193</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74</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263</w:t>
            </w:r>
          </w:p>
        </w:tc>
        <w:tc>
          <w:tcPr>
            <w:tcW w:type="dxa" w:w="147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w:t>
            </w:r>
          </w:p>
        </w:tc>
        <w:tc>
          <w:tcPr>
            <w:tcW w:type="dxa" w:w="13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1,2x</w:t>
            </w:r>
          </w:p>
        </w:tc>
      </w:tr>
      <w:tr>
        <w:trPr>
          <w:cantSplit/>
        </w:trPr>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2020</w:t>
            </w:r>
          </w:p>
        </w:tc>
        <w:tc>
          <w:tcPr>
            <w:tcW w:type="dxa" w:w="147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5,5 %</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179</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69</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240</w:t>
            </w:r>
          </w:p>
        </w:tc>
        <w:tc>
          <w:tcPr>
            <w:tcW w:type="dxa" w:w="147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w:t>
            </w:r>
          </w:p>
        </w:tc>
        <w:tc>
          <w:tcPr>
            <w:tcW w:type="dxa" w:w="13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1,3x</w:t>
            </w:r>
          </w:p>
        </w:tc>
      </w:tr>
      <w:tr>
        <w:trPr>
          <w:cantSplit/>
        </w:trPr>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2021</w:t>
            </w:r>
          </w:p>
        </w:tc>
        <w:tc>
          <w:tcPr>
            <w:tcW w:type="dxa" w:w="147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9,7 %</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187</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66</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233</w:t>
            </w:r>
          </w:p>
        </w:tc>
        <w:tc>
          <w:tcPr>
            <w:tcW w:type="dxa" w:w="147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w:t>
            </w:r>
          </w:p>
        </w:tc>
        <w:tc>
          <w:tcPr>
            <w:tcW w:type="dxa" w:w="13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1,2x</w:t>
            </w:r>
          </w:p>
        </w:tc>
      </w:tr>
      <w:tr>
        <w:trPr>
          <w:cantSplit/>
        </w:trPr>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2022</w:t>
            </w:r>
          </w:p>
        </w:tc>
        <w:tc>
          <w:tcPr>
            <w:tcW w:type="dxa" w:w="147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4,1 %</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220</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73</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293</w:t>
            </w:r>
          </w:p>
        </w:tc>
        <w:tc>
          <w:tcPr>
            <w:tcW w:type="dxa" w:w="147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13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1,1x</w:t>
            </w:r>
          </w:p>
        </w:tc>
      </w:tr>
      <w:tr>
        <w:trPr>
          <w:cantSplit/>
        </w:trPr>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2023</w:t>
            </w:r>
          </w:p>
        </w:tc>
        <w:tc>
          <w:tcPr>
            <w:tcW w:type="dxa" w:w="147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7,9 %</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211</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49</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246</w:t>
            </w:r>
          </w:p>
        </w:tc>
        <w:tc>
          <w:tcPr>
            <w:tcW w:type="dxa" w:w="147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w:t>
            </w:r>
          </w:p>
        </w:tc>
        <w:tc>
          <w:tcPr>
            <w:tcW w:type="dxa" w:w="13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1,1x</w:t>
            </w:r>
          </w:p>
        </w:tc>
      </w:tr>
      <w:tr>
        <w:trPr>
          <w:cantSplit/>
        </w:trPr>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2024</w:t>
            </w:r>
          </w:p>
        </w:tc>
        <w:tc>
          <w:tcPr>
            <w:tcW w:type="dxa" w:w="147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7,9 %</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196</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60</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241</w:t>
            </w:r>
          </w:p>
        </w:tc>
        <w:tc>
          <w:tcPr>
            <w:tcW w:type="dxa" w:w="147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w:t>
            </w:r>
          </w:p>
        </w:tc>
        <w:tc>
          <w:tcPr>
            <w:tcW w:type="dxa" w:w="13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1,1x</w:t>
            </w:r>
          </w:p>
        </w:tc>
      </w:tr>
      <w:tr>
        <w:trPr>
          <w:cantSplit/>
        </w:trPr>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2025</w:t>
            </w:r>
          </w:p>
        </w:tc>
        <w:tc>
          <w:tcPr>
            <w:tcW w:type="dxa" w:w="147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9,0 %</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202</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62</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245</w:t>
            </w:r>
          </w:p>
        </w:tc>
        <w:tc>
          <w:tcPr>
            <w:tcW w:type="dxa" w:w="147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19</w:t>
            </w:r>
          </w:p>
        </w:tc>
        <w:tc>
          <w:tcPr>
            <w:tcW w:type="dxa" w:w="134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1,2x</w:t>
            </w:r>
          </w:p>
        </w:tc>
      </w:tr>
    </w:tbl>
    <w:p>
      <w:pPr>
        <w:spacing w:after="160" w:before="0"/>
      </w:pPr>
    </w:p>
    <w:p>
      <w:pPr>
        <w:pStyle w:val="Nota"/>
        <w:spacing w:after="100"/>
      </w:pPr>
      <w:r>
        <w:t xml:space="preserve">Días de inventario y de pago calculados sobre costes operativos de caja (ingresos − EBITDA), por ser una cuenta por naturaleza.</w:t>
      </w:r>
    </w:p>
    <w:p>
      <w:pPr>
        <w:pStyle w:val="Nota"/>
        <w:spacing w:after="100"/>
      </w:pPr>
      <w:r>
        <w:t xml:space="preserve">Cambio de perímetro (2018: Solaris (autobuses, Polonia) consolidada desde septiembre de 2018: entra entera en el balance de 2018 con solo cuatro meses en la cuenta [5].; 2019: EuroMaint (mantenimiento ferroviario, Suecia) consolidada desde julio de 2019 [5].; 2022: CAF Reichshoffen (planta de Alstom en Alsacia, plataforma Coradia Polyvalent y PI de Talent 3), consolidada desde el 1-ago-22; con el año completo habría añadido 138,0 M de ventas [3].). Los ratios de balance de ese año (días, circulante, deuda neta / EBITDA, ROIC) y los indicadores de calidad contable no son comparables con los anteriores.</w:t>
      </w:r>
    </w:p>
    <w:p>
      <w:pPr>
        <w:keepNext w:val="false"/>
        <w:spacing w:after="160" w:before="120"/>
        <w:jc w:val="center"/>
      </w:pPr>
      <w:r>
        <w:drawing>
          <wp:inline xmlns:wp="http://schemas.openxmlformats.org/drawingml/2006/wordprocessingDrawing" distT="0" distB="0" distL="0" distR="0">
            <wp:extent cx="5760000" cy="2340000"/>
            <wp:effectExtent l="0" t="0" r="0" b="0"/>
            <wp:docPr id="1012" name="Gráfico 12" descr="Capital circulante en días"/>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12"/>
              </a:graphicData>
            </a:graphic>
          </wp:inline>
        </w:drawing>
      </w:r>
    </w:p>
    <w:p>
      <w:pPr>
        <w:spacing w:after="100"/>
      </w:pPr>
      <w:r>
        <w:t xml:space="preserve">CAF se financia con sus clientes. La deuda financiera bruta es estable (812-833 M desde 2022) y la deuda financiera neta que publica ha bajado de 434 M en 2019 a 176 M en jun-26 (0,5x el EBITDA) [1, 6]. Pero esa deuda baja porque los anticipos y el factoring adelantan la caja: con los arrendamientos (116 M), la multa del CADE, el factoring sin recurso y el dividendo pendiente al cierre de junio, la deuda neta ajustada del puente es de 531 M, 1,4x el EBITDA de los últimos 12 meses. El circulante del motor (existencias + clientes − proveedores, con activos y pasivos por contrato) ha pasado del 4,1 % de las ventas en 2022 al 9,0 % en 2025, y el 1S26 consumió otros 130 M [1, 8]. Vencimientos cómodos: 178 M en 2026 y 296 M en 2027, con 1.379 M de liquidez a jun-26 (742 M de líneas no dispuestas) [1, 8]. Sin rating: la sociedad no lo ha pedido [70]. El Altman Z de 1,74 («zona de riesgo») no mide aquí solvencia: los anticipos inflan el pasivo, como avisa el propio indicador.</w:t>
      </w:r>
    </w:p>
    <w:p>
      <w:pPr>
        <w:pStyle w:val="Heading1"/>
      </w:pPr>
      <w:r>
        <w:t xml:space="preserve">8. Flujos de caja</w:t>
      </w:r>
    </w:p>
    <w:p>
      <w:pPr>
        <w:pStyle w:val="Confianza"/>
        <w:spacing w:after="100"/>
      </w:pPr>
      <w:r>
        <w:t xml:space="preserve">Confianza: Alta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97"/>
        <w:gridCol w:w="1107"/>
        <w:gridCol w:w="886"/>
        <w:gridCol w:w="886"/>
        <w:gridCol w:w="886"/>
        <w:gridCol w:w="886"/>
        <w:gridCol w:w="997"/>
        <w:gridCol w:w="997"/>
        <w:gridCol w:w="997"/>
        <w:gridCol w:w="999"/>
      </w:tblGrid>
      <w:tr>
        <w:trPr>
          <w:cantSplit/>
          <w:tblHeader/>
        </w:trPr>
        <w:tc>
          <w:tcPr>
            <w:tcW w:type="dxa" w:w="99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Periodo</w:t>
            </w:r>
          </w:p>
        </w:tc>
        <w:tc>
          <w:tcPr>
            <w:tcW w:type="dxa" w:w="110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Flujo operativo</w:t>
            </w:r>
          </w:p>
        </w:tc>
        <w:tc>
          <w:tcPr>
            <w:tcW w:type="dxa" w:w="88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Capex</w:t>
            </w:r>
          </w:p>
        </w:tc>
        <w:tc>
          <w:tcPr>
            <w:tcW w:type="dxa" w:w="88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Arrend.</w:t>
            </w:r>
          </w:p>
        </w:tc>
        <w:tc>
          <w:tcPr>
            <w:tcW w:type="dxa" w:w="88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FCF</w:t>
            </w:r>
          </w:p>
        </w:tc>
        <w:tc>
          <w:tcPr>
            <w:tcW w:type="dxa" w:w="88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B. neto</w:t>
            </w:r>
          </w:p>
        </w:tc>
        <w:tc>
          <w:tcPr>
            <w:tcW w:type="dxa" w:w="99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FCF / B. neto</w:t>
            </w:r>
          </w:p>
        </w:tc>
        <w:tc>
          <w:tcPr>
            <w:tcW w:type="dxa" w:w="99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Capex / ventas</w:t>
            </w:r>
          </w:p>
        </w:tc>
        <w:tc>
          <w:tcPr>
            <w:tcW w:type="dxa" w:w="99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Capex / amort.</w:t>
            </w:r>
          </w:p>
        </w:tc>
        <w:tc>
          <w:tcPr>
            <w:tcW w:type="dxa" w:w="99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FCF por acción</w:t>
            </w:r>
          </w:p>
        </w:tc>
      </w:tr>
      <w:tr>
        <w:trPr>
          <w:cantSplit/>
        </w:trPr>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2018</w:t>
            </w:r>
          </w:p>
        </w:tc>
        <w:tc>
          <w:tcPr>
            <w:tcW w:type="dxa" w:w="11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389</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91</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234</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43</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539 %</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4,4 %</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1,9x</w:t>
            </w:r>
          </w:p>
        </w:tc>
        <w:tc>
          <w:tcPr>
            <w:tcW w:type="dxa" w:w="9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6,83</w:t>
            </w:r>
          </w:p>
        </w:tc>
      </w:tr>
      <w:tr>
        <w:trPr>
          <w:cantSplit/>
        </w:trPr>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2019</w:t>
            </w:r>
          </w:p>
        </w:tc>
        <w:tc>
          <w:tcPr>
            <w:tcW w:type="dxa" w:w="11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129</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72</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-24</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-96 %</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2,8 %</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0,9x</w:t>
            </w:r>
          </w:p>
        </w:tc>
        <w:tc>
          <w:tcPr>
            <w:tcW w:type="dxa" w:w="9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-0,69</w:t>
            </w:r>
          </w:p>
        </w:tc>
      </w:tr>
      <w:tr>
        <w:trPr>
          <w:cantSplit/>
        </w:trPr>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2020</w:t>
            </w:r>
          </w:p>
        </w:tc>
        <w:tc>
          <w:tcPr>
            <w:tcW w:type="dxa" w:w="11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177</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49</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24</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50</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559 %</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1,8 %</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0,6x</w:t>
            </w:r>
          </w:p>
        </w:tc>
        <w:tc>
          <w:tcPr>
            <w:tcW w:type="dxa" w:w="9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1,47</w:t>
            </w:r>
          </w:p>
        </w:tc>
      </w:tr>
      <w:tr>
        <w:trPr>
          <w:cantSplit/>
        </w:trPr>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2021</w:t>
            </w:r>
          </w:p>
        </w:tc>
        <w:tc>
          <w:tcPr>
            <w:tcW w:type="dxa" w:w="11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154</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45</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22</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47</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86</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55 %</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1,5 %</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0,5x</w:t>
            </w:r>
          </w:p>
        </w:tc>
        <w:tc>
          <w:tcPr>
            <w:tcW w:type="dxa" w:w="9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1,37</w:t>
            </w:r>
          </w:p>
        </w:tc>
      </w:tr>
      <w:tr>
        <w:trPr>
          <w:cantSplit/>
        </w:trPr>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2022</w:t>
            </w:r>
          </w:p>
        </w:tc>
        <w:tc>
          <w:tcPr>
            <w:tcW w:type="dxa" w:w="11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111</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78</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26</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-40</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52</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-76 %</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2,4 %</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0,8x</w:t>
            </w:r>
          </w:p>
        </w:tc>
        <w:tc>
          <w:tcPr>
            <w:tcW w:type="dxa" w:w="9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-1,15</w:t>
            </w:r>
          </w:p>
        </w:tc>
      </w:tr>
      <w:tr>
        <w:trPr>
          <w:cantSplit/>
        </w:trPr>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2023</w:t>
            </w:r>
          </w:p>
        </w:tc>
        <w:tc>
          <w:tcPr>
            <w:tcW w:type="dxa" w:w="11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106</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79</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28</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-52</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89</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-59 %</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2,1 %</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0,8x</w:t>
            </w:r>
          </w:p>
        </w:tc>
        <w:tc>
          <w:tcPr>
            <w:tcW w:type="dxa" w:w="9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-1,53</w:t>
            </w:r>
          </w:p>
        </w:tc>
      </w:tr>
      <w:tr>
        <w:trPr>
          <w:cantSplit/>
        </w:trPr>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2024</w:t>
            </w:r>
          </w:p>
        </w:tc>
        <w:tc>
          <w:tcPr>
            <w:tcW w:type="dxa" w:w="11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185</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86</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29</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103</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16 %</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2,0 %</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0,8x</w:t>
            </w:r>
          </w:p>
        </w:tc>
        <w:tc>
          <w:tcPr>
            <w:tcW w:type="dxa" w:w="9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0,49</w:t>
            </w:r>
          </w:p>
        </w:tc>
      </w:tr>
      <w:tr>
        <w:trPr>
          <w:cantSplit/>
        </w:trPr>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2025</w:t>
            </w:r>
          </w:p>
        </w:tc>
        <w:tc>
          <w:tcPr>
            <w:tcW w:type="dxa" w:w="11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184</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114</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28</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5</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146</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3 %</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2,5 %</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1,1x</w:t>
            </w:r>
          </w:p>
        </w:tc>
        <w:tc>
          <w:tcPr>
            <w:tcW w:type="dxa" w:w="99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0,13</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700000"/>
            <wp:effectExtent l="0" t="0" r="0" b="0"/>
            <wp:docPr id="1013" name="Gráfico 13" descr="Flujo de caja libre frente a beneficio neto (EUR, millones)"/>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13"/>
              </a:graphicData>
            </a:graphic>
          </wp:inline>
        </w:drawing>
      </w:r>
    </w:p>
    <w:p>
      <w:pPr>
        <w:spacing w:after="100"/>
      </w:pPr>
      <w:r>
        <w:t xml:space="preserve">Acumulado 2018-2025: FCF </w:t>
      </w:r>
      <w:r>
        <w:rPr>
          <w:b/>
          <w:bCs/>
        </w:rPr>
        <w:t xml:space="preserve">238</w:t>
      </w:r>
      <w:r>
        <w:t xml:space="preserve">, conversión </w:t>
      </w:r>
      <w:r>
        <w:rPr>
          <w:b/>
          <w:bCs/>
        </w:rPr>
        <w:t xml:space="preserve">43 %</w:t>
      </w:r>
      <w:r>
        <w:t xml:space="preserve"> del beneficio neto; adquisiciones 233, dividendos 242, recompras 1.</w:t>
      </w:r>
    </w:p>
    <w:p>
      <w:pPr>
        <w:spacing w:after="100"/>
      </w:pPr>
      <w:r>
        <w:t xml:space="preserve">Este es el dato que más pesa contra CAF: el beneficio no se convierte en caja. En 2018-2025 el FCF después de intereses y arrendamientos suma 238 M, un 43 % del beneficio acumulado, y en 2022-2025 fue de −39,5, −52,5, 16,9 y 4,6 M pese a un beneficio de 52-146 M. La causa principal es el circulante: el estado de flujos recoge consumos de 46,5, 116,2, 62,8 y 94,3 M en esos cuatro años, unos 21 céntimos por cada euro de ventas nuevas (320 M para 1.544 M más de ventas entre 2021 y 2025) [1, 2, 3]. El «cash flow» que publica CAF es más alto (88 M en 2025, 72 M en 2024) porque no resta los arrendamientos ni todos los intereses [1]. El capex es bajo y sube: 44-46 M en 2020-2021 y 106 M en 2025 según CAF (114 M en el estado de flujos), por la ampliación de capacidad en Beasain, los talleres de Alemania y Reino Unido y la nueva nave de Solaris (+500 autobuses al año) [1, 8]. Sin dato de la empresa sobre mantenimiento, estimamos que el capex de mantenimiento ronda la amortización (≈ 108 M, 2,4 % de las ventas): estimación propia. El DCF supone un circulante que sigue subiendo, del 9 % al 12 % de las ventas.</w:t>
      </w:r>
    </w:p>
    <w:p>
      <w:pPr>
        <w:pStyle w:val="Heading1"/>
      </w:pPr>
      <w:r>
        <w:t xml:space="preserve">9. Calidad contable</w:t>
      </w:r>
    </w:p>
    <w:p>
      <w:pPr>
        <w:pStyle w:val="Confianza"/>
        <w:spacing w:after="100"/>
      </w:pPr>
      <w:r>
        <w:t xml:space="preserve">Confianza: Media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23"/>
        <w:gridCol w:w="2796"/>
        <w:gridCol w:w="2023"/>
        <w:gridCol w:w="2796"/>
      </w:tblGrid>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Auditor</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Ernst &amp; Young, S.L.</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Años como auditor</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5</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Opinión del último informe</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Favorable</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Ejercicio analizado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2025</w:t>
            </w:r>
          </w:p>
        </w:tc>
      </w:tr>
    </w:tbl>
    <w:p>
      <w:pPr>
        <w:spacing w:after="16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753"/>
        <w:gridCol w:w="1147"/>
        <w:gridCol w:w="5738"/>
      </w:tblGrid>
      <w:tr>
        <w:trPr>
          <w:cantSplit/>
          <w:tblHeader/>
        </w:trPr>
        <w:tc>
          <w:tcPr>
            <w:tcW w:type="dxa" w:w="275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Indicador</w:t>
            </w:r>
          </w:p>
        </w:tc>
        <w:tc>
          <w:tcPr>
            <w:tcW w:type="dxa" w:w="114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Valor</w:t>
            </w:r>
          </w:p>
        </w:tc>
        <w:tc>
          <w:tcPr>
            <w:tcW w:type="dxa" w:w="573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Lectura</w:t>
            </w:r>
          </w:p>
        </w:tc>
      </w:tr>
      <w:tr>
        <w:trPr>
          <w:cantSplit/>
        </w:trPr>
        <w:tc>
          <w:tcPr>
            <w:tcW w:type="dxa" w:w="275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Altman Z</w:t>
            </w:r>
          </w:p>
        </w:tc>
        <w:tc>
          <w:tcPr>
            <w:tcW w:type="dxa" w:w="11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1,74</w:t>
            </w:r>
          </w:p>
        </w:tc>
        <w:tc>
          <w:tcPr>
            <w:tcW w:type="dxa" w:w="57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Zona de riesgo (&gt; 2,99 seguro; &lt; 1,81 riesgo). No aplica a bancos ni aseguradoras, y subestima la solvencia de empresas con grandes anticipos de clientes o prefinanciación pública (contratistas, construcción), que inflan el pasivo.</w:t>
            </w:r>
          </w:p>
        </w:tc>
      </w:tr>
      <w:tr>
        <w:trPr>
          <w:cantSplit/>
        </w:trPr>
        <w:tc>
          <w:tcPr>
            <w:tcW w:type="dxa" w:w="275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Piotroski F</w:t>
            </w:r>
          </w:p>
        </w:tc>
        <w:tc>
          <w:tcPr>
            <w:tcW w:type="dxa" w:w="11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 / 9</w:t>
            </w:r>
          </w:p>
        </w:tc>
        <w:tc>
          <w:tcPr>
            <w:tcW w:type="dxa" w:w="57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Fortaleza financiera alta (7-9).</w:t>
            </w:r>
          </w:p>
        </w:tc>
      </w:tr>
      <w:tr>
        <w:trPr>
          <w:cantSplit/>
        </w:trPr>
        <w:tc>
          <w:tcPr>
            <w:tcW w:type="dxa" w:w="275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Beneish M</w:t>
            </w:r>
          </w:p>
        </w:tc>
        <w:tc>
          <w:tcPr>
            <w:tcW w:type="dxa" w:w="11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-2,46</w:t>
            </w:r>
          </w:p>
        </w:tc>
        <w:tc>
          <w:tcPr>
            <w:tcW w:type="dxa" w:w="57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Por debajo de −1,78: sin señal de manipulación. Aproximado: con cuenta por naturaleza, los índices de margen bruto y de gastos generales se fijan en 1.</w:t>
            </w:r>
          </w:p>
        </w:tc>
      </w:tr>
      <w:tr>
        <w:trPr>
          <w:cantSplit/>
        </w:trPr>
        <w:tc>
          <w:tcPr>
            <w:tcW w:type="dxa" w:w="275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Flujo operativo / beneficio neto (acumulado)</w:t>
            </w:r>
          </w:p>
        </w:tc>
        <w:tc>
          <w:tcPr>
            <w:tcW w:type="dxa" w:w="114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2,59x</w:t>
            </w:r>
          </w:p>
        </w:tc>
        <w:tc>
          <w:tcPr>
            <w:tcW w:type="dxa" w:w="573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El beneficio se cobra.</w:t>
            </w:r>
          </w:p>
        </w:tc>
      </w:tr>
    </w:tbl>
    <w:p>
      <w:pPr>
        <w:spacing w:after="16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7710"/>
        <w:gridCol w:w="1928"/>
      </w:tblGrid>
      <w:tr>
        <w:trPr>
          <w:cantSplit/>
          <w:tblHeader/>
        </w:trPr>
        <w:tc>
          <w:tcPr>
            <w:tcW w:type="dxa" w:w="771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Criterio Piotroski</w:t>
            </w:r>
          </w:p>
        </w:tc>
        <w:tc>
          <w:tcPr>
            <w:tcW w:type="dxa" w:w="192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Cumple</w:t>
            </w:r>
          </w:p>
        </w:tc>
      </w:tr>
      <w:tr>
        <w:trPr>
          <w:cantSplit/>
        </w:trPr>
        <w:tc>
          <w:tcPr>
            <w:tcW w:type="dxa" w:w="77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Beneficio neto positivo</w:t>
            </w:r>
          </w:p>
        </w:tc>
        <w:tc>
          <w:tcPr>
            <w:tcW w:type="dxa" w:w="19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Sí</w:t>
            </w:r>
          </w:p>
        </w:tc>
      </w:tr>
      <w:tr>
        <w:trPr>
          <w:cantSplit/>
        </w:trPr>
        <w:tc>
          <w:tcPr>
            <w:tcW w:type="dxa" w:w="77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Flujo operativo positivo</w:t>
            </w:r>
          </w:p>
        </w:tc>
        <w:tc>
          <w:tcPr>
            <w:tcW w:type="dxa" w:w="19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Sí</w:t>
            </w:r>
          </w:p>
        </w:tc>
      </w:tr>
      <w:tr>
        <w:trPr>
          <w:cantSplit/>
        </w:trPr>
        <w:tc>
          <w:tcPr>
            <w:tcW w:type="dxa" w:w="77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ROA mejora</w:t>
            </w:r>
          </w:p>
        </w:tc>
        <w:tc>
          <w:tcPr>
            <w:tcW w:type="dxa" w:w="19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Sí</w:t>
            </w:r>
          </w:p>
        </w:tc>
      </w:tr>
      <w:tr>
        <w:trPr>
          <w:cantSplit/>
        </w:trPr>
        <w:tc>
          <w:tcPr>
            <w:tcW w:type="dxa" w:w="77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Flujo operativo &gt; beneficio neto</w:t>
            </w:r>
          </w:p>
        </w:tc>
        <w:tc>
          <w:tcPr>
            <w:tcW w:type="dxa" w:w="19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Sí</w:t>
            </w:r>
          </w:p>
        </w:tc>
      </w:tr>
      <w:tr>
        <w:trPr>
          <w:cantSplit/>
        </w:trPr>
        <w:tc>
          <w:tcPr>
            <w:tcW w:type="dxa" w:w="77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Baja el endeudamiento (deuda / activo)</w:t>
            </w:r>
          </w:p>
        </w:tc>
        <w:tc>
          <w:tcPr>
            <w:tcW w:type="dxa" w:w="19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Sí</w:t>
            </w:r>
          </w:p>
        </w:tc>
      </w:tr>
      <w:tr>
        <w:trPr>
          <w:cantSplit/>
        </w:trPr>
        <w:tc>
          <w:tcPr>
            <w:tcW w:type="dxa" w:w="77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Mejora la liquidez corriente</w:t>
            </w:r>
          </w:p>
        </w:tc>
        <w:tc>
          <w:tcPr>
            <w:tcW w:type="dxa" w:w="19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Sí</w:t>
            </w:r>
          </w:p>
        </w:tc>
      </w:tr>
      <w:tr>
        <w:trPr>
          <w:cantSplit/>
        </w:trPr>
        <w:tc>
          <w:tcPr>
            <w:tcW w:type="dxa" w:w="77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No emite acciones</w:t>
            </w:r>
          </w:p>
        </w:tc>
        <w:tc>
          <w:tcPr>
            <w:tcW w:type="dxa" w:w="19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Sí</w:t>
            </w:r>
          </w:p>
        </w:tc>
      </w:tr>
      <w:tr>
        <w:trPr>
          <w:cantSplit/>
        </w:trPr>
        <w:tc>
          <w:tcPr>
            <w:tcW w:type="dxa" w:w="77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Mejora el margen bruto</w:t>
            </w:r>
          </w:p>
        </w:tc>
        <w:tc>
          <w:tcPr>
            <w:tcW w:type="dxa" w:w="19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Sí</w:t>
            </w:r>
          </w:p>
        </w:tc>
      </w:tr>
      <w:tr>
        <w:trPr>
          <w:cantSplit/>
        </w:trPr>
        <w:tc>
          <w:tcPr>
            <w:tcW w:type="dxa" w:w="771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Mejora la rotación del activo</w:t>
            </w:r>
          </w:p>
        </w:tc>
        <w:tc>
          <w:tcPr>
            <w:tcW w:type="dxa" w:w="192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Sí</w:t>
            </w:r>
          </w:p>
        </w:tc>
      </w:tr>
    </w:tbl>
    <w:p>
      <w:pPr>
        <w:spacing w:after="160" w:before="0"/>
      </w:pPr>
    </w:p>
    <w:p>
      <w:pPr>
        <w:pStyle w:val="Heading2"/>
      </w:pPr>
      <w:r>
        <w:t xml:space="preserve">Ajustes, criterios contables y remuneración en acciones</w:t>
      </w:r>
    </w:p>
    <w:p>
      <w:pPr>
        <w:spacing w:after="100"/>
      </w:pPr>
      <w:r>
        <w:t xml:space="preserve">Cuentas sin salvedades conocidas: EY audita desde 2021 y el IAGC dice que el informe anterior no tuvo salvedades; el de 2025 no se ha podido leer (ver huecos) [1]. El riesgo contable de CAF está en el reconocimiento de ingresos por grado de avance: 1.612 M de activos por contrato a dic-25 (36 % de las ventas) que dependen de las estimaciones de coste a terminación de cada proyecto, y 196 M de costes devengados registrados en proveedores [1]. Las provisiones de garantías crecen más que las ventas (269 M en 2021, 386 M en 2025), algo prudente pero que también da margen para alisar resultados [1, 4]. Los vencidos a más de 180 días subieron a 156,5 M, con 35,1 M de AMT Génova en reestructuración [1]. El fondo de comercio (189 M) no se deteriora desde Orbital en 2022, pero el de Solaris (94,2 M) cae 95,9 M con 100 puntos menos de crecimiento [1]. Los indicadores del motor: Piotroski F de 9 sobre 9 (mejora en todo en 2025), Beneish M de −2,46 (por debajo del umbral de manipulación) y Altman Z de 1,74, que no es fiable con anticipos de clientes.</w:t>
      </w:r>
    </w:p>
    <w:p>
      <w:pPr>
        <w:pStyle w:val="Heading2"/>
      </w:pPr>
      <w:r>
        <w:t xml:space="preserve">Señales de alerta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171"/>
        <w:gridCol w:w="976"/>
        <w:gridCol w:w="5491"/>
      </w:tblGrid>
      <w:tr>
        <w:trPr>
          <w:cantSplit/>
          <w:tblHeader/>
        </w:trPr>
        <w:tc>
          <w:tcPr>
            <w:tcW w:type="dxa" w:w="317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Señal</w:t>
            </w:r>
          </w:p>
        </w:tc>
        <w:tc>
          <w:tcPr>
            <w:tcW w:type="dxa" w:w="97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Nivel</w:t>
            </w:r>
          </w:p>
        </w:tc>
        <w:tc>
          <w:tcPr>
            <w:tcW w:type="dxa" w:w="549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Explicación</w:t>
            </w:r>
          </w:p>
        </w:tc>
      </w:tr>
      <w:tr>
        <w:trPr>
          <w:cantSplit/>
        </w:trPr>
        <w:tc>
          <w:tcPr>
            <w:tcW w:type="dxa" w:w="317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Ingresos por grado de avance con activos por contrato altos</w:t>
            </w:r>
          </w:p>
        </w:tc>
        <w:tc>
          <w:tcPr>
            <w:tcW w:type="dxa" w:w="9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Media</w:t>
            </w:r>
          </w:p>
        </w:tc>
        <w:tc>
          <w:tcPr>
            <w:tcW w:type="dxa" w:w="549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1.845 M a jun-26 (1.612 M a dic-25), un 38 % de las ventas de los últimos 12 meses; un cambio en las estimaciones de coste de un gran contrato se lleva el margen del año [1, 6].</w:t>
            </w:r>
          </w:p>
        </w:tc>
      </w:tr>
      <w:tr>
        <w:trPr>
          <w:cantSplit/>
        </w:trPr>
        <w:tc>
          <w:tcPr>
            <w:tcW w:type="dxa" w:w="317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Conversión de beneficio en caja baja</w:t>
            </w:r>
          </w:p>
        </w:tc>
        <w:tc>
          <w:tcPr>
            <w:tcW w:type="dxa" w:w="9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Media</w:t>
            </w:r>
          </w:p>
        </w:tc>
        <w:tc>
          <w:tcPr>
            <w:tcW w:type="dxa" w:w="549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FCF acumulado 2018-2025 del 43 % del beneficio; en 2022-2025, casi nulo con beneficios crecientes, por el circulante [1, 2, 3].</w:t>
            </w:r>
          </w:p>
        </w:tc>
      </w:tr>
      <w:tr>
        <w:trPr>
          <w:cantSplit/>
        </w:trPr>
        <w:tc>
          <w:tcPr>
            <w:tcW w:type="dxa" w:w="317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Saldos vencidos y clientes en dificultades</w:t>
            </w:r>
          </w:p>
        </w:tc>
        <w:tc>
          <w:tcPr>
            <w:tcW w:type="dxa" w:w="9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Baja</w:t>
            </w:r>
          </w:p>
        </w:tc>
        <w:tc>
          <w:tcPr>
            <w:tcW w:type="dxa" w:w="549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156,5 M vencidos a más de 180 días (131,3 M en 2024), con AMT Génova en reestructuración [1].</w:t>
            </w:r>
          </w:p>
        </w:tc>
      </w:tr>
      <w:tr>
        <w:trPr>
          <w:cantSplit/>
        </w:trPr>
        <w:tc>
          <w:tcPr>
            <w:tcW w:type="dxa" w:w="317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Medida cautelar en Brasil</w:t>
            </w:r>
          </w:p>
        </w:tc>
        <w:tc>
          <w:tcPr>
            <w:tcW w:type="dxa" w:w="97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Baja</w:t>
            </w:r>
          </w:p>
        </w:tc>
        <w:tc>
          <w:tcPr>
            <w:tcW w:type="dxa" w:w="549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En ene-26 el Ministerio Público de São Paulo obtuvo una cautelar que bloqueaba parte de ciertos cobros, después anulada; la multa del CADE está provisionada [1, 6].</w:t>
            </w:r>
          </w:p>
        </w:tc>
      </w:tr>
    </w:tbl>
    <w:p>
      <w:pPr>
        <w:spacing w:after="160" w:before="0"/>
      </w:pPr>
    </w:p>
    <w:p>
      <w:pPr>
        <w:pStyle w:val="Heading1"/>
      </w:pPr>
      <w:r>
        <w:t xml:space="preserve">10. Rentabilidad sobre el capital</w:t>
      </w:r>
    </w:p>
    <w:p>
      <w:pPr>
        <w:pStyle w:val="Confianza"/>
        <w:spacing w:after="100"/>
      </w:pPr>
      <w:r>
        <w:t xml:space="preserve">Confianza: Media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126"/>
        <w:gridCol w:w="1126"/>
        <w:gridCol w:w="1126"/>
        <w:gridCol w:w="1126"/>
        <w:gridCol w:w="1251"/>
        <w:gridCol w:w="1251"/>
        <w:gridCol w:w="1251"/>
        <w:gridCol w:w="1381"/>
      </w:tblGrid>
      <w:tr>
        <w:trPr>
          <w:cantSplit/>
          <w:tblHeader/>
        </w:trPr>
        <w:tc>
          <w:tcPr>
            <w:tcW w:type="dxa" w:w="112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Periodo</w:t>
            </w:r>
          </w:p>
        </w:tc>
        <w:tc>
          <w:tcPr>
            <w:tcW w:type="dxa" w:w="112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ROIC</w:t>
            </w:r>
          </w:p>
        </w:tc>
        <w:tc>
          <w:tcPr>
            <w:tcW w:type="dxa" w:w="112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ROE</w:t>
            </w:r>
          </w:p>
        </w:tc>
        <w:tc>
          <w:tcPr>
            <w:tcW w:type="dxa" w:w="112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ROA</w:t>
            </w:r>
          </w:p>
        </w:tc>
        <w:tc>
          <w:tcPr>
            <w:tcW w:type="dxa" w:w="125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Margen neto</w:t>
            </w:r>
          </w:p>
        </w:tc>
        <w:tc>
          <w:tcPr>
            <w:tcW w:type="dxa" w:w="125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Rotación del activo</w:t>
            </w:r>
          </w:p>
        </w:tc>
        <w:tc>
          <w:tcPr>
            <w:tcW w:type="dxa" w:w="125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Apalancamiento</w:t>
            </w:r>
          </w:p>
        </w:tc>
        <w:tc>
          <w:tcPr>
            <w:tcW w:type="dxa" w:w="138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Capital invertido</w:t>
            </w:r>
          </w:p>
        </w:tc>
      </w:tr>
      <w:tr>
        <w:trPr>
          <w:cantSplit/>
        </w:trPr>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2018</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7,3 %</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5,8 %</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1,1 %</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2,1 %</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0,51x</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5,33x</w:t>
            </w:r>
          </w:p>
        </w:tc>
        <w:tc>
          <w:tcPr>
            <w:tcW w:type="dxa" w:w="13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1.178</w:t>
            </w:r>
          </w:p>
        </w:tc>
      </w:tr>
      <w:tr>
        <w:trPr>
          <w:cantSplit/>
        </w:trPr>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2019</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6,0 %</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3,3 %</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0,6 %</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1,0 %</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0,62x</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5,61x</w:t>
            </w:r>
          </w:p>
        </w:tc>
        <w:tc>
          <w:tcPr>
            <w:tcW w:type="dxa" w:w="13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1.260</w:t>
            </w:r>
          </w:p>
        </w:tc>
      </w:tr>
      <w:tr>
        <w:trPr>
          <w:cantSplit/>
        </w:trPr>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2020</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5,9 %</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1,3 %</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0,2 %</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0,3 %</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0,66x</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6,15x</w:t>
            </w:r>
          </w:p>
        </w:tc>
        <w:tc>
          <w:tcPr>
            <w:tcW w:type="dxa" w:w="13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1.232</w:t>
            </w:r>
          </w:p>
        </w:tc>
      </w:tr>
      <w:tr>
        <w:trPr>
          <w:cantSplit/>
        </w:trPr>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2021</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9,7 %</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12,6 %</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2,1 %</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2,9 %</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0,70x</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6,14x</w:t>
            </w:r>
          </w:p>
        </w:tc>
        <w:tc>
          <w:tcPr>
            <w:tcW w:type="dxa" w:w="13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1.167</w:t>
            </w:r>
          </w:p>
        </w:tc>
      </w:tr>
      <w:tr>
        <w:trPr>
          <w:cantSplit/>
        </w:trPr>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2022</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6,7 %</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6,9 %</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1,1 %</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1,6 %</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0,69x</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6,14x</w:t>
            </w:r>
          </w:p>
        </w:tc>
        <w:tc>
          <w:tcPr>
            <w:tcW w:type="dxa" w:w="13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1.246</w:t>
            </w:r>
          </w:p>
        </w:tc>
      </w:tr>
      <w:tr>
        <w:trPr>
          <w:cantSplit/>
        </w:trPr>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2023</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9,0 %</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10,9 %</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1,8 %</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2,3 %</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0,76x</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6,13x</w:t>
            </w:r>
          </w:p>
        </w:tc>
        <w:tc>
          <w:tcPr>
            <w:tcW w:type="dxa" w:w="13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1.306</w:t>
            </w:r>
          </w:p>
        </w:tc>
      </w:tr>
      <w:tr>
        <w:trPr>
          <w:cantSplit/>
        </w:trPr>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2024</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11,2 %</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11,9 %</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2,0 %</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2,5 %</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0,82x</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5,91x</w:t>
            </w:r>
          </w:p>
        </w:tc>
        <w:tc>
          <w:tcPr>
            <w:tcW w:type="dxa" w:w="13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1.289</w:t>
            </w:r>
          </w:p>
        </w:tc>
      </w:tr>
      <w:tr>
        <w:trPr>
          <w:cantSplit/>
        </w:trPr>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2025</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13,6 %</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15,7 %</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2,7 %</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3,3 %</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0,83x</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5,77x</w:t>
            </w:r>
          </w:p>
        </w:tc>
        <w:tc>
          <w:tcPr>
            <w:tcW w:type="dxa" w:w="138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1.268</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700000"/>
            <wp:effectExtent l="0" t="0" r="0" b="0"/>
            <wp:docPr id="1014" name="Gráfico 14" descr="ROIC y ROE frente al coste del capital (%)"/>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14"/>
              </a:graphicData>
            </a:graphic>
          </wp:inline>
        </w:drawing>
      </w:r>
    </w:p>
    <w:p>
      <w:pPr>
        <w:spacing w:after="100"/>
      </w:pPr>
      <w:r>
        <w:rPr>
          <w:b/>
          <w:bCs/>
        </w:rPr>
        <w:t xml:space="preserve">ROIC incremental</w:t>
      </w:r>
      <w:r>
        <w:t xml:space="preserve"> (variación del NOPAT sobre variación del capital invertido en el periodo): n.d. · </w:t>
      </w:r>
      <w:r>
        <w:rPr>
          <w:b/>
          <w:bCs/>
        </w:rPr>
        <w:t xml:space="preserve">WACC</w:t>
      </w:r>
      <w:r>
        <w:t xml:space="preserve">: 8,1 %.</w:t>
      </w:r>
    </w:p>
    <w:p>
      <w:pPr>
        <w:spacing w:after="100"/>
      </w:pPr>
      <w:r>
        <w:t xml:space="preserve">CAF solo crea valor desde 2024. El ROIC fue del 5,9-9,7 % en 2018-2023, por debajo o en el entorno de un WACC del 8,11 %, y subió al 11,2 % en 2024 y al 13,6 % en 2025. Lo mueve el margen, no la rotación: la rotación del capital invertido ha subido de forma continua (0,51x en 2018 a 0,83x en 2025) porque los anticipos financian el crecimiento, mientras el margen neto se quedó en el 1-3 %. El capital invertido apenas cambió (1.178 M en 2018, 1.268 M en 2025) con unas ventas que se duplicaron: el crecimiento lo han pagado los clientes. Frente a los competidores, el margen EBIT del Ferroviario (5,2 % en 2025) está por debajo de Siemens Mobility (8,8 %) y Hitachi Rail (8,2 % EBITA ajustado) y por encima de Stadler (4,4 %); el de Solaris (6,3 %) queda por debajo de Daimler Buses (10,0 %) y Volvo Buses (8,7 %) [1, 19, 20, 21, 22, 23]. Que el ROIC se mantenga por encima del 12 % depende de que el margen EBIT suba del 5,9 % y de que el circulante no vuelva a crecer más rápido que las ventas.</w:t>
      </w:r>
    </w:p>
    <w:p>
      <w:pPr>
        <w:pStyle w:val="Heading1"/>
      </w:pPr>
      <w:r>
        <w:t xml:space="preserve">11. Deuda y solvencia</w:t>
      </w:r>
    </w:p>
    <w:p>
      <w:pPr>
        <w:pStyle w:val="Confianza"/>
        <w:spacing w:after="100"/>
      </w:pPr>
      <w:r>
        <w:t xml:space="preserve">Confianza: Alta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23"/>
        <w:gridCol w:w="2796"/>
        <w:gridCol w:w="2023"/>
        <w:gridCol w:w="2796"/>
      </w:tblGrid>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Deuda neta a 30 jun 2026</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293 M</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Deuda neta / EBITDA últimos 12 m</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0,7x</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Pasivos asimilables a deuda (pensiones y otros)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238 M</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Deuda neta ajustada</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531 M</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Deuda neta ajustada / EBITDA</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1,4x</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Liquidez disponible</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A 31-dic-25: caja 598 M + inversiones financieras temporales 25 M + facilidades crediticias no dispuestas 616 M = liquidez disponible 1.240 M [1]; programa de pagarés MARF de hasta 250 M (65,6 M emitidos) [1].</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Rating</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Sin rating: la sociedad no ha solicitado calificación crediticia para sí ni para sus emisiones [70]</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Coste medio de la deuda</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6,1 %</w:t>
            </w:r>
          </w:p>
        </w:tc>
      </w:tr>
      <w:tr>
        <w:trPr>
          <w:cantSplit/>
        </w:trPr>
        <w:tc>
          <w:tcPr>
            <w:tcW w:type="dxa" w:w="2023"/>
            <w:tcBorders>
              <w:top w:val="none" w:color="FFFFFF" w:sz="0"/>
              <w:left w:val="none" w:color="FFFFFF" w:sz="0"/>
              <w:bottom w:val="single" w:color="D9D8D3" w:sz="4"/>
              <w:right w:val="none" w:color="FFFFFF" w:sz="0"/>
            </w:tcBorders>
            <w:tcMar>
              <w:top w:type="dxa" w:w="50"/>
              <w:left w:type="dxa" w:w="80"/>
              <w:bottom w:type="dxa" w:w="50"/>
              <w:right w:type="dxa" w:w="80"/>
            </w:tcMar>
          </w:tcP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160000"/>
            <wp:effectExtent l="0" t="0" r="0" b="0"/>
            <wp:docPr id="1015" name="Gráfico 15" descr="Deuda neta / EBITDA al cierre de cada ejercicio (veces)"/>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15"/>
              </a:graphicData>
            </a:graphic>
          </wp:inline>
        </w:drawing>
      </w:r>
    </w:p>
    <w:p>
      <w:pPr>
        <w:keepNext w:val="false"/>
        <w:spacing w:after="160" w:before="120"/>
        <w:jc w:val="center"/>
      </w:pPr>
      <w:r>
        <w:drawing>
          <wp:inline xmlns:wp="http://schemas.openxmlformats.org/drawingml/2006/wordprocessingDrawing" distT="0" distB="0" distL="0" distR="0">
            <wp:extent cx="5760000" cy="2160000"/>
            <wp:effectExtent l="0" t="0" r="0" b="0"/>
            <wp:docPr id="1016" name="Gráfico 16" descr="Vencimientos de la deuda bruta (EUR, millones)"/>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16"/>
              </a:graphicData>
            </a:graphic>
          </wp:inline>
        </w:drawing>
      </w:r>
    </w:p>
    <w:p>
      <w:pPr>
        <w:pStyle w:val="Heading2"/>
      </w:pPr>
      <w:r>
        <w:t xml:space="preserve">Covenants, pasivos fuera de la deuda y contingencias</w:t>
      </w:r>
    </w:p>
    <w:p>
      <w:pPr>
        <w:spacing w:after="100"/>
      </w:pPr>
      <w:r>
        <w:rPr>
          <w:b/>
        </w:rPr>
        <w:t xml:space="preserve">Anticipos de clientes.</w:t>
      </w:r>
      <w:r>
        <w:t xml:space="preserve"> Los pasivos por contrato (anticipos y facturación por delante del avance) son 1.483 M a jun-26, frente a 1.845 M de activos por contrato: la posición neta es deudora (362 M; 130 M a dic-25) [6]. Se compensan con entregas del propio contrato, así que por la regla del puente van al circulante, no a la deuda; el riesgo es que su peso baje (ver valoración). </w:t>
      </w:r>
      <w:r>
        <w:rPr>
          <w:b/>
        </w:rPr>
        <w:t xml:space="preserve">Provisiones</w:t>
      </w:r>
      <w:r>
        <w:t xml:space="preserve">: 623 M a jun-26 (575 M a dic-25), de los que 386 M son garantías y asistencia técnica, 70 M contratos onerosos y 50 M litigios [1, 6]. </w:t>
      </w:r>
      <w:r>
        <w:rPr>
          <w:b/>
        </w:rPr>
        <w:t xml:space="preserve">Avales</w:t>
      </w:r>
      <w:r>
        <w:t xml:space="preserve"> bancarios y de seguros por 4.971 M, casi todos técnicos de pedidos, y 102 M de aportaciones futuras comprometidas en las concesiones de Purple Line y CFIR [1]. </w:t>
      </w:r>
      <w:r>
        <w:rPr>
          <w:b/>
        </w:rPr>
        <w:t xml:space="preserve">Factoring sin recurso</w:t>
      </w:r>
      <w:r>
        <w:t xml:space="preserve"> de 72 M a jun-26 y confirming de 33 M no anticipado [6]. </w:t>
      </w:r>
      <w:r>
        <w:rPr>
          <w:b/>
        </w:rPr>
        <w:t xml:space="preserve">Multa del CADE</w:t>
      </w:r>
      <w:r>
        <w:t xml:space="preserve"> (Brasil): provisión de 46 M a dic-25 (54 M en el puente de jun-26 según la nota semestral), recurrida [1, 6]. Anticipos reembolsables sin interés: 21,3 M. Pensiones y prejubilaciones: 44,4 M brutos [6]. Solo el préstamo del BEI (40 M dispuestos) y el de Solaris (180,7 M) llevan covenants [1].</w:t>
      </w:r>
    </w:p>
    <w:p>
      <w:pPr>
        <w:pStyle w:val="Heading1"/>
      </w:pPr>
      <w:r>
        <w:t xml:space="preserve">12. Asignación de capital</w:t>
      </w:r>
    </w:p>
    <w:p>
      <w:pPr>
        <w:pStyle w:val="Confianza"/>
        <w:spacing w:after="100"/>
      </w:pPr>
      <w:r>
        <w:t xml:space="preserve">Confianza: Media</w:t>
      </w:r>
    </w:p>
    <w:p>
      <w:pPr>
        <w:spacing w:after="100"/>
      </w:pPr>
      <w:r>
        <w:t xml:space="preserve">Dividendo «en línea con los resultados», sin cifra de payout comprometida: 1,52 EUR con cargo a 2025 (52,1 M, 36 % del beneficio), pagado en julio de 2026; 1,34 EUR en 2024 (44 %) [1, 6]. No hay recompras (solo autocartera del contrato de liquidez, 0,09 %) [1]. El Plan Estratégico 2026 reservaba unos 550 M para compras que no se hicieron, con un techo de DFN/EBITDA de 2,2x tras compras [15]. El nuevo plan 2027-2030 (4T26) fijará las prioridades; la política de remuneración aprobada en 2026 ya introduce TSR relativo y pago en acciones en el incentivo a largo plazo [8, 38].</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126"/>
        <w:gridCol w:w="1126"/>
        <w:gridCol w:w="1251"/>
        <w:gridCol w:w="1251"/>
        <w:gridCol w:w="1251"/>
        <w:gridCol w:w="1251"/>
        <w:gridCol w:w="1251"/>
        <w:gridCol w:w="1131"/>
      </w:tblGrid>
      <w:tr>
        <w:trPr>
          <w:cantSplit/>
          <w:tblHeader/>
        </w:trPr>
        <w:tc>
          <w:tcPr>
            <w:tcW w:type="dxa" w:w="112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Periodo</w:t>
            </w:r>
          </w:p>
        </w:tc>
        <w:tc>
          <w:tcPr>
            <w:tcW w:type="dxa" w:w="112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FCF</w:t>
            </w:r>
          </w:p>
        </w:tc>
        <w:tc>
          <w:tcPr>
            <w:tcW w:type="dxa" w:w="125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Adquisiciones</w:t>
            </w:r>
          </w:p>
        </w:tc>
        <w:tc>
          <w:tcPr>
            <w:tcW w:type="dxa" w:w="125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Dividendos</w:t>
            </w:r>
          </w:p>
        </w:tc>
        <w:tc>
          <w:tcPr>
            <w:tcW w:type="dxa" w:w="125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Recompras</w:t>
            </w:r>
          </w:p>
        </w:tc>
        <w:tc>
          <w:tcPr>
            <w:tcW w:type="dxa" w:w="125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Ampliaciones</w:t>
            </w:r>
          </w:p>
        </w:tc>
        <w:tc>
          <w:tcPr>
            <w:tcW w:type="dxa" w:w="125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Retorno / B. neto</w:t>
            </w:r>
          </w:p>
        </w:tc>
        <w:tc>
          <w:tcPr>
            <w:tcW w:type="dxa" w:w="113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Acciones (M)</w:t>
            </w:r>
          </w:p>
        </w:tc>
      </w:tr>
      <w:tr>
        <w:trPr>
          <w:cantSplit/>
        </w:trPr>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2018</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234</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172</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24</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56 %</w:t>
            </w:r>
          </w:p>
        </w:tc>
        <w:tc>
          <w:tcPr>
            <w:tcW w:type="dxa" w:w="113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34,3</w:t>
            </w:r>
          </w:p>
        </w:tc>
      </w:tr>
      <w:tr>
        <w:trPr>
          <w:cantSplit/>
        </w:trPr>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2019</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-24</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51</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28</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111 %</w:t>
            </w:r>
          </w:p>
        </w:tc>
        <w:tc>
          <w:tcPr>
            <w:tcW w:type="dxa" w:w="113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34,3</w:t>
            </w:r>
          </w:p>
        </w:tc>
      </w:tr>
      <w:tr>
        <w:trPr>
          <w:cantSplit/>
        </w:trPr>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2020</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50</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9 %</w:t>
            </w:r>
          </w:p>
        </w:tc>
        <w:tc>
          <w:tcPr>
            <w:tcW w:type="dxa" w:w="113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34,3</w:t>
            </w:r>
          </w:p>
        </w:tc>
      </w:tr>
      <w:tr>
        <w:trPr>
          <w:cantSplit/>
        </w:trPr>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2021</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47</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29</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34 %</w:t>
            </w:r>
          </w:p>
        </w:tc>
        <w:tc>
          <w:tcPr>
            <w:tcW w:type="dxa" w:w="113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34,3</w:t>
            </w:r>
          </w:p>
        </w:tc>
      </w:tr>
      <w:tr>
        <w:trPr>
          <w:cantSplit/>
        </w:trPr>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2022</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-40</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36</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72 %</w:t>
            </w:r>
          </w:p>
        </w:tc>
        <w:tc>
          <w:tcPr>
            <w:tcW w:type="dxa" w:w="113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34,2</w:t>
            </w:r>
          </w:p>
        </w:tc>
      </w:tr>
      <w:tr>
        <w:trPr>
          <w:cantSplit/>
        </w:trPr>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2023</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-52</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33</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37 %</w:t>
            </w:r>
          </w:p>
        </w:tc>
        <w:tc>
          <w:tcPr>
            <w:tcW w:type="dxa" w:w="113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34,2</w:t>
            </w:r>
          </w:p>
        </w:tc>
      </w:tr>
      <w:tr>
        <w:trPr>
          <w:cantSplit/>
        </w:trPr>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2024</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42</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40 %</w:t>
            </w:r>
          </w:p>
        </w:tc>
        <w:tc>
          <w:tcPr>
            <w:tcW w:type="dxa" w:w="113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34,2</w:t>
            </w:r>
          </w:p>
        </w:tc>
      </w:tr>
      <w:tr>
        <w:trPr>
          <w:cantSplit/>
        </w:trPr>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2025</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5</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50</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34 %</w:t>
            </w:r>
          </w:p>
        </w:tc>
        <w:tc>
          <w:tcPr>
            <w:tcW w:type="dxa" w:w="113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34,2</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700000"/>
            <wp:effectExtent l="0" t="0" r="0" b="0"/>
            <wp:docPr id="1017" name="Gráfico 17" descr="Usos de la caja (EUR, millones)"/>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17"/>
              </a:graphicData>
            </a:graphic>
          </wp:inline>
        </w:drawing>
      </w:r>
    </w:p>
    <w:p>
      <w:pPr>
        <w:pStyle w:val="Heading2"/>
      </w:pPr>
      <w:r>
        <w:t xml:space="preserve">Historial de adquisiciones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664"/>
        <w:gridCol w:w="2141"/>
        <w:gridCol w:w="951"/>
        <w:gridCol w:w="1308"/>
        <w:gridCol w:w="3574"/>
      </w:tblGrid>
      <w:tr>
        <w:trPr>
          <w:cantSplit/>
          <w:tblHeader/>
        </w:trPr>
        <w:tc>
          <w:tcPr>
            <w:tcW w:type="dxa" w:w="71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Año</w:t>
            </w:r>
          </w:p>
        </w:tc>
        <w:tc>
          <w:tcPr>
            <w:tcW w:type="dxa" w:w="214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Objetivo</w:t>
            </w:r>
          </w:p>
        </w:tc>
        <w:tc>
          <w:tcPr>
            <w:tcW w:type="dxa" w:w="95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Importe</w:t>
            </w:r>
          </w:p>
        </w:tc>
        <w:tc>
          <w:tcPr>
            <w:tcW w:type="dxa" w:w="130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Financiación</w:t>
            </w:r>
          </w:p>
        </w:tc>
        <w:tc>
          <w:tcPr>
            <w:tcW w:type="dxa" w:w="357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Resultado</w:t>
            </w:r>
          </w:p>
        </w:tc>
      </w:tr>
      <w:tr>
        <w:trPr>
          <w:cantSplit/>
        </w:trPr>
        <w:tc>
          <w:tcPr>
            <w:tcW w:type="dxa" w:w="7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2018</w:t>
            </w:r>
          </w:p>
        </w:tc>
        <w:tc>
          <w:tcPr>
            <w:tcW w:type="dxa" w:w="214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Solaris Bus &amp; Coach (Polonia), autobuses</w:t>
            </w:r>
          </w:p>
        </w:tc>
        <w:tc>
          <w:tcPr>
            <w:tcW w:type="dxa" w:w="9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198</w:t>
            </w:r>
          </w:p>
        </w:tc>
        <w:tc>
          <w:tcPr>
            <w:tcW w:type="dxa" w:w="13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Caja y deuda (salida neta de caja de 171,7 M en 2018)</w:t>
            </w:r>
          </w:p>
        </w:tc>
        <w:tc>
          <w:tcPr>
            <w:tcW w:type="dxa" w:w="357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Fondo de comercio de 92,4 M sobre activos netos de 105,5 M; sin deterioro (94,2 M en 2025). EBIT de Autobuses: 13,7 M (2019), 41,1 (2020), -3,7 (2022), 75,1 M (2025, margen 6,3 %); 60 M en 1S26 [1, 3, 5, 8].</w:t>
            </w:r>
          </w:p>
        </w:tc>
      </w:tr>
      <w:tr>
        <w:trPr>
          <w:cantSplit/>
        </w:trPr>
        <w:tc>
          <w:tcPr>
            <w:tcW w:type="dxa" w:w="7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2019</w:t>
            </w:r>
          </w:p>
        </w:tc>
        <w:tc>
          <w:tcPr>
            <w:tcW w:type="dxa" w:w="214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EuroMaint (Suecia), mantenimiento ferroviario</w:t>
            </w:r>
          </w:p>
        </w:tc>
        <w:tc>
          <w:tcPr>
            <w:tcW w:type="dxa" w:w="9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51</w:t>
            </w:r>
          </w:p>
        </w:tc>
        <w:tc>
          <w:tcPr>
            <w:tcW w:type="dxa" w:w="13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Caja</w:t>
            </w:r>
          </w:p>
        </w:tc>
        <w:tc>
          <w:tcPr>
            <w:tcW w:type="dxa" w:w="357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Fondo de comercio de 9,7 M sobre activos netos de 41,1 M; 9,4 M en 2025, sin deterioro [1, 5].</w:t>
            </w:r>
          </w:p>
        </w:tc>
      </w:tr>
      <w:tr>
        <w:trPr>
          <w:cantSplit/>
        </w:trPr>
        <w:tc>
          <w:tcPr>
            <w:tcW w:type="dxa" w:w="7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2022</w:t>
            </w:r>
          </w:p>
        </w:tc>
        <w:tc>
          <w:tcPr>
            <w:tcW w:type="dxa" w:w="214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CAF Reichshoffen (planta de Alstom en Alsacia, plataforma Coradia Polyvalent, PI de Talent 3)</w:t>
            </w:r>
          </w:p>
        </w:tc>
        <w:tc>
          <w:tcPr>
            <w:tcW w:type="dxa" w:w="9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13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Acuerdo con Alstom de nov-2021, cerrado el 1-ago-22; la línea de compras del estado de flujos de 2022 fue una entrada neta de 33,8 M</w:t>
            </w:r>
          </w:p>
        </w:tc>
        <w:tc>
          <w:tcPr>
            <w:tcW w:type="dxa" w:w="357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Fondo de comercio de 77,8 M, sin deterioro; con el año completo habría aportado 138,0 M de ventas en 2022 [1, 3].</w:t>
            </w:r>
          </w:p>
        </w:tc>
      </w:tr>
      <w:tr>
        <w:trPr>
          <w:cantSplit/>
        </w:trPr>
        <w:tc>
          <w:tcPr>
            <w:tcW w:type="dxa" w:w="7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2025</w:t>
            </w:r>
          </w:p>
        </w:tc>
        <w:tc>
          <w:tcPr>
            <w:tcW w:type="dxa" w:w="214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2,67 % restante de Solaris (a SODENA)</w:t>
            </w:r>
          </w:p>
        </w:tc>
        <w:tc>
          <w:tcPr>
            <w:tcW w:type="dxa" w:w="95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10</w:t>
            </w:r>
          </w:p>
        </w:tc>
        <w:tc>
          <w:tcPr>
            <w:tcW w:type="dxa" w:w="130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Caja</w:t>
            </w:r>
          </w:p>
        </w:tc>
        <w:tc>
          <w:tcPr>
            <w:tcW w:type="dxa" w:w="357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CAF pasa al 100 % de Solaris; -7,8 M de minoritarios [1].</w:t>
            </w:r>
          </w:p>
        </w:tc>
      </w:tr>
    </w:tbl>
    <w:p>
      <w:pPr>
        <w:spacing w:after="160" w:before="0"/>
      </w:pPr>
    </w:p>
    <w:p>
      <w:pPr>
        <w:spacing w:after="100"/>
      </w:pPr>
      <w:r>
        <w:t xml:space="preserve">Asignación de capital prudente y poco ambiciosa. En 2018-2025 CAF generó 238 M de FCF y gastó 233 M en compras y 242 M en dividendos, así que se financió con deuda y anticipos. Las tres compras salieron razonablemente: Solaris (198 M en 2018) pasó de pérdidas en 2022 a 75 M de EBIT en 2025 y su fondo de comercio no se ha deteriorado; EuroMaint (51 M) se ha integrado en los servicios, que contratan ya 1.714 M al año; Reichshoffen (2022) dio a CAF fábrica y plataforma en Francia sin salida de caja relevante [1, 3, 5]. El riesgo para el accionista está delante: el plan anterior apuntaba a compras de ≈ 550 M y a una DFN/EBITDA de 2,2x [15]; con la deuda neta en 0,5x según CAF, la tentación de una compra grande en el plan 2027-2030 es real. El ROIC solo ha superado el WACC en 2024-2025: una compra cara a 10-12x el EBITDA diluiría ese progreso.</w:t>
      </w:r>
    </w:p>
    <w:p>
      <w:r>
        <w:br w:type="page"/>
      </w:r>
    </w:p>
    <w:p>
      <w:pPr>
        <w:pStyle w:val="Parte"/>
      </w:pPr>
      <w:r>
        <w:t xml:space="preserve">Parte III — Equipo y gobierno</w:t>
      </w:r>
    </w:p>
    <w:p>
      <w:pPr>
        <w:pStyle w:val="Heading1"/>
      </w:pPr>
      <w:r>
        <w:t xml:space="preserve">13. Equipo directivo</w:t>
      </w:r>
    </w:p>
    <w:p>
      <w:pPr>
        <w:pStyle w:val="Confianza"/>
        <w:spacing w:after="100"/>
      </w:pPr>
      <w:r>
        <w:t xml:space="preserve">Confianza: Alta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763"/>
        <w:gridCol w:w="1527"/>
        <w:gridCol w:w="705"/>
        <w:gridCol w:w="940"/>
        <w:gridCol w:w="4703"/>
      </w:tblGrid>
      <w:tr>
        <w:trPr>
          <w:cantSplit/>
          <w:tblHeader/>
        </w:trPr>
        <w:tc>
          <w:tcPr>
            <w:tcW w:type="dxa" w:w="176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Nombre</w:t>
            </w:r>
          </w:p>
        </w:tc>
        <w:tc>
          <w:tcPr>
            <w:tcW w:type="dxa" w:w="152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Cargo</w:t>
            </w:r>
          </w:p>
        </w:tc>
        <w:tc>
          <w:tcPr>
            <w:tcW w:type="dxa" w:w="70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Desde</w:t>
            </w:r>
          </w:p>
        </w:tc>
        <w:tc>
          <w:tcPr>
            <w:tcW w:type="dxa" w:w="94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 capital</w:t>
            </w:r>
          </w:p>
        </w:tc>
        <w:tc>
          <w:tcPr>
            <w:tcW w:type="dxa" w:w="470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Trayectoria y resultados</w:t>
            </w:r>
          </w:p>
        </w:tc>
      </w:tr>
      <w:tr>
        <w:trPr>
          <w:cantSplit/>
        </w:trPr>
        <w:tc>
          <w:tcPr>
            <w:tcW w:type="dxa" w:w="176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Javier Martínez Ojinaga</w:t>
            </w:r>
          </w:p>
        </w:tc>
        <w:tc>
          <w:tcPr>
            <w:tcW w:type="dxa" w:w="15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Consejero delegado</w:t>
            </w:r>
          </w:p>
        </w:tc>
        <w:tc>
          <w:tcPr>
            <w:tcW w:type="dxa" w:w="7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2021</w:t>
            </w:r>
          </w:p>
        </w:tc>
        <w:tc>
          <w:tcPr>
            <w:tcW w:type="dxa" w:w="94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0,04 %</w:t>
            </w:r>
          </w:p>
        </w:tc>
        <w:tc>
          <w:tcPr>
            <w:tcW w:type="dxa" w:w="470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Abogado economista (Deusto) con MBA (Glasgow); carrera previa en el sector eléctrico, dirección de proyectos e interim management; consejero desde 2015 y consejero delegado desde el 1-sep-2021 [1]. Con él las ventas pasaron de 2.943 M EUR (2021) a 4.487 M EUR (2025) y la cartera a 16.235 M EUR, pero el margen EBIT quedó en 5,5 % frente al 5,6 % de 2021 (5,9 % en el 1S26) [8, 10, 15]. Tiene 12.500 acciones, compradas en 2022 [1].</w:t>
            </w:r>
          </w:p>
        </w:tc>
      </w:tr>
      <w:tr>
        <w:trPr>
          <w:cantSplit/>
        </w:trPr>
        <w:tc>
          <w:tcPr>
            <w:tcW w:type="dxa" w:w="176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Andrés Arizkorreta García</w:t>
            </w:r>
          </w:p>
        </w:tc>
        <w:tc>
          <w:tcPr>
            <w:tcW w:type="dxa" w:w="15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Presidente no ejecutivo</w:t>
            </w:r>
          </w:p>
        </w:tc>
        <w:tc>
          <w:tcPr>
            <w:tcW w:type="dxa" w:w="7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2021</w:t>
            </w:r>
          </w:p>
        </w:tc>
        <w:tc>
          <w:tcPr>
            <w:tcW w:type="dxa" w:w="94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0,00 %</w:t>
            </w:r>
          </w:p>
        </w:tc>
        <w:tc>
          <w:tcPr>
            <w:tcW w:type="dxa" w:w="470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Economista (Deusto) que ha hecho toda su carrera en CAF: director general desde 1992 y consejero delegado de 2006 al 1-sep-2021, cuando pasó a presidente no ejecutivo; consejero desde 1991 [1]. Es consejero independiente de Viscofan y preside su Comisión de Auditoría [1]. No figura con acciones en el IAGC 2025 [1]. Reelegido en 2026 con un 82,40 % a favor [37].</w:t>
            </w:r>
          </w:p>
        </w:tc>
      </w:tr>
      <w:tr>
        <w:trPr>
          <w:cantSplit/>
        </w:trPr>
        <w:tc>
          <w:tcPr>
            <w:tcW w:type="dxa" w:w="176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Aitor Galarza Rodríguez</w:t>
            </w:r>
          </w:p>
        </w:tc>
        <w:tc>
          <w:tcPr>
            <w:tcW w:type="dxa" w:w="15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Director económico-financiero y de estrategia</w:t>
            </w:r>
          </w:p>
        </w:tc>
        <w:tc>
          <w:tcPr>
            <w:tcW w:type="dxa" w:w="7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2021</w:t>
            </w:r>
          </w:p>
        </w:tc>
        <w:tc>
          <w:tcPr>
            <w:tcW w:type="dxa" w:w="94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470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Figura como director económico-financiero y de estrategia en el IAGC de 2021 (el primero revisado) y sigue en el de 2025: al menos cinco ejercicios sin cambio de director financiero [1, 44]. En ese periodo la deuda financiera neta / EBITDA bajó de 1,1x (2021) a 0,5x (2025 y 1S26) [8, 10, 15]. Su participación no se publica.</w:t>
            </w:r>
          </w:p>
        </w:tc>
      </w:tr>
      <w:tr>
        <w:trPr>
          <w:cantSplit/>
        </w:trPr>
        <w:tc>
          <w:tcPr>
            <w:tcW w:type="dxa" w:w="176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Marta Baztarrica Lizarbe</w:t>
            </w:r>
          </w:p>
        </w:tc>
        <w:tc>
          <w:tcPr>
            <w:tcW w:type="dxa" w:w="15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Consejera secretaria; directora legal y de cumplimiento</w:t>
            </w:r>
          </w:p>
        </w:tc>
        <w:tc>
          <w:tcPr>
            <w:tcW w:type="dxa" w:w="7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2016</w:t>
            </w:r>
          </w:p>
        </w:tc>
        <w:tc>
          <w:tcPr>
            <w:tcW w:type="dxa" w:w="94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0,05 %</w:t>
            </w:r>
          </w:p>
        </w:tc>
        <w:tc>
          <w:tcPr>
            <w:tcW w:type="dxa" w:w="470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Licenciada en Derecho y Económicas (ICADE E-3); toda su carrera en CAF; consejera ejecutiva desde 2016 y secretaria del consejo y de sus comisiones [1]. Tiene 17.040 acciones, compradas en 2022 [1].</w:t>
            </w:r>
          </w:p>
        </w:tc>
      </w:tr>
      <w:tr>
        <w:trPr>
          <w:cantSplit/>
        </w:trPr>
        <w:tc>
          <w:tcPr>
            <w:tcW w:type="dxa" w:w="176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Javier Iriarte Ibáñez</w:t>
            </w:r>
          </w:p>
        </w:tc>
        <w:tc>
          <w:tcPr>
            <w:tcW w:type="dxa" w:w="15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Director general de Vehículos (CAF Material Rodante)</w:t>
            </w:r>
          </w:p>
        </w:tc>
        <w:tc>
          <w:tcPr>
            <w:tcW w:type="dxa" w:w="7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2025</w:t>
            </w:r>
          </w:p>
        </w:tc>
        <w:tc>
          <w:tcPr>
            <w:tcW w:type="dxa" w:w="94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470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Ingeniero industrial (Tecnun) con MBA (IESE y UC Berkeley), ex McKinsey; vicepresidente del consejo de supervisión de Solaris desde 2018 y director de estrategia y transformación de CAF Rolling Stock desde 2020 [42]. Consejero delegado de Solaris de ene-2023 a jun-2025, cuando pasó a dirigir CAF Material Rodante [42, 43]. En esa etapa el margen EBIT de Autobuses subió de 0,9 % (1S22) a 4,3 % (2024) y 6,3 % (2025), el más alto desde la compra de Solaris en 2018 [10, 15].</w:t>
            </w:r>
          </w:p>
        </w:tc>
      </w:tr>
      <w:tr>
        <w:trPr>
          <w:cantSplit/>
        </w:trPr>
        <w:tc>
          <w:tcPr>
            <w:tcW w:type="dxa" w:w="17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Agata Stańda</w:t>
            </w:r>
          </w:p>
        </w:tc>
        <w:tc>
          <w:tcPr>
            <w:tcW w:type="dxa" w:w="152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Directora general de Autobuses (consejera delegada de Solaris)</w:t>
            </w:r>
          </w:p>
        </w:tc>
        <w:tc>
          <w:tcPr>
            <w:tcW w:type="dxa" w:w="7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2025</w:t>
            </w:r>
          </w:p>
        </w:tc>
        <w:tc>
          <w:tcPr>
            <w:tcW w:type="dxa" w:w="94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w:t>
            </w:r>
          </w:p>
        </w:tc>
        <w:tc>
          <w:tcPr>
            <w:tcW w:type="dxa" w:w="470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En Solaris desde feb-2020, donde fue miembro del consejo de dirección para estrategia y sostenibilidad; consejera delegada desde el 1-jul-2025; formada en la Universidad de Economía y Empresa de Poznań y en ESCP [43]. Solaris registró en el 1S26 sus cifras récord desde 2018 [8].</w:t>
            </w:r>
          </w:p>
        </w:tc>
      </w:tr>
    </w:tbl>
    <w:p>
      <w:pPr>
        <w:spacing w:after="160" w:before="0"/>
      </w:pPr>
    </w:p>
    <w:p>
      <w:pPr>
        <w:pStyle w:val="Heading2"/>
      </w:pPr>
      <w:r>
        <w:t xml:space="preserve">¿Cumple lo que promete?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876"/>
        <w:gridCol w:w="3796"/>
        <w:gridCol w:w="3796"/>
        <w:gridCol w:w="1170"/>
      </w:tblGrid>
      <w:tr>
        <w:trPr>
          <w:cantSplit/>
          <w:tblHeader/>
        </w:trPr>
        <w:tc>
          <w:tcPr>
            <w:tcW w:type="dxa" w:w="87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Año</w:t>
            </w:r>
          </w:p>
        </w:tc>
        <w:tc>
          <w:tcPr>
            <w:tcW w:type="dxa" w:w="379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Lo que prometió</w:t>
            </w:r>
          </w:p>
        </w:tc>
        <w:tc>
          <w:tcPr>
            <w:tcW w:type="dxa" w:w="379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Lo que logró</w:t>
            </w:r>
          </w:p>
        </w:tc>
        <w:tc>
          <w:tcPr>
            <w:tcW w:type="dxa" w:w="117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Cumplió</w:t>
            </w:r>
          </w:p>
        </w:tc>
      </w:tr>
      <w:tr>
        <w:trPr>
          <w:cantSplit/>
        </w:trPr>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2022</w:t>
            </w:r>
          </w:p>
        </w:tc>
        <w:tc>
          <w:tcPr>
            <w:tcW w:type="dxa" w:w="379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Al inicio de 2022 (antes de la guerra de Ucrania): ventas de Autobuses (Solaris) +10 % o más [39]. No se ha obtenido la guía completa del grupo.</w:t>
            </w:r>
          </w:p>
        </w:tc>
        <w:tc>
          <w:tcPr>
            <w:tcW w:type="dxa" w:w="379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Ventas del grupo 3.165 M EUR (+8 %), Autobuses −3 %; margen EBIT 4,4 % (5,6 % en 2021); c.100 M EUR de autobuses sin entregar por falta de componentes [39].</w:t>
            </w:r>
          </w:p>
        </w:tc>
        <w:tc>
          <w:tcPr>
            <w:tcW w:type="dxa" w:w="117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No</w:t>
            </w:r>
          </w:p>
        </w:tc>
      </w:tr>
      <w:tr>
        <w:trPr>
          <w:cantSplit/>
        </w:trPr>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2023</w:t>
            </w:r>
          </w:p>
        </w:tc>
        <w:tc>
          <w:tcPr>
            <w:tcW w:type="dxa" w:w="379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Book-to-bill ≥ 1 con contratación selectiva; ventas +10-15 %; mejora de rentabilidad frente a 2022; dividendo en línea con los resultados; deuda neta estable [39].</w:t>
            </w:r>
          </w:p>
        </w:tc>
        <w:tc>
          <w:tcPr>
            <w:tcW w:type="dxa" w:w="379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Contratación 4.775 M EUR (book-to-bill 1,2), ventas 3.825 M EUR (+21 %), EBIT 179 M EUR (+29 %) y margen 4,7 % (+0,3 p.p.); la empresa lo marca todo como cumplido [40].</w:t>
            </w:r>
          </w:p>
        </w:tc>
        <w:tc>
          <w:tcPr>
            <w:tcW w:type="dxa" w:w="117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Sí</w:t>
            </w:r>
          </w:p>
        </w:tc>
      </w:tr>
      <w:tr>
        <w:trPr>
          <w:cantSplit/>
        </w:trPr>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2024</w:t>
            </w:r>
          </w:p>
        </w:tc>
        <w:tc>
          <w:tcPr>
            <w:tcW w:type="dxa" w:w="379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Book-to-bill ≥ 1; ventas en el entorno del +10 %; mejora de rentabilidad frente a 2023; dividendo en línea con los resultados; DFN/EBITDA estable [40].</w:t>
            </w:r>
          </w:p>
        </w:tc>
        <w:tc>
          <w:tcPr>
            <w:tcW w:type="dxa" w:w="379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Book-to-bill 1,1; ventas +10 %; EBIT +21 % con margen 5,1 % (4,7 % en 2023); resultado atribuible +16 %; DPA 1,34 EUR (+21 %); DFN/EBITDA 0,7x (0,9x en 2023) [41].</w:t>
            </w:r>
          </w:p>
        </w:tc>
        <w:tc>
          <w:tcPr>
            <w:tcW w:type="dxa" w:w="117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Sí</w:t>
            </w:r>
          </w:p>
        </w:tc>
      </w:tr>
      <w:tr>
        <w:trPr>
          <w:cantSplit/>
        </w:trPr>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2025</w:t>
            </w:r>
          </w:p>
        </w:tc>
        <w:tc>
          <w:tcPr>
            <w:tcW w:type="dxa" w:w="379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Book-to-bill ≥ 1; ventas con crecimiento cercano al doble dígito; mejora de rentabilidad frente a 2024; dividendo en línea con los resultados; DFN/EBITDA estable [41].</w:t>
            </w:r>
          </w:p>
        </w:tc>
        <w:tc>
          <w:tcPr>
            <w:tcW w:type="dxa" w:w="379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Book-to-bill 1,3; ventas 4.487 M EUR (+7 %); EBIT 246 M EUR (+14 %) y margen 5,5 % (+0,4 p.p.); resultado atribuible +42 %; DPA propuesto 1,52 EUR (+14 %); DFN/EBITDA 0,5x. La empresa lo marca todo como cumplido, pero las ventas crecieron un 7 % frente al «cercano al doble dígito» [10].</w:t>
            </w:r>
          </w:p>
        </w:tc>
        <w:tc>
          <w:tcPr>
            <w:tcW w:type="dxa" w:w="117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Parcial</w:t>
            </w:r>
          </w:p>
        </w:tc>
      </w:tr>
      <w:tr>
        <w:trPr>
          <w:cantSplit/>
        </w:trPr>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2026</w:t>
            </w:r>
          </w:p>
        </w:tc>
        <w:tc>
          <w:tcPr>
            <w:tcW w:type="dxa" w:w="379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Book-to-bill ≥ 1; ventas con crecimiento de un dígito alto frente a 2025; mejora de rentabilidad; dividendo en línea con los resultados; DFN/EBITDA estable (sin compras); reafirmada el 30-jul-2026 [8, 10].</w:t>
            </w:r>
          </w:p>
        </w:tc>
        <w:tc>
          <w:tcPr>
            <w:tcW w:type="dxa" w:w="379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1S26: contratación 4.035 M EUR (book-to-bill 1,6), ventas 2.527 M EUR (+16 %), EBIT 150 M EUR (+32 %) con margen 5,9 % (+0,7 p.p.), DFN/EBITDA 0,5x. Ejercicio en curso [8].</w:t>
            </w:r>
          </w:p>
        </w:tc>
        <w:tc>
          <w:tcPr>
            <w:tcW w:type="dxa" w:w="117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Parcial</w:t>
            </w:r>
          </w:p>
        </w:tc>
      </w:tr>
      <w:tr>
        <w:trPr>
          <w:cantSplit/>
        </w:trPr>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Plan Estratégico 2026 (dic-2022)</w:t>
            </w:r>
          </w:p>
        </w:tc>
        <w:tc>
          <w:tcPr>
            <w:tcW w:type="dxa" w:w="3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Para 2026: ventas c.4.800 M EUR (x1,6 sobre 2021, con un caso base de compras de c.550 M EUR; c.4.400 M EUR orgánicas); EBIT c.300 M EUR (x1,8) con margen ≥ 6,3 % (Ferroviario ≥ 6,2 %, Autobuses ≥ 6,4 %); DFN/EBITDA c.2,2x tras compras o c.1,2x sin ellas; dividendos en progresión con los resultados [10, 15].</w:t>
            </w:r>
          </w:p>
        </w:tc>
        <w:tc>
          <w:tcPr>
            <w:tcW w:type="dxa" w:w="3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Ventas orgánicas de 4.400 M EUR superadas un año antes (4.487 M EUR en 2025) [10]; margen EBIT 5,5 % en 2025 (Ferroviario 5,2 %, Autobuses 6,3 %) y 5,9 % en el 1S26, por debajo del ≥ 6,3 %; EBIT 246 M EUR en 2025 frente a c.300 M EUR [8, 10]; las compras de c.550 M EUR no se hicieron y la DFN/EBITDA está en 0,5x [8, 10]. En feb-2026 la empresa etiquetó los objetivos de ventas y EBIT como «con M&amp;A» [10].</w:t>
            </w:r>
          </w:p>
        </w:tc>
        <w:tc>
          <w:tcPr>
            <w:tcW w:type="dxa" w:w="117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Parcial</w:t>
            </w:r>
          </w:p>
        </w:tc>
      </w:tr>
    </w:tbl>
    <w:p>
      <w:pPr>
        <w:spacing w:after="160" w:before="0"/>
      </w:pPr>
    </w:p>
    <w:p>
      <w:pPr>
        <w:spacing w:after="100"/>
      </w:pPr>
      <w:r>
        <w:t xml:space="preserve">Equipo estable y de casa: el consejero delegado (Martínez Ojinaga, desde 2021) y el presidente no ejecutivo (Arizkorreta, consejero desde 1991) son de CAF, la sucesión de 2021 se anunció con cuatro meses de antelación y los relevos de Solaris (2023 y 2025) fueron internos [1, 42, 43]. La credibilidad es aceptable en las guías anuales (2023 y 2024 cumplidas; 2025 a medias: ventas +7 % frente a «cercano al doble dígito») y floja en el plan de medio plazo: las ventas orgánicas del Plan 2026 se cumplieron un año antes, pero el margen EBIT (5,5 % en 2025 frente a ≥ 6,3 %) y el EBIT (246 M frente a ≈ 300 M) no, y en febrero de 2026 la empresa reetiquetó esos objetivos como «con M&amp;A» [10, 15]. La alta dirección tiene poco capital (el consejero delegado, un 0,036 %) y el incentivo a largo plazo 2023-2026 se mide con EBIT y emisiones, no con caja ni rentabilidad del capital [1].</w:t>
      </w:r>
    </w:p>
    <w:p>
      <w:pPr>
        <w:pStyle w:val="Heading1"/>
      </w:pPr>
      <w:r>
        <w:t xml:space="preserve">14. Gobierno corporativo</w:t>
      </w:r>
    </w:p>
    <w:p>
      <w:pPr>
        <w:pStyle w:val="Confianza"/>
        <w:spacing w:after="100"/>
      </w:pPr>
      <w:r>
        <w:t xml:space="preserve">Confianza: Alta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23"/>
        <w:gridCol w:w="2796"/>
        <w:gridCol w:w="2023"/>
        <w:gridCol w:w="2796"/>
      </w:tblGrid>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Consejeros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10</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Independientes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30 %</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Antigüedad media en el consejo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14,2 años</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Criterios de buen gobierno cumplidos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8 de 13 (1 sin dato)</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Cambios de presidente o primer ejecutivo (24 meses)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0</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160000"/>
            <wp:effectExtent l="0" t="0" r="0" b="0"/>
            <wp:docPr id="1018" name="Gráfico 18" descr="Composición del consejo (número de consejeros)"/>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18"/>
              </a:graphicData>
            </a:graphic>
          </wp:inline>
        </w:drawing>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443"/>
        <w:gridCol w:w="1900"/>
        <w:gridCol w:w="1493"/>
        <w:gridCol w:w="814"/>
        <w:gridCol w:w="2988"/>
      </w:tblGrid>
      <w:tr>
        <w:trPr>
          <w:cantSplit/>
          <w:tblHeader/>
        </w:trPr>
        <w:tc>
          <w:tcPr>
            <w:tcW w:type="dxa" w:w="244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Consejero</w:t>
            </w:r>
          </w:p>
        </w:tc>
        <w:tc>
          <w:tcPr>
            <w:tcW w:type="dxa" w:w="190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Cargo</w:t>
            </w:r>
          </w:p>
        </w:tc>
        <w:tc>
          <w:tcPr>
            <w:tcW w:type="dxa" w:w="149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Tipo</w:t>
            </w:r>
          </w:p>
        </w:tc>
        <w:tc>
          <w:tcPr>
            <w:tcW w:type="dxa" w:w="81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Desde</w:t>
            </w:r>
          </w:p>
        </w:tc>
        <w:tc>
          <w:tcPr>
            <w:tcW w:type="dxa" w:w="298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Comisiones</w:t>
            </w:r>
          </w:p>
        </w:tc>
      </w:tr>
      <w:tr>
        <w:trPr>
          <w:cantSplit/>
        </w:trPr>
        <w:tc>
          <w:tcPr>
            <w:tcW w:type="dxa" w:w="244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Andrés Arizkorreta García</w:t>
            </w:r>
          </w:p>
        </w:tc>
        <w:tc>
          <w:tcPr>
            <w:tcW w:type="dxa" w:w="190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Presidente no ejecutivo (consejero delegado hasta el 1-sep-2021)</w:t>
            </w:r>
          </w:p>
        </w:tc>
        <w:tc>
          <w:tcPr>
            <w:tcW w:type="dxa" w:w="149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Otro externo</w:t>
            </w:r>
          </w:p>
        </w:tc>
        <w:tc>
          <w:tcPr>
            <w:tcW w:type="dxa" w:w="81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1991</w:t>
            </w:r>
          </w:p>
        </w:tc>
        <w:tc>
          <w:tcPr>
            <w:tcW w:type="dxa" w:w="29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Ninguna</w:t>
            </w:r>
          </w:p>
        </w:tc>
      </w:tr>
      <w:tr>
        <w:trPr>
          <w:cantSplit/>
        </w:trPr>
        <w:tc>
          <w:tcPr>
            <w:tcW w:type="dxa" w:w="244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Javier Martínez Ojinaga</w:t>
            </w:r>
          </w:p>
        </w:tc>
        <w:tc>
          <w:tcPr>
            <w:tcW w:type="dxa" w:w="190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Consejero delegado (desde el 1-sep-2021)</w:t>
            </w:r>
          </w:p>
        </w:tc>
        <w:tc>
          <w:tcPr>
            <w:tcW w:type="dxa" w:w="149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Ejecutivo</w:t>
            </w:r>
          </w:p>
        </w:tc>
        <w:tc>
          <w:tcPr>
            <w:tcW w:type="dxa" w:w="81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2015</w:t>
            </w:r>
          </w:p>
        </w:tc>
        <w:tc>
          <w:tcPr>
            <w:tcW w:type="dxa" w:w="29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Ninguna</w:t>
            </w:r>
          </w:p>
        </w:tc>
      </w:tr>
      <w:tr>
        <w:trPr>
          <w:cantSplit/>
        </w:trPr>
        <w:tc>
          <w:tcPr>
            <w:tcW w:type="dxa" w:w="244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Marta Baztarrica Lizarbe</w:t>
            </w:r>
          </w:p>
        </w:tc>
        <w:tc>
          <w:tcPr>
            <w:tcW w:type="dxa" w:w="190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Consejera secretaria; directora legal y de cumplimiento</w:t>
            </w:r>
          </w:p>
        </w:tc>
        <w:tc>
          <w:tcPr>
            <w:tcW w:type="dxa" w:w="149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Ejecutivo</w:t>
            </w:r>
          </w:p>
        </w:tc>
        <w:tc>
          <w:tcPr>
            <w:tcW w:type="dxa" w:w="81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2016</w:t>
            </w:r>
          </w:p>
        </w:tc>
        <w:tc>
          <w:tcPr>
            <w:tcW w:type="dxa" w:w="29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Secretaria del consejo y de las comisiones</w:t>
            </w:r>
          </w:p>
        </w:tc>
      </w:tr>
      <w:tr>
        <w:trPr>
          <w:cantSplit/>
        </w:trPr>
        <w:tc>
          <w:tcPr>
            <w:tcW w:type="dxa" w:w="244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Idoia Zenarrutzabeitia Beldarrain</w:t>
            </w:r>
          </w:p>
        </w:tc>
        <w:tc>
          <w:tcPr>
            <w:tcW w:type="dxa" w:w="190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Consejera (propuesta por Kutxabank)</w:t>
            </w:r>
          </w:p>
        </w:tc>
        <w:tc>
          <w:tcPr>
            <w:tcW w:type="dxa" w:w="149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Dominical</w:t>
            </w:r>
          </w:p>
        </w:tc>
        <w:tc>
          <w:tcPr>
            <w:tcW w:type="dxa" w:w="81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2020</w:t>
            </w:r>
          </w:p>
        </w:tc>
        <w:tc>
          <w:tcPr>
            <w:tcW w:type="dxa" w:w="29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Ninguna</w:t>
            </w:r>
          </w:p>
        </w:tc>
      </w:tr>
      <w:tr>
        <w:trPr>
          <w:cantSplit/>
        </w:trPr>
        <w:tc>
          <w:tcPr>
            <w:tcW w:type="dxa" w:w="244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Manuel Domínguez de la Maza</w:t>
            </w:r>
          </w:p>
        </w:tc>
        <w:tc>
          <w:tcPr>
            <w:tcW w:type="dxa" w:w="190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Consejero (propuesto por Indumenta Pueri)</w:t>
            </w:r>
          </w:p>
        </w:tc>
        <w:tc>
          <w:tcPr>
            <w:tcW w:type="dxa" w:w="149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Dominical</w:t>
            </w:r>
          </w:p>
        </w:tc>
        <w:tc>
          <w:tcPr>
            <w:tcW w:type="dxa" w:w="81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2020</w:t>
            </w:r>
          </w:p>
        </w:tc>
        <w:tc>
          <w:tcPr>
            <w:tcW w:type="dxa" w:w="29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Ninguna</w:t>
            </w:r>
          </w:p>
        </w:tc>
      </w:tr>
      <w:tr>
        <w:trPr>
          <w:cantSplit/>
        </w:trPr>
        <w:tc>
          <w:tcPr>
            <w:tcW w:type="dxa" w:w="244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Begoña Beltrán de Heredia Villa</w:t>
            </w:r>
          </w:p>
        </w:tc>
        <w:tc>
          <w:tcPr>
            <w:tcW w:type="dxa" w:w="190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Consejera</w:t>
            </w:r>
          </w:p>
        </w:tc>
        <w:tc>
          <w:tcPr>
            <w:tcW w:type="dxa" w:w="149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Independiente</w:t>
            </w:r>
          </w:p>
        </w:tc>
        <w:tc>
          <w:tcPr>
            <w:tcW w:type="dxa" w:w="81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2023</w:t>
            </w:r>
          </w:p>
        </w:tc>
        <w:tc>
          <w:tcPr>
            <w:tcW w:type="dxa" w:w="29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Auditoría (presidenta)</w:t>
            </w:r>
          </w:p>
        </w:tc>
      </w:tr>
      <w:tr>
        <w:trPr>
          <w:cantSplit/>
        </w:trPr>
        <w:tc>
          <w:tcPr>
            <w:tcW w:type="dxa" w:w="244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Julián Gracia Palacín</w:t>
            </w:r>
          </w:p>
        </w:tc>
        <w:tc>
          <w:tcPr>
            <w:tcW w:type="dxa" w:w="190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Consejero</w:t>
            </w:r>
          </w:p>
        </w:tc>
        <w:tc>
          <w:tcPr>
            <w:tcW w:type="dxa" w:w="149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Independiente</w:t>
            </w:r>
          </w:p>
        </w:tc>
        <w:tc>
          <w:tcPr>
            <w:tcW w:type="dxa" w:w="81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2017</w:t>
            </w:r>
          </w:p>
        </w:tc>
        <w:tc>
          <w:tcPr>
            <w:tcW w:type="dxa" w:w="29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Nombramientos y Retribuciones (presidente)</w:t>
            </w:r>
          </w:p>
        </w:tc>
      </w:tr>
      <w:tr>
        <w:trPr>
          <w:cantSplit/>
        </w:trPr>
        <w:tc>
          <w:tcPr>
            <w:tcW w:type="dxa" w:w="244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Carmen Allo Pérez</w:t>
            </w:r>
          </w:p>
        </w:tc>
        <w:tc>
          <w:tcPr>
            <w:tcW w:type="dxa" w:w="190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Consejera</w:t>
            </w:r>
          </w:p>
        </w:tc>
        <w:tc>
          <w:tcPr>
            <w:tcW w:type="dxa" w:w="149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Independiente</w:t>
            </w:r>
          </w:p>
        </w:tc>
        <w:tc>
          <w:tcPr>
            <w:tcW w:type="dxa" w:w="81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2016</w:t>
            </w:r>
          </w:p>
        </w:tc>
        <w:tc>
          <w:tcPr>
            <w:tcW w:type="dxa" w:w="29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Auditoría; Nombramientos y Retribuciones</w:t>
            </w:r>
          </w:p>
        </w:tc>
      </w:tr>
      <w:tr>
        <w:trPr>
          <w:cantSplit/>
        </w:trPr>
        <w:tc>
          <w:tcPr>
            <w:tcW w:type="dxa" w:w="244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Juan José Arrieta Sudupe</w:t>
            </w:r>
          </w:p>
        </w:tc>
        <w:tc>
          <w:tcPr>
            <w:tcW w:type="dxa" w:w="190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Consejero (más de 12 años en el consejo)</w:t>
            </w:r>
          </w:p>
        </w:tc>
        <w:tc>
          <w:tcPr>
            <w:tcW w:type="dxa" w:w="149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Otro externo</w:t>
            </w:r>
          </w:p>
        </w:tc>
        <w:tc>
          <w:tcPr>
            <w:tcW w:type="dxa" w:w="81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2008</w:t>
            </w:r>
          </w:p>
        </w:tc>
        <w:tc>
          <w:tcPr>
            <w:tcW w:type="dxa" w:w="29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Auditoría</w:t>
            </w:r>
          </w:p>
        </w:tc>
      </w:tr>
      <w:tr>
        <w:trPr>
          <w:cantSplit/>
        </w:trPr>
        <w:tc>
          <w:tcPr>
            <w:tcW w:type="dxa" w:w="244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Luis Miguel Arconada Echarri</w:t>
            </w:r>
          </w:p>
        </w:tc>
        <w:tc>
          <w:tcPr>
            <w:tcW w:type="dxa" w:w="190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Consejero (más de 12 años en el consejo)</w:t>
            </w:r>
          </w:p>
        </w:tc>
        <w:tc>
          <w:tcPr>
            <w:tcW w:type="dxa" w:w="149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Otro externo</w:t>
            </w:r>
          </w:p>
        </w:tc>
        <w:tc>
          <w:tcPr>
            <w:tcW w:type="dxa" w:w="81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1992</w:t>
            </w:r>
          </w:p>
        </w:tc>
        <w:tc>
          <w:tcPr>
            <w:tcW w:type="dxa" w:w="298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Nombramientos y Retribuciones</w:t>
            </w:r>
          </w:p>
        </w:tc>
      </w:tr>
    </w:tbl>
    <w:p>
      <w:pPr>
        <w:spacing w:after="16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6236"/>
        <w:gridCol w:w="1984"/>
        <w:gridCol w:w="1418"/>
      </w:tblGrid>
      <w:tr>
        <w:trPr>
          <w:cantSplit/>
          <w:tblHeader/>
        </w:trPr>
        <w:tc>
          <w:tcPr>
            <w:tcW w:type="dxa" w:w="623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Criterio</w:t>
            </w:r>
          </w:p>
        </w:tc>
        <w:tc>
          <w:tcPr>
            <w:tcW w:type="dxa" w:w="198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Dato</w:t>
            </w:r>
          </w:p>
        </w:tc>
        <w:tc>
          <w:tcPr>
            <w:tcW w:type="dxa" w:w="141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Resultado</w:t>
            </w:r>
          </w:p>
        </w:tc>
      </w:tr>
      <w:tr>
        <w:trPr>
          <w:cantSplit/>
        </w:trPr>
        <w:tc>
          <w:tcPr>
            <w:tcW w:type="dxa" w:w="62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Consejeros independientes ≥ 50 % (≥ 33 % si hay accionista de control)</w:t>
            </w:r>
          </w:p>
        </w:tc>
        <w:tc>
          <w:tcPr>
            <w:tcW w:type="dxa" w:w="19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30 %</w:t>
            </w:r>
          </w:p>
        </w:tc>
        <w:tc>
          <w:tcPr>
            <w:tcW w:type="dxa" w:w="141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No cumple</w:t>
            </w:r>
          </w:p>
        </w:tc>
      </w:tr>
      <w:tr>
        <w:trPr>
          <w:cantSplit/>
        </w:trPr>
        <w:tc>
          <w:tcPr>
            <w:tcW w:type="dxa" w:w="62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Presidencia sin vínculo familiar ni profesional con el accionista de control</w:t>
            </w:r>
          </w:p>
        </w:tc>
        <w:tc>
          <w:tcPr>
            <w:tcW w:type="dxa" w:w="19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Sin control</w:t>
            </w:r>
          </w:p>
        </w:tc>
        <w:tc>
          <w:tcPr>
            <w:tcW w:type="dxa" w:w="141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Cumple</w:t>
            </w:r>
          </w:p>
        </w:tc>
      </w:tr>
      <w:tr>
        <w:trPr>
          <w:cantSplit/>
        </w:trPr>
        <w:tc>
          <w:tcPr>
            <w:tcW w:type="dxa" w:w="62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Presidente no ejecutivo, o consejero coordinador independiente</w:t>
            </w:r>
          </w:p>
        </w:tc>
        <w:tc>
          <w:tcPr>
            <w:tcW w:type="dxa" w:w="19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Separados</w:t>
            </w:r>
          </w:p>
        </w:tc>
        <w:tc>
          <w:tcPr>
            <w:tcW w:type="dxa" w:w="141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Cumple</w:t>
            </w:r>
          </w:p>
        </w:tc>
      </w:tr>
      <w:tr>
        <w:trPr>
          <w:cantSplit/>
        </w:trPr>
        <w:tc>
          <w:tcPr>
            <w:tcW w:type="dxa" w:w="62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Comisión de auditoría con mayoría de independientes y presidida por uno</w:t>
            </w:r>
          </w:p>
        </w:tc>
        <w:tc>
          <w:tcPr>
            <w:tcW w:type="dxa" w:w="19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Sí</w:t>
            </w:r>
          </w:p>
        </w:tc>
        <w:tc>
          <w:tcPr>
            <w:tcW w:type="dxa" w:w="141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Cumple</w:t>
            </w:r>
          </w:p>
        </w:tc>
      </w:tr>
      <w:tr>
        <w:trPr>
          <w:cantSplit/>
        </w:trPr>
        <w:tc>
          <w:tcPr>
            <w:tcW w:type="dxa" w:w="62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Ningún consejero «otro externo» con más de 12 años</w:t>
            </w:r>
          </w:p>
        </w:tc>
        <w:tc>
          <w:tcPr>
            <w:tcW w:type="dxa" w:w="19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Andrés Arizkorreta García, Juan José Arrieta Sudupe, Luis Miguel Arconada Echarri</w:t>
            </w:r>
          </w:p>
        </w:tc>
        <w:tc>
          <w:tcPr>
            <w:tcW w:type="dxa" w:w="141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No cumple</w:t>
            </w:r>
          </w:p>
        </w:tc>
      </w:tr>
      <w:tr>
        <w:trPr>
          <w:cantSplit/>
        </w:trPr>
        <w:tc>
          <w:tcPr>
            <w:tcW w:type="dxa" w:w="62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Estabilidad de la cúpula: como mucho un cambio de presidente o primer ejecutivo en 24 meses</w:t>
            </w:r>
          </w:p>
        </w:tc>
        <w:tc>
          <w:tcPr>
            <w:tcW w:type="dxa" w:w="19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0 cambios</w:t>
            </w:r>
          </w:p>
        </w:tc>
        <w:tc>
          <w:tcPr>
            <w:tcW w:type="dxa" w:w="141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Cumple</w:t>
            </w:r>
          </w:p>
        </w:tc>
      </w:tr>
      <w:tr>
        <w:trPr>
          <w:cantSplit/>
        </w:trPr>
        <w:tc>
          <w:tcPr>
            <w:tcW w:type="dxa" w:w="62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Peor voto en contra sobre remuneración (3 juntas, capital libre) ≤ 20 %</w:t>
            </w:r>
          </w:p>
        </w:tc>
        <w:tc>
          <w:tcPr>
            <w:tcW w:type="dxa" w:w="19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4,8 % en contra</w:t>
            </w:r>
          </w:p>
        </w:tc>
        <w:tc>
          <w:tcPr>
            <w:tcW w:type="dxa" w:w="141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Cumple</w:t>
            </w:r>
          </w:p>
        </w:tc>
      </w:tr>
      <w:tr>
        <w:trPr>
          <w:cantSplit/>
        </w:trPr>
        <w:tc>
          <w:tcPr>
            <w:tcW w:type="dxa" w:w="62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Variable a largo plazo ligado a rentabilidad (ROIC, TSR, FCF)</w:t>
            </w:r>
          </w:p>
        </w:tc>
        <w:tc>
          <w:tcPr>
            <w:tcW w:type="dxa" w:w="19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No</w:t>
            </w:r>
          </w:p>
        </w:tc>
        <w:tc>
          <w:tcPr>
            <w:tcW w:type="dxa" w:w="141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No cumple</w:t>
            </w:r>
          </w:p>
        </w:tc>
      </w:tr>
      <w:tr>
        <w:trPr>
          <w:cantSplit/>
        </w:trPr>
        <w:tc>
          <w:tcPr>
            <w:tcW w:type="dxa" w:w="62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Una acción, un voto, sin blindajes ni límites de voto estatutarios</w:t>
            </w:r>
          </w:p>
        </w:tc>
        <w:tc>
          <w:tcPr>
            <w:tcW w:type="dxa" w:w="19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Sí</w:t>
            </w:r>
          </w:p>
        </w:tc>
        <w:tc>
          <w:tcPr>
            <w:tcW w:type="dxa" w:w="141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Cumple</w:t>
            </w:r>
          </w:p>
        </w:tc>
      </w:tr>
      <w:tr>
        <w:trPr>
          <w:cantSplit/>
        </w:trPr>
        <w:tc>
          <w:tcPr>
            <w:tcW w:type="dxa" w:w="62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Sin operaciones vinculadas relevantes</w:t>
            </w:r>
          </w:p>
        </w:tc>
        <w:tc>
          <w:tcPr>
            <w:tcW w:type="dxa" w:w="19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Hay</w:t>
            </w:r>
          </w:p>
        </w:tc>
        <w:tc>
          <w:tcPr>
            <w:tcW w:type="dxa" w:w="141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No cumple</w:t>
            </w:r>
          </w:p>
        </w:tc>
      </w:tr>
      <w:tr>
        <w:trPr>
          <w:cantSplit/>
        </w:trPr>
        <w:tc>
          <w:tcPr>
            <w:tcW w:type="dxa" w:w="62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Auditor con 10 años o menos en el cargo</w:t>
            </w:r>
          </w:p>
        </w:tc>
        <w:tc>
          <w:tcPr>
            <w:tcW w:type="dxa" w:w="19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5 años</w:t>
            </w:r>
          </w:p>
        </w:tc>
        <w:tc>
          <w:tcPr>
            <w:tcW w:type="dxa" w:w="141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Cumple</w:t>
            </w:r>
          </w:p>
        </w:tc>
      </w:tr>
      <w:tr>
        <w:trPr>
          <w:cantSplit/>
        </w:trPr>
        <w:tc>
          <w:tcPr>
            <w:tcW w:type="dxa" w:w="62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Opinión de auditoría sin salvedades</w:t>
            </w:r>
          </w:p>
        </w:tc>
        <w:tc>
          <w:tcPr>
            <w:tcW w:type="dxa" w:w="19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Favorable</w:t>
            </w:r>
          </w:p>
        </w:tc>
        <w:tc>
          <w:tcPr>
            <w:tcW w:type="dxa" w:w="141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Cumple</w:t>
            </w:r>
          </w:p>
        </w:tc>
      </w:tr>
      <w:tr>
        <w:trPr>
          <w:cantSplit/>
        </w:trPr>
        <w:tc>
          <w:tcPr>
            <w:tcW w:type="dxa" w:w="62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Directivos compradores netos en 12 meses (o sin ventas relevantes)</w:t>
            </w:r>
          </w:p>
        </w:tc>
        <w:tc>
          <w:tcPr>
            <w:tcW w:type="dxa" w:w="198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Sin dato</w:t>
            </w:r>
          </w:p>
        </w:tc>
        <w:tc>
          <w:tcPr>
            <w:tcW w:type="dxa" w:w="141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Sin dato</w:t>
            </w:r>
          </w:p>
        </w:tc>
      </w:tr>
    </w:tbl>
    <w:p>
      <w:pPr>
        <w:spacing w:after="160" w:before="0"/>
      </w:pPr>
    </w:p>
    <w:p>
      <w:pPr>
        <w:pStyle w:val="Heading2"/>
      </w:pPr>
      <w:r>
        <w:t xml:space="preserve">Accionariado</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341"/>
        <w:gridCol w:w="1156"/>
        <w:gridCol w:w="1799"/>
        <w:gridCol w:w="3342"/>
      </w:tblGrid>
      <w:tr>
        <w:trPr>
          <w:cantSplit/>
          <w:tblHeader/>
        </w:trPr>
        <w:tc>
          <w:tcPr>
            <w:tcW w:type="dxa" w:w="334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Accionista</w:t>
            </w:r>
          </w:p>
        </w:tc>
        <w:tc>
          <w:tcPr>
            <w:tcW w:type="dxa" w:w="115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 capital</w:t>
            </w:r>
          </w:p>
        </w:tc>
        <w:tc>
          <w:tcPr>
            <w:tcW w:type="dxa" w:w="179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Tipo</w:t>
            </w:r>
          </w:p>
        </w:tc>
        <w:tc>
          <w:tcPr>
            <w:tcW w:type="dxa" w:w="334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Movimientos recientes</w:t>
            </w:r>
          </w:p>
        </w:tc>
      </w:tr>
      <w:tr>
        <w:trPr>
          <w:cantSplit/>
        </w:trPr>
        <w:tc>
          <w:tcPr>
            <w:tcW w:type="dxa" w:w="334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Cartera Social, S.A. (sociedad de los empleados de CAF)</w:t>
            </w:r>
          </w:p>
        </w:tc>
        <w:tc>
          <w:tcPr>
            <w:tcW w:type="dxa" w:w="11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23,12 %</w:t>
            </w:r>
          </w:p>
        </w:tc>
        <w:tc>
          <w:tcPr>
            <w:tcW w:type="dxa" w:w="17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Vehículo de participación de los trabajadores (sus accionistas son empleados de CAF); sin consejero dominical</w:t>
            </w:r>
          </w:p>
        </w:tc>
        <w:tc>
          <w:tcPr>
            <w:tcW w:type="dxa" w:w="33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Baja continua: 24,04 % (cierre 2023), 23,75 % (2024), 23,33 % (2025) y 23,12 % (30-jun-2026) [1, 2, 6]</w:t>
            </w:r>
          </w:p>
        </w:tc>
      </w:tr>
      <w:tr>
        <w:trPr>
          <w:cantSplit/>
        </w:trPr>
        <w:tc>
          <w:tcPr>
            <w:tcW w:type="dxa" w:w="334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Bilbao Bizkaia Kutxa Fundación Bancaria (Kutxabank)</w:t>
            </w:r>
          </w:p>
        </w:tc>
        <w:tc>
          <w:tcPr>
            <w:tcW w:type="dxa" w:w="11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13,23 %</w:t>
            </w:r>
          </w:p>
        </w:tc>
        <w:tc>
          <w:tcPr>
            <w:tcW w:type="dxa" w:w="17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Fundación bancaria vasca: 3,00 % directo y 10,23 % a través de Kutxabank; propuso a la consejera dominical Zenarrutzabeitia</w:t>
            </w:r>
          </w:p>
        </w:tc>
        <w:tc>
          <w:tcPr>
            <w:tcW w:type="dxa" w:w="33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Del 14,06 % (cierre 2023) al 13,23 % (cierre 2024) y sin cambio desde entonces (13,23 % a 30-jun-2026); la fundación tiene un 3 % directo desde dic-2024 [1, 2, 6]</w:t>
            </w:r>
          </w:p>
        </w:tc>
      </w:tr>
      <w:tr>
        <w:trPr>
          <w:cantSplit/>
        </w:trPr>
        <w:tc>
          <w:tcPr>
            <w:tcW w:type="dxa" w:w="334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Fundació Privada Daniel Bravo Andreu (vía Danimar 1990, S.L.)</w:t>
            </w:r>
          </w:p>
        </w:tc>
        <w:tc>
          <w:tcPr>
            <w:tcW w:type="dxa" w:w="11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5,23 %</w:t>
            </w:r>
          </w:p>
        </w:tc>
        <w:tc>
          <w:tcPr>
            <w:tcW w:type="dxa" w:w="17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Fundación familiar; sin consejero</w:t>
            </w:r>
          </w:p>
        </w:tc>
        <w:tc>
          <w:tcPr>
            <w:tcW w:type="dxa" w:w="33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El 7-ene-2025 heredó la participación de Daniel Bravo Andreu (5,00 % al cierre de 2024); 5,23 % a 30-jun-2026 [1, 2, 6]</w:t>
            </w:r>
          </w:p>
        </w:tc>
      </w:tr>
      <w:tr>
        <w:trPr>
          <w:cantSplit/>
        </w:trPr>
        <w:tc>
          <w:tcPr>
            <w:tcW w:type="dxa" w:w="334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Indumenta Pueri, S.L. (vía Global Portfolio Investments, S.L.)</w:t>
            </w:r>
          </w:p>
        </w:tc>
        <w:tc>
          <w:tcPr>
            <w:tcW w:type="dxa" w:w="11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5,02 %</w:t>
            </w:r>
          </w:p>
        </w:tc>
        <w:tc>
          <w:tcPr>
            <w:tcW w:type="dxa" w:w="17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Family office (grupo Mayoral); propuso al consejero dominical Domínguez de la Maza</w:t>
            </w:r>
          </w:p>
        </w:tc>
        <w:tc>
          <w:tcPr>
            <w:tcW w:type="dxa" w:w="33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Sin cambio (5,02 % en 2024, 2025 y a 30-jun-2026) [1, 2, 6]</w:t>
            </w:r>
          </w:p>
        </w:tc>
      </w:tr>
      <w:tr>
        <w:trPr>
          <w:cantSplit/>
        </w:trPr>
        <w:tc>
          <w:tcPr>
            <w:tcW w:type="dxa" w:w="334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Instituto Vasco de Finanzas (vía Finkatze Kapitala Finkatuz, S.A.U.)</w:t>
            </w:r>
          </w:p>
        </w:tc>
        <w:tc>
          <w:tcPr>
            <w:tcW w:type="dxa" w:w="11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3,00 %</w:t>
            </w:r>
          </w:p>
        </w:tc>
        <w:tc>
          <w:tcPr>
            <w:tcW w:type="dxa" w:w="17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Instituto público del Gobierno Vasco; sin consejero</w:t>
            </w:r>
          </w:p>
        </w:tc>
        <w:tc>
          <w:tcPr>
            <w:tcW w:type="dxa" w:w="33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Sin cambio (3,00 % en 2024, 2025 y a 30-jun-2026) [1, 2, 6]</w:t>
            </w:r>
          </w:p>
        </w:tc>
      </w:tr>
      <w:tr>
        <w:trPr>
          <w:cantSplit/>
        </w:trPr>
        <w:tc>
          <w:tcPr>
            <w:tcW w:type="dxa" w:w="334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Independance AM</w:t>
            </w:r>
          </w:p>
        </w:tc>
        <w:tc>
          <w:tcPr>
            <w:tcW w:type="dxa" w:w="11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3,27 %</w:t>
            </w:r>
          </w:p>
        </w:tc>
        <w:tc>
          <w:tcPr>
            <w:tcW w:type="dxa" w:w="17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Gestora de fondos (inversor financiero); sin consejero</w:t>
            </w:r>
          </w:p>
        </w:tc>
        <w:tc>
          <w:tcPr>
            <w:tcW w:type="dxa" w:w="33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Nueva participación significativa en el 1S26: no figuraba al cierre de 2025 y aparece con un 3,27 % a 30-jun-2026 [6]</w:t>
            </w:r>
          </w:p>
        </w:tc>
      </w:tr>
      <w:tr>
        <w:trPr>
          <w:cantSplit/>
        </w:trPr>
        <w:tc>
          <w:tcPr>
            <w:tcW w:type="dxa" w:w="334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Autocartera (contrato de liquidez con Kutxabank Investment)</w:t>
            </w:r>
          </w:p>
        </w:tc>
        <w:tc>
          <w:tcPr>
            <w:tcW w:type="dxa" w:w="11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0,09 %</w:t>
            </w:r>
          </w:p>
        </w:tc>
        <w:tc>
          <w:tcPr>
            <w:tcW w:type="dxa" w:w="17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Autocartera</w:t>
            </w:r>
          </w:p>
        </w:tc>
        <w:tc>
          <w:tcPr>
            <w:tcW w:type="dxa" w:w="33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30.373 acciones al 31-dic-2025; solo operativa del contrato de liquidez [1]</w:t>
            </w:r>
          </w:p>
        </w:tc>
      </w:tr>
      <w:tr>
        <w:trPr>
          <w:cantSplit/>
        </w:trPr>
        <w:tc>
          <w:tcPr>
            <w:tcW w:type="dxa" w:w="334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Consejeros (en conjunto)</w:t>
            </w:r>
          </w:p>
        </w:tc>
        <w:tc>
          <w:tcPr>
            <w:tcW w:type="dxa" w:w="115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0,10 %</w:t>
            </w:r>
          </w:p>
        </w:tc>
        <w:tc>
          <w:tcPr>
            <w:tcW w:type="dxa" w:w="179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Consejo de administración</w:t>
            </w:r>
          </w:p>
        </w:tc>
        <w:tc>
          <w:tcPr>
            <w:tcW w:type="dxa" w:w="334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Martínez Ojinaga 0,036 %, Baztarrica 0,050 %, Arrieta 0,009 %, Beltrán de Heredia 0,001 % [1]</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340000"/>
            <wp:effectExtent l="0" t="0" r="0" b="0"/>
            <wp:docPr id="1019" name="Gráfico 19" descr="Accionistas significativos (% del capital)"/>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19"/>
              </a:graphicData>
            </a:graphic>
          </wp:inline>
        </w:drawing>
      </w:r>
    </w:p>
    <w:p>
      <w:pPr>
        <w:pStyle w:val="Heading2"/>
      </w:pPr>
      <w:r>
        <w:t xml:space="preserve">Remuneración</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23"/>
        <w:gridCol w:w="2796"/>
        <w:gridCol w:w="2023"/>
        <w:gridCol w:w="2796"/>
      </w:tblGrid>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Remuneración total del primer ejecutivo (2025)</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0,92 M</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Fijo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0,63 M</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Variable anual</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0,28 M</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Variable a largo plazo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0,00 M</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Peor voto a favor (3 juntas)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91,1 %</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Peor voto en contra (3 juntas)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2,5 %</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Ratio sobre salario medio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18x</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p>
        </w:tc>
      </w:tr>
    </w:tbl>
    <w:p>
      <w:pPr>
        <w:spacing w:after="160" w:before="0"/>
      </w:pPr>
    </w:p>
    <w:p>
      <w:pPr>
        <w:spacing w:after="100"/>
      </w:pPr>
      <w:r>
        <w:t xml:space="preserve">El consejero delegado devengó 0,916 M EUR en 2025 (+16,2 %), con el variable anual al 100 % [1]. El variable anual pesa BAI 30 % (con umbral de acceso), flujo de caja 25 %, ventas 15 %, contratación 15 % y métricas no financieras 15 % [1]. El incentivo a largo plazo 2023-2026, en metálico, mide un 85 % el EBIT agregado (objetivo 981,6 M EUR; tope del 124 % solo si el margen de 2026 supera la media de Alstom, Stadler y Talgo) y un 15 % las emisiones: sin ROIC, TSR ni caja [1]. La política 2027-2029 sube el fijo del consejero delegado de 510.000 a 600.000 EUR y anuncia un plan 2027-2030 pagado en acciones y con TSR relativo [38]. Hay clawback; la indemnización, solo del consejero delegado, tiene un tope de dos años de fijo [1, 38]. Ningún voto de remuneración bajó del 91 % a favor en tres juntas [35, 36, 37].</w:t>
      </w:r>
    </w:p>
    <w:p>
      <w:pPr>
        <w:pStyle w:val="Heading2"/>
      </w:pPr>
      <w:r>
        <w:t xml:space="preserve">Operaciones vinculadas, estructura de control y defensas</w:t>
      </w:r>
    </w:p>
    <w:p>
      <w:pPr>
        <w:spacing w:after="100"/>
      </w:pPr>
      <w:r>
        <w:t xml:space="preserve">Nadie controla CAF según el IAGC: no hay pactos parasociales comunicados ni acción concertada, y la sociedad declara que nadie ejerce control [1]. El núcleo estable es vasco: Cartera Social (empleados) 23,12 %, BBK-Kutxabank 13,23 % e Instituto Vasco de Finanzas 3,00 % suman un 39,35 % del capital a 30-jun-2026 [6], cerca de la mitad del capital que vota con asistencias del 80 % [1, 37]. Cartera Social no tiene consejero; Kutxabank e Indumenta Pueri, uno cada uno [1]. Una acción, un voto, sin clases ni límites; para asistir a la junta hacen falta 1.000 acciones agrupables, aunque se vota a distancia con una [1]. No hay medidas de neutralización ante una OPA [1]. Operaciones vinculadas con Kutxabank por 35,1 M EUR en 2025, sobre todo un crédito de 35 M EUR [1]. La junta de 2026 autorizó ampliar capital hasta la mitad en cinco años con posible exclusión del derecho preferente [6, 37].</w:t>
      </w:r>
    </w:p>
    <w:p>
      <w:pPr>
        <w:pStyle w:val="Heading2"/>
      </w:pPr>
      <w:r>
        <w:t xml:space="preserve">Señales de alerta</w:t>
      </w:r>
    </w:p>
    <w:p>
      <w:pPr>
        <w:pStyle w:val="ListParagraph"/>
        <w:numPr>
          <w:ilvl w:val="0"/>
          <w:numId w:val="2"/>
        </w:numPr>
        <w:spacing w:after="60"/>
      </w:pPr>
      <w:r>
        <w:t xml:space="preserve">Presidente no ejecutivo con 35 años en el consejo y 15 como consejero delegado (Arizkorreta, consejero desde 1991): reelegido en 2026 con un 17,59 % en contra [1, 37].</w:t>
      </w:r>
    </w:p>
    <w:p>
      <w:pPr>
        <w:pStyle w:val="ListParagraph"/>
        <w:numPr>
          <w:ilvl w:val="0"/>
          <w:numId w:val="2"/>
        </w:numPr>
        <w:spacing w:after="60"/>
      </w:pPr>
      <w:r>
        <w:t xml:space="preserve">Solo 3 independientes de 10 (30 %), por debajo del tercio que pide la Recomendación 17 del Código de Buen Gobierno; dos consejeros perdieron la independencia por superar 12 años (Arrieta desde 2008, Arconada desde 1992) y no hay consejero coordinador [1].</w:t>
      </w:r>
    </w:p>
    <w:p>
      <w:pPr>
        <w:pStyle w:val="ListParagraph"/>
        <w:numPr>
          <w:ilvl w:val="0"/>
          <w:numId w:val="2"/>
        </w:numPr>
        <w:spacing w:after="60"/>
      </w:pPr>
      <w:r>
        <w:t xml:space="preserve">La delegación para ampliar capital con exclusión del derecho preferente (junta de 2026) salió con un 25,63 % en contra; la reelección de los dos dominicales en 2024, con un 25,07 % en contra [35, 37].</w:t>
      </w:r>
    </w:p>
    <w:p>
      <w:pPr>
        <w:pStyle w:val="ListParagraph"/>
        <w:numPr>
          <w:ilvl w:val="0"/>
          <w:numId w:val="2"/>
        </w:numPr>
        <w:spacing w:after="60"/>
      </w:pPr>
      <w:r>
        <w:t xml:space="preserve">Operaciones vinculadas con Kutxabank (accionista del 13,23 % con consejera dominical) por 35,1 M EUR en 2025 y autorización para depositar hasta 50 M EUR de excedentes en el banco [1].</w:t>
      </w:r>
    </w:p>
    <w:p>
      <w:pPr>
        <w:pStyle w:val="ListParagraph"/>
        <w:numPr>
          <w:ilvl w:val="0"/>
          <w:numId w:val="2"/>
        </w:numPr>
        <w:spacing w:after="60"/>
      </w:pPr>
      <w:r>
        <w:t xml:space="preserve">La participación de los empleados (Cartera Social) baja cada año: del 24,04 % en 2023 al 23,12 % en jun-2026; y entra un inversor financiero nuevo (Independance AM, 3,27 %) [1, 2, 6].</w:t>
      </w:r>
    </w:p>
    <w:p>
      <w:r>
        <w:br w:type="page"/>
      </w:r>
    </w:p>
    <w:p>
      <w:pPr>
        <w:pStyle w:val="Parte"/>
      </w:pPr>
      <w:r>
        <w:t xml:space="preserve">Parte IV — Mercado y valoración</w:t>
      </w:r>
    </w:p>
    <w:p>
      <w:pPr>
        <w:pStyle w:val="Heading1"/>
      </w:pPr>
      <w:r>
        <w:t xml:space="preserve">15. Previsiones de la compañía y consenso</w:t>
      </w:r>
    </w:p>
    <w:p>
      <w:pPr>
        <w:pStyle w:val="Confianza"/>
        <w:spacing w:after="100"/>
      </w:pPr>
      <w:r>
        <w:t xml:space="preserve">Confianza: Media</w:t>
      </w:r>
    </w:p>
    <w:p>
      <w:pPr>
        <w:spacing w:after="100"/>
      </w:pPr>
      <w:r>
        <w:t xml:space="preserve">Guía de 2026 (febrero de 2026, reafirmada el 7-may y el 30-jul): book-to-bill igual o superior a 1 con contratación selectiva, ventas con crecimiento de «un dígito alto» frente a 2025 (4.487 M), mejora de la rentabilidad en EBIT y resultado neto, dividendo en línea con los resultados y DFN/EBITDA estable (0,5x), sin operaciones inorgánicas [9, 10, 14]. El 1S26 ya da +16 % en ventas y +32 % en EBIT, con un 2S en el que Solaris entregará menos [8]. El consenso (MarketScreener, 9 analistas) está por encima de la guía: ventas de 4.964 M en 2026e (+10,6 %) y EBIT de 302 M (6,1 %) [47]. El Plan Estratégico 2027-2030 se presentará en el 4T26 y fijará los objetivos de medio plazo [8].</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041"/>
        <w:gridCol w:w="1302"/>
        <w:gridCol w:w="1302"/>
        <w:gridCol w:w="1302"/>
        <w:gridCol w:w="1041"/>
        <w:gridCol w:w="1041"/>
        <w:gridCol w:w="2609"/>
      </w:tblGrid>
      <w:tr>
        <w:trPr>
          <w:cantSplit/>
          <w:tblHeader/>
        </w:trPr>
        <w:tc>
          <w:tcPr>
            <w:tcW w:type="dxa" w:w="104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Periodo</w:t>
            </w:r>
          </w:p>
        </w:tc>
        <w:tc>
          <w:tcPr>
            <w:tcW w:type="dxa" w:w="130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Ingresos</w:t>
            </w:r>
          </w:p>
        </w:tc>
        <w:tc>
          <w:tcPr>
            <w:tcW w:type="dxa" w:w="130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EBITDA</w:t>
            </w:r>
          </w:p>
        </w:tc>
        <w:tc>
          <w:tcPr>
            <w:tcW w:type="dxa" w:w="130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EBIT</w:t>
            </w:r>
          </w:p>
        </w:tc>
        <w:tc>
          <w:tcPr>
            <w:tcW w:type="dxa" w:w="104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BPA</w:t>
            </w:r>
          </w:p>
        </w:tc>
        <w:tc>
          <w:tcPr>
            <w:tcW w:type="dxa" w:w="104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DPA</w:t>
            </w:r>
          </w:p>
        </w:tc>
        <w:tc>
          <w:tcPr>
            <w:tcW w:type="dxa" w:w="260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Fuente</w:t>
            </w:r>
          </w:p>
        </w:tc>
      </w:tr>
      <w:tr>
        <w:trPr>
          <w:cantSplit/>
        </w:trPr>
        <w:tc>
          <w:tcPr>
            <w:tcW w:type="dxa" w:w="104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2026e</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4.964</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416</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302</w:t>
            </w:r>
          </w:p>
        </w:tc>
        <w:tc>
          <w:tcPr>
            <w:tcW w:type="dxa" w:w="104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5,61</w:t>
            </w:r>
          </w:p>
        </w:tc>
        <w:tc>
          <w:tcPr>
            <w:tcW w:type="dxa" w:w="104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1,97</w:t>
            </w:r>
          </w:p>
        </w:tc>
        <w:tc>
          <w:tcPr>
            <w:tcW w:type="dxa" w:w="260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MarketScreener, 6-oct-2026 (9 analistas) [47]</w:t>
            </w:r>
          </w:p>
        </w:tc>
      </w:tr>
      <w:tr>
        <w:trPr>
          <w:cantSplit/>
        </w:trPr>
        <w:tc>
          <w:tcPr>
            <w:tcW w:type="dxa" w:w="104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2027e</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5.355</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465</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342</w:t>
            </w:r>
          </w:p>
        </w:tc>
        <w:tc>
          <w:tcPr>
            <w:tcW w:type="dxa" w:w="104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6,52</w:t>
            </w:r>
          </w:p>
        </w:tc>
        <w:tc>
          <w:tcPr>
            <w:tcW w:type="dxa" w:w="104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2,24</w:t>
            </w:r>
          </w:p>
        </w:tc>
        <w:tc>
          <w:tcPr>
            <w:tcW w:type="dxa" w:w="260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MarketScreener, 6-oct-2026 (9 analistas) [47]</w:t>
            </w:r>
          </w:p>
        </w:tc>
      </w:tr>
      <w:tr>
        <w:trPr>
          <w:cantSplit/>
        </w:trPr>
        <w:tc>
          <w:tcPr>
            <w:tcW w:type="dxa" w:w="104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2028e</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5.759</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513</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382</w:t>
            </w:r>
          </w:p>
        </w:tc>
        <w:tc>
          <w:tcPr>
            <w:tcW w:type="dxa" w:w="104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7,44</w:t>
            </w:r>
          </w:p>
        </w:tc>
        <w:tc>
          <w:tcPr>
            <w:tcW w:type="dxa" w:w="104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2,53</w:t>
            </w:r>
          </w:p>
        </w:tc>
        <w:tc>
          <w:tcPr>
            <w:tcW w:type="dxa" w:w="260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MarketScreener, 6-oct-2026 (9 analistas) [47]</w:t>
            </w:r>
          </w:p>
        </w:tc>
      </w:tr>
    </w:tbl>
    <w:p>
      <w:pPr>
        <w:spacing w:after="160" w:before="0"/>
      </w:pPr>
    </w:p>
    <w:p>
      <w:pPr>
        <w:pStyle w:val="Heading2"/>
      </w:pPr>
      <w:r>
        <w:t xml:space="preserve">Nuestra proyección frente al consenso</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204"/>
        <w:gridCol w:w="1505"/>
        <w:gridCol w:w="1505"/>
        <w:gridCol w:w="1204"/>
        <w:gridCol w:w="1505"/>
        <w:gridCol w:w="1505"/>
        <w:gridCol w:w="1210"/>
      </w:tblGrid>
      <w:tr>
        <w:trPr>
          <w:cantSplit/>
          <w:tblHeader/>
        </w:trPr>
        <w:tc>
          <w:tcPr>
            <w:tcW w:type="dxa" w:w="120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Periodo</w:t>
            </w:r>
          </w:p>
        </w:tc>
        <w:tc>
          <w:tcPr>
            <w:tcW w:type="dxa" w:w="150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Ingresos propios</w:t>
            </w:r>
          </w:p>
        </w:tc>
        <w:tc>
          <w:tcPr>
            <w:tcW w:type="dxa" w:w="150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Ingresos consenso</w:t>
            </w:r>
          </w:p>
        </w:tc>
        <w:tc>
          <w:tcPr>
            <w:tcW w:type="dxa" w:w="120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Dif.</w:t>
            </w:r>
          </w:p>
        </w:tc>
        <w:tc>
          <w:tcPr>
            <w:tcW w:type="dxa" w:w="150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EBITDA propio</w:t>
            </w:r>
          </w:p>
        </w:tc>
        <w:tc>
          <w:tcPr>
            <w:tcW w:type="dxa" w:w="150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EBITDA consenso</w:t>
            </w:r>
          </w:p>
        </w:tc>
        <w:tc>
          <w:tcPr>
            <w:tcW w:type="dxa" w:w="121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Dif.</w:t>
            </w:r>
          </w:p>
        </w:tc>
      </w:tr>
      <w:tr>
        <w:trPr>
          <w:cantSplit/>
        </w:trPr>
        <w:tc>
          <w:tcPr>
            <w:tcW w:type="dxa" w:w="12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2026e</w:t>
            </w:r>
          </w:p>
        </w:tc>
        <w:tc>
          <w:tcPr>
            <w:tcW w:type="dxa" w:w="1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4.935</w:t>
            </w:r>
          </w:p>
        </w:tc>
        <w:tc>
          <w:tcPr>
            <w:tcW w:type="dxa" w:w="1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4.964</w:t>
            </w:r>
          </w:p>
        </w:tc>
        <w:tc>
          <w:tcPr>
            <w:tcW w:type="dxa" w:w="12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-0,6 %</w:t>
            </w:r>
          </w:p>
        </w:tc>
        <w:tc>
          <w:tcPr>
            <w:tcW w:type="dxa" w:w="1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415</w:t>
            </w:r>
          </w:p>
        </w:tc>
        <w:tc>
          <w:tcPr>
            <w:tcW w:type="dxa" w:w="1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416</w:t>
            </w:r>
          </w:p>
        </w:tc>
        <w:tc>
          <w:tcPr>
            <w:tcW w:type="dxa" w:w="12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-0,1 %</w:t>
            </w:r>
          </w:p>
        </w:tc>
      </w:tr>
      <w:tr>
        <w:trPr>
          <w:cantSplit/>
        </w:trPr>
        <w:tc>
          <w:tcPr>
            <w:tcW w:type="dxa" w:w="12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2027e</w:t>
            </w:r>
          </w:p>
        </w:tc>
        <w:tc>
          <w:tcPr>
            <w:tcW w:type="dxa" w:w="1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5.305</w:t>
            </w:r>
          </w:p>
        </w:tc>
        <w:tc>
          <w:tcPr>
            <w:tcW w:type="dxa" w:w="1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5.355</w:t>
            </w:r>
          </w:p>
        </w:tc>
        <w:tc>
          <w:tcPr>
            <w:tcW w:type="dxa" w:w="12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-0,9 %</w:t>
            </w:r>
          </w:p>
        </w:tc>
        <w:tc>
          <w:tcPr>
            <w:tcW w:type="dxa" w:w="1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446</w:t>
            </w:r>
          </w:p>
        </w:tc>
        <w:tc>
          <w:tcPr>
            <w:tcW w:type="dxa" w:w="1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465</w:t>
            </w:r>
          </w:p>
        </w:tc>
        <w:tc>
          <w:tcPr>
            <w:tcW w:type="dxa" w:w="12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-4,1 %</w:t>
            </w:r>
          </w:p>
        </w:tc>
      </w:tr>
      <w:tr>
        <w:trPr>
          <w:cantSplit/>
        </w:trPr>
        <w:tc>
          <w:tcPr>
            <w:tcW w:type="dxa" w:w="120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2028e</w:t>
            </w:r>
          </w:p>
        </w:tc>
        <w:tc>
          <w:tcPr>
            <w:tcW w:type="dxa" w:w="15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5.677</w:t>
            </w:r>
          </w:p>
        </w:tc>
        <w:tc>
          <w:tcPr>
            <w:tcW w:type="dxa" w:w="15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5.759</w:t>
            </w:r>
          </w:p>
        </w:tc>
        <w:tc>
          <w:tcPr>
            <w:tcW w:type="dxa" w:w="120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-1,4 %</w:t>
            </w:r>
          </w:p>
        </w:tc>
        <w:tc>
          <w:tcPr>
            <w:tcW w:type="dxa" w:w="15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477</w:t>
            </w:r>
          </w:p>
        </w:tc>
        <w:tc>
          <w:tcPr>
            <w:tcW w:type="dxa" w:w="15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513</w:t>
            </w:r>
          </w:p>
        </w:tc>
        <w:tc>
          <w:tcPr>
            <w:tcW w:type="dxa" w:w="121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-7,1 %</w:t>
            </w:r>
          </w:p>
        </w:tc>
      </w:tr>
    </w:tbl>
    <w:p>
      <w:pPr>
        <w:spacing w:after="16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23"/>
        <w:gridCol w:w="2796"/>
        <w:gridCol w:w="2023"/>
        <w:gridCol w:w="2796"/>
      </w:tblGrid>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Analistas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13</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Comprar / mantener / vender</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8 / 4 / 1</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Precio objetivo medio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69,22</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Rango de precios objetivo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55,40 – 80,00</w:t>
            </w:r>
          </w:p>
        </w:tc>
      </w:tr>
    </w:tbl>
    <w:p>
      <w:pPr>
        <w:spacing w:after="160" w:before="0"/>
      </w:pPr>
    </w:p>
    <w:p>
      <w:pPr>
        <w:pStyle w:val="Heading2"/>
      </w:pPr>
      <w:r>
        <w:t xml:space="preserve">Revisiones de estimaciones</w:t>
      </w:r>
    </w:p>
    <w:p>
      <w:pPr>
        <w:spacing w:after="100"/>
      </w:pPr>
      <w:r>
        <w:t xml:space="preserve">No hay datos gratuitos de la evolución de las estimaciones a 3 y 12 meses (ver huecos). Lo que sí se ve es el precio objetivo: la lista de CAF del 20-jul-2026 da una media de 69,22 EUR, con cinco precios de más de seis meses (Exane 56,0 y Bankinter 55,4 de febrero-marzo), y MarketScreener da 73,95 EUR el 6-oct con un máximo de 87,50 que no estaba en la lista de julio: hubo revisiones al alza tras el 1S26, que batió el consenso en un 15 % en EBIT [46, 48]. Renta 4 pasó de 62,2 EUR en febrero a 80,0 EUR en marzo [48, 71]. En los resultados de 2025 el EBIT quedó un 2 % por debajo del consenso (246 M frente a 251,5 M) por el margen ferroviario, y la deuda neta mucho mejor (188 M frente a 252 M) [71].</w:t>
      </w:r>
    </w:p>
    <w:p>
      <w:pPr>
        <w:pStyle w:val="Heading1"/>
      </w:pPr>
      <w:r>
        <w:t xml:space="preserve">16. Comportamiento en bolsa</w:t>
      </w:r>
    </w:p>
    <w:p>
      <w:pPr>
        <w:pStyle w:val="Confianza"/>
        <w:spacing w:after="100"/>
      </w:pPr>
      <w:r>
        <w:t xml:space="preserve">Confianza: Alta</w:t>
      </w:r>
    </w:p>
    <w:p>
      <w:pPr>
        <w:pStyle w:val="Nota"/>
        <w:spacing w:after="100"/>
      </w:pPr>
      <w:r>
        <w:t xml:space="preserve">Rentabilidad de precio (sin dividendos).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352"/>
        <w:gridCol w:w="2095"/>
        <w:gridCol w:w="2095"/>
        <w:gridCol w:w="2096"/>
      </w:tblGrid>
      <w:tr>
        <w:trPr>
          <w:cantSplit/>
          <w:tblHeader/>
        </w:trPr>
        <w:tc>
          <w:tcPr>
            <w:tcW w:type="dxa" w:w="335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Periodo</w:t>
            </w:r>
          </w:p>
        </w:tc>
        <w:tc>
          <w:tcPr>
            <w:tcW w:type="dxa" w:w="209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Acción</w:t>
            </w:r>
          </w:p>
        </w:tc>
        <w:tc>
          <w:tcPr>
            <w:tcW w:type="dxa" w:w="209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Índice</w:t>
            </w:r>
          </w:p>
        </w:tc>
        <w:tc>
          <w:tcPr>
            <w:tcW w:type="dxa" w:w="209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Sector</w:t>
            </w:r>
          </w:p>
        </w:tc>
      </w:tr>
      <w:tr>
        <w:trPr>
          <w:cantSplit/>
        </w:trPr>
        <w:tc>
          <w:tcPr>
            <w:tcW w:type="dxa" w:w="335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En el año</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+32,9 %</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+12,3 %</w:t>
            </w:r>
          </w:p>
        </w:tc>
        <w:tc>
          <w:tcPr>
            <w:tcW w:type="dxa" w:w="209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+8,6 %</w:t>
            </w:r>
          </w:p>
        </w:tc>
      </w:tr>
      <w:tr>
        <w:trPr>
          <w:cantSplit/>
        </w:trPr>
        <w:tc>
          <w:tcPr>
            <w:tcW w:type="dxa" w:w="335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1 año</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+49,1 %</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+25,0 %</w:t>
            </w:r>
          </w:p>
        </w:tc>
        <w:tc>
          <w:tcPr>
            <w:tcW w:type="dxa" w:w="209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+6,6 %</w:t>
            </w:r>
          </w:p>
        </w:tc>
      </w:tr>
      <w:tr>
        <w:trPr>
          <w:cantSplit/>
        </w:trPr>
        <w:tc>
          <w:tcPr>
            <w:tcW w:type="dxa" w:w="335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3 años (anual.)</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+40,8 %</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+28,2 %</w:t>
            </w:r>
          </w:p>
        </w:tc>
        <w:tc>
          <w:tcPr>
            <w:tcW w:type="dxa" w:w="209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+19,5 %</w:t>
            </w:r>
          </w:p>
        </w:tc>
      </w:tr>
      <w:tr>
        <w:trPr>
          <w:cantSplit/>
        </w:trPr>
        <w:tc>
          <w:tcPr>
            <w:tcW w:type="dxa" w:w="335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5 años (anual.)</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+17,1 %</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+17,2 %</w:t>
            </w:r>
          </w:p>
        </w:tc>
        <w:tc>
          <w:tcPr>
            <w:tcW w:type="dxa" w:w="209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+9,6 %</w:t>
            </w:r>
          </w:p>
        </w:tc>
      </w:tr>
      <w:tr>
        <w:trPr>
          <w:cantSplit/>
        </w:trPr>
        <w:tc>
          <w:tcPr>
            <w:tcW w:type="dxa" w:w="335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10 años (anual.)</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+8,0 %</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+8,3 %</w:t>
            </w:r>
          </w:p>
        </w:tc>
        <w:tc>
          <w:tcPr>
            <w:tcW w:type="dxa" w:w="20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+10,0 %</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520000"/>
            <wp:effectExtent l="0" t="0" r="0" b="0"/>
            <wp:docPr id="1020" name="Gráfico 20" descr="Rentabilidad total por año: acción frente a su índice (%)"/>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20"/>
              </a:graphicData>
            </a:graphic>
          </wp:inline>
        </w:drawing>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23"/>
        <w:gridCol w:w="2796"/>
        <w:gridCol w:w="2023"/>
        <w:gridCol w:w="2796"/>
      </w:tblGrid>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Beta (5 años, mensual)</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0,91</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Volatilidad anualizada (1 año)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28,9 %</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Máxima caída (5 años)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-40,5 %</w:t>
            </w:r>
          </w:p>
        </w:tc>
        <w:tc>
          <w:tcPr>
            <w:tcW w:type="dxa" w:w="2023"/>
            <w:tcBorders>
              <w:top w:val="none" w:color="FFFFFF" w:sz="0"/>
              <w:left w:val="none" w:color="FFFFFF" w:sz="0"/>
              <w:bottom w:val="single" w:color="D9D8D3" w:sz="4"/>
              <w:right w:val="none" w:color="FFFFFF" w:sz="0"/>
            </w:tcBorders>
            <w:tcMar>
              <w:top w:type="dxa" w:w="50"/>
              <w:left w:type="dxa" w:w="80"/>
              <w:bottom w:type="dxa" w:w="50"/>
              <w:right w:type="dxa" w:w="80"/>
            </w:tcMar>
          </w:tcP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tc>
      </w:tr>
    </w:tbl>
    <w:p>
      <w:pPr>
        <w:spacing w:after="160" w:before="0"/>
      </w:pPr>
    </w:p>
    <w:p>
      <w:pPr>
        <w:spacing w:after="100"/>
      </w:pPr>
      <w:r>
        <w:t xml:space="preserve">CAF ha sido una acción de dos tiempos. Hasta 2024 no hizo nada: a diez años sube un 8,0 % anual, como el IBEX (8,3 %), con una caída del 40,5 % entre noviembre de 2021 y septiembre de 2022, cuando la inflación se comió los márgenes de una cartera firmada a precio cerrado [15, 45]. Desde 2025 se ha revalorizado con fuerza: +68,5 % en 2025 y +32,9 % en 2026 hasta el 6-oct (IBEX +12,3 %), por tres hechos: la recuperación del margen de Solaris (de −0,5 % a 7,3 %), la contratación récord con SNCB (más de 1.700 M) y un 1S26 un 15 % por encima del consenso en EBIT [1, 8, 48]. Cotiza a 78,30 EUR, en máximos (79,70 el máximo de 52 semanas) y por encima del precio objetivo medio de los analistas (69,22 en la lista de CAF; 73,95 en MarketScreener) [45, 46, 48]. Beta de 0,91 y volatilidad del 28,9 %; liquidez escasa (≈ 1,9 M EUR al día) y sin posiciones cortas publicadas [45, 60].</w:t>
      </w:r>
    </w:p>
    <w:p>
      <w:pPr>
        <w:pStyle w:val="Heading1"/>
      </w:pPr>
      <w:r>
        <w:t xml:space="preserve">17. Múltiplos frente a su historia</w:t>
      </w:r>
    </w:p>
    <w:p>
      <w:pPr>
        <w:pStyle w:val="Confianza"/>
        <w:spacing w:after="100"/>
      </w:pPr>
      <w:r>
        <w:t xml:space="preserve">Confianza: Alta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927"/>
        <w:gridCol w:w="1098"/>
        <w:gridCol w:w="1098"/>
        <w:gridCol w:w="1098"/>
        <w:gridCol w:w="1098"/>
        <w:gridCol w:w="1098"/>
        <w:gridCol w:w="1221"/>
      </w:tblGrid>
      <w:tr>
        <w:trPr>
          <w:cantSplit/>
          <w:tblHeader/>
        </w:trPr>
        <w:tc>
          <w:tcPr>
            <w:tcW w:type="dxa" w:w="292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Múltiplo</w:t>
            </w:r>
          </w:p>
        </w:tc>
        <w:tc>
          <w:tcPr>
            <w:tcW w:type="dxa" w:w="109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Actual</w:t>
            </w:r>
          </w:p>
        </w:tc>
        <w:tc>
          <w:tcPr>
            <w:tcW w:type="dxa" w:w="109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Mediana</w:t>
            </w:r>
          </w:p>
        </w:tc>
        <w:tc>
          <w:tcPr>
            <w:tcW w:type="dxa" w:w="109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Mínimo</w:t>
            </w:r>
          </w:p>
        </w:tc>
        <w:tc>
          <w:tcPr>
            <w:tcW w:type="dxa" w:w="109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Máximo</w:t>
            </w:r>
          </w:p>
        </w:tc>
        <w:tc>
          <w:tcPr>
            <w:tcW w:type="dxa" w:w="109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Percentil</w:t>
            </w:r>
          </w:p>
        </w:tc>
        <w:tc>
          <w:tcPr>
            <w:tcW w:type="dxa" w:w="122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Prima / descuento</w:t>
            </w:r>
          </w:p>
        </w:tc>
      </w:tr>
      <w:tr>
        <w:trPr>
          <w:cantSplit/>
        </w:trPr>
        <w:tc>
          <w:tcPr>
            <w:tcW w:type="dxa" w:w="29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EV/EBITDA últimos 12 meses (cierre de cada año)</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8,2x</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6,8x</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4,8x</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9,8x</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63 %</w:t>
            </w:r>
          </w:p>
        </w:tc>
        <w:tc>
          <w:tcPr>
            <w:tcW w:type="dxa" w:w="122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+21 %</w:t>
            </w:r>
          </w:p>
        </w:tc>
      </w:tr>
      <w:tr>
        <w:trPr>
          <w:cantSplit/>
        </w:trPr>
        <w:tc>
          <w:tcPr>
            <w:tcW w:type="dxa" w:w="292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PER últimos 12 meses (cierre de cada año)</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15,6x</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16,0x</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11,6x</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151,0x</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50 %</w:t>
            </w:r>
          </w:p>
        </w:tc>
        <w:tc>
          <w:tcPr>
            <w:tcW w:type="dxa" w:w="122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-3 %</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340000"/>
            <wp:effectExtent l="0" t="0" r="0" b="0"/>
            <wp:docPr id="1021" name="Gráfico 21" descr="EV/EBITDA últimos 12 meses (cierre de cada año): historia y mediana (veces)"/>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21"/>
              </a:graphicData>
            </a:graphic>
          </wp:inline>
        </w:drawing>
      </w:r>
    </w:p>
    <w:p>
      <w:pPr>
        <w:spacing w:after="100"/>
      </w:pPr>
      <w:r>
        <w:t xml:space="preserve">Con el precio de cierre de cada año, CAF ha cotizado de media a 6,8x el EBITDA de los últimos 12 meses (mínimo 4,8x, máximo 9,8x) y hoy lo hace a 8,2x, una prima del 21 % y el percentil 63 de su historia. El PER (15,6x) está en la media (16,0x), porque el beneficio ha crecido más que el EBITDA al bajar los gastos financieros. MarketScreener da el mismo patrón con el EBITDA del propio ejercicio: 4,4-6,3x en 2021-2025 y 7,1x con el precio actual sobre 2026e [47]. El cambio que lo justifica en parte es estructural: la deuda financiera neta ha bajado de 1,1x a 0,5x el EBITDA y Solaris ha dejado de perder dinero [1]. Lo que no ha cambiado es la conversión en caja, que es la razón histórica del descuento.</w:t>
      </w:r>
    </w:p>
    <w:p>
      <w:pPr>
        <w:pStyle w:val="Heading1"/>
      </w:pPr>
      <w:r>
        <w:t xml:space="preserve">18. Comparables cotizados</w:t>
      </w:r>
    </w:p>
    <w:p>
      <w:pPr>
        <w:pStyle w:val="Confianza"/>
        <w:spacing w:after="100"/>
      </w:pPr>
      <w:r>
        <w:t xml:space="preserve">Confianza: Media</w:t>
      </w:r>
    </w:p>
    <w:p>
      <w:pPr>
        <w:spacing w:after="100"/>
      </w:pPr>
      <w:r>
        <w:t xml:space="preserve">Fabricantes europeos de material rodante cotizados (Alstom, Stadler, Talgo), dos proveedores de componentes ferroviarios con margen mucho más alto (Knorr-Bremse, Wabtec) y dos fabricantes de vehículos comerciales con negocio de autobuses (Daimler Truck, Volvo) como referencia para Solaris [52, 53, 54, 55, 56, 57, 58]. Fuera: Siemens e Hitachi (Mobility y Rail pesan poco en grupos de más de 50.000 M de ventas), Iveco (cotiza anclada a la OPA de Tata Motors) y CRRC (mercado cerrado y sin datos comparables gratuitos) [68]. Daimler Truck con su liquidez neta industrial: con la deuda de su financiera saldría 10,1x en vez de 4,8x [22].</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715"/>
        <w:gridCol w:w="504"/>
        <w:gridCol w:w="908"/>
        <w:gridCol w:w="706"/>
        <w:gridCol w:w="807"/>
        <w:gridCol w:w="807"/>
        <w:gridCol w:w="706"/>
        <w:gridCol w:w="706"/>
        <w:gridCol w:w="756"/>
        <w:gridCol w:w="655"/>
        <w:gridCol w:w="655"/>
        <w:gridCol w:w="713"/>
      </w:tblGrid>
      <w:tr>
        <w:trPr>
          <w:cantSplit/>
          <w:tblHeader/>
        </w:trPr>
        <w:tc>
          <w:tcPr>
            <w:tcW w:type="dxa" w:w="171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Empresa</w:t>
            </w:r>
          </w:p>
        </w:tc>
        <w:tc>
          <w:tcPr>
            <w:tcW w:type="dxa" w:w="50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País</w:t>
            </w:r>
          </w:p>
        </w:tc>
        <w:tc>
          <w:tcPr>
            <w:tcW w:type="dxa" w:w="90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Capitaliz.</w:t>
            </w:r>
          </w:p>
        </w:tc>
        <w:tc>
          <w:tcPr>
            <w:tcW w:type="dxa" w:w="7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EV/Vtas</w:t>
            </w:r>
          </w:p>
        </w:tc>
        <w:tc>
          <w:tcPr>
            <w:tcW w:type="dxa" w:w="80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EV/EBITDA LTM</w:t>
            </w:r>
          </w:p>
        </w:tc>
        <w:tc>
          <w:tcPr>
            <w:tcW w:type="dxa" w:w="80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EV/EBITDA NTM</w:t>
            </w:r>
          </w:p>
        </w:tc>
        <w:tc>
          <w:tcPr>
            <w:tcW w:type="dxa" w:w="7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PER NTM</w:t>
            </w:r>
          </w:p>
        </w:tc>
        <w:tc>
          <w:tcPr>
            <w:tcW w:type="dxa" w:w="7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Crec.</w:t>
            </w:r>
          </w:p>
        </w:tc>
        <w:tc>
          <w:tcPr>
            <w:tcW w:type="dxa" w:w="75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 EBITDA</w:t>
            </w:r>
          </w:p>
        </w:tc>
        <w:tc>
          <w:tcPr>
            <w:tcW w:type="dxa" w:w="65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ROIC</w:t>
            </w:r>
          </w:p>
        </w:tc>
        <w:tc>
          <w:tcPr>
            <w:tcW w:type="dxa" w:w="65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DN/ EBITDA</w:t>
            </w:r>
          </w:p>
        </w:tc>
        <w:tc>
          <w:tcPr>
            <w:tcW w:type="dxa" w:w="71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FCF yield</w:t>
            </w:r>
          </w:p>
        </w:tc>
      </w:tr>
      <w:tr>
        <w:trPr>
          <w:cantSplit/>
        </w:trPr>
        <w:tc>
          <w:tcPr>
            <w:tcW w:type="dxa" w:w="171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CAF</w:t>
            </w:r>
          </w:p>
        </w:tc>
        <w:tc>
          <w:tcPr>
            <w:tcW w:type="dxa" w:w="5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ES</w:t>
            </w:r>
          </w:p>
        </w:tc>
        <w:tc>
          <w:tcPr>
            <w:tcW w:type="dxa" w:w="9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2.682</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0,7x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8,2x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7,0x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12,4x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+6,8 %</w:t>
            </w:r>
          </w:p>
        </w:tc>
        <w:tc>
          <w:tcPr>
            <w:tcW w:type="dxa" w:w="7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8,1 %</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13,6 %</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0,7x</w:t>
            </w:r>
          </w:p>
        </w:tc>
        <w:tc>
          <w:tcPr>
            <w:tcW w:type="dxa" w:w="7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0,2 %</w:t>
            </w:r>
          </w:p>
        </w:tc>
      </w:tr>
      <w:tr>
        <w:trPr>
          <w:cantSplit/>
        </w:trPr>
        <w:tc>
          <w:tcPr>
            <w:tcW w:type="dxa" w:w="171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Alstom</w:t>
            </w:r>
          </w:p>
        </w:tc>
        <w:tc>
          <w:tcPr>
            <w:tcW w:type="dxa" w:w="5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FR</w:t>
            </w:r>
          </w:p>
        </w:tc>
        <w:tc>
          <w:tcPr>
            <w:tcW w:type="dxa" w:w="9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7.487</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0,5x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4,4x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4,8x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12,0x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+5,6 %</w:t>
            </w:r>
          </w:p>
        </w:tc>
        <w:tc>
          <w:tcPr>
            <w:tcW w:type="dxa" w:w="7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10,3 %</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3,6 %</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0,6x</w:t>
            </w:r>
          </w:p>
        </w:tc>
        <w:tc>
          <w:tcPr>
            <w:tcW w:type="dxa" w:w="7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4,3 %</w:t>
            </w:r>
          </w:p>
        </w:tc>
      </w:tr>
      <w:tr>
        <w:trPr>
          <w:cantSplit/>
        </w:trPr>
        <w:tc>
          <w:tcPr>
            <w:tcW w:type="dxa" w:w="171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Stadler Rail</w:t>
            </w:r>
          </w:p>
        </w:tc>
        <w:tc>
          <w:tcPr>
            <w:tcW w:type="dxa" w:w="5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CH</w:t>
            </w:r>
          </w:p>
        </w:tc>
        <w:tc>
          <w:tcPr>
            <w:tcW w:type="dxa" w:w="9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3.289</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0,9x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12,0x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7,3x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15,8x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+24,0 %</w:t>
            </w:r>
          </w:p>
        </w:tc>
        <w:tc>
          <w:tcPr>
            <w:tcW w:type="dxa" w:w="7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7,6 %</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10,3 %</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1,0x</w:t>
            </w:r>
          </w:p>
        </w:tc>
        <w:tc>
          <w:tcPr>
            <w:tcW w:type="dxa" w:w="7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-19,1 %</w:t>
            </w:r>
          </w:p>
        </w:tc>
      </w:tr>
      <w:tr>
        <w:trPr>
          <w:cantSplit/>
        </w:trPr>
        <w:tc>
          <w:tcPr>
            <w:tcW w:type="dxa" w:w="171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Talgo</w:t>
            </w:r>
          </w:p>
        </w:tc>
        <w:tc>
          <w:tcPr>
            <w:tcW w:type="dxa" w:w="5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ES</w:t>
            </w:r>
          </w:p>
        </w:tc>
        <w:tc>
          <w:tcPr>
            <w:tcW w:type="dxa" w:w="9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326</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9,0x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17,8x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+16,1 %</w:t>
            </w:r>
          </w:p>
        </w:tc>
        <w:tc>
          <w:tcPr>
            <w:tcW w:type="dxa" w:w="7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0,1 %</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1,4 %</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7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-43,1 %</w:t>
            </w:r>
          </w:p>
        </w:tc>
      </w:tr>
      <w:tr>
        <w:trPr>
          <w:cantSplit/>
        </w:trPr>
        <w:tc>
          <w:tcPr>
            <w:tcW w:type="dxa" w:w="171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Knorr-Bremse</w:t>
            </w:r>
          </w:p>
        </w:tc>
        <w:tc>
          <w:tcPr>
            <w:tcW w:type="dxa" w:w="5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DE</w:t>
            </w:r>
          </w:p>
        </w:tc>
        <w:tc>
          <w:tcPr>
            <w:tcW w:type="dxa" w:w="9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16.330</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2,3x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13,7x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10,5x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19,7x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+6,0 %</w:t>
            </w:r>
          </w:p>
        </w:tc>
        <w:tc>
          <w:tcPr>
            <w:tcW w:type="dxa" w:w="7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16,5 %</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15,9 %</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1,0x</w:t>
            </w:r>
          </w:p>
        </w:tc>
        <w:tc>
          <w:tcPr>
            <w:tcW w:type="dxa" w:w="7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4,8 %</w:t>
            </w:r>
          </w:p>
        </w:tc>
      </w:tr>
      <w:tr>
        <w:trPr>
          <w:cantSplit/>
        </w:trPr>
        <w:tc>
          <w:tcPr>
            <w:tcW w:type="dxa" w:w="171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Wabtec</w:t>
            </w:r>
          </w:p>
        </w:tc>
        <w:tc>
          <w:tcPr>
            <w:tcW w:type="dxa" w:w="5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US</w:t>
            </w:r>
          </w:p>
        </w:tc>
        <w:tc>
          <w:tcPr>
            <w:tcW w:type="dxa" w:w="9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43.642</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4,7x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21,4x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16,2x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27,4x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+10,1 %</w:t>
            </w:r>
          </w:p>
        </w:tc>
        <w:tc>
          <w:tcPr>
            <w:tcW w:type="dxa" w:w="7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22,1 %</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9,2 %</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1,4x</w:t>
            </w:r>
          </w:p>
        </w:tc>
        <w:tc>
          <w:tcPr>
            <w:tcW w:type="dxa" w:w="7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3,3 %</w:t>
            </w:r>
          </w:p>
        </w:tc>
      </w:tr>
      <w:tr>
        <w:trPr>
          <w:cantSplit/>
        </w:trPr>
        <w:tc>
          <w:tcPr>
            <w:tcW w:type="dxa" w:w="171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Daimler Truck</w:t>
            </w:r>
          </w:p>
        </w:tc>
        <w:tc>
          <w:tcPr>
            <w:tcW w:type="dxa" w:w="5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DE</w:t>
            </w:r>
          </w:p>
        </w:tc>
        <w:tc>
          <w:tcPr>
            <w:tcW w:type="dxa" w:w="9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31.087</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0,5x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4,8x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4,1x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9,3x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+3,5 %</w:t>
            </w:r>
          </w:p>
        </w:tc>
        <w:tc>
          <w:tcPr>
            <w:tcW w:type="dxa" w:w="7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9,8 %</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4,1 %</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-1,6x</w:t>
            </w:r>
          </w:p>
        </w:tc>
        <w:tc>
          <w:tcPr>
            <w:tcW w:type="dxa" w:w="7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9,2 %</w:t>
            </w:r>
          </w:p>
        </w:tc>
      </w:tr>
      <w:tr>
        <w:trPr>
          <w:cantSplit/>
        </w:trPr>
        <w:tc>
          <w:tcPr>
            <w:tcW w:type="dxa" w:w="171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Volvo</w:t>
            </w:r>
          </w:p>
        </w:tc>
        <w:tc>
          <w:tcPr>
            <w:tcW w:type="dxa" w:w="50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SE</w:t>
            </w:r>
          </w:p>
        </w:tc>
        <w:tc>
          <w:tcPr>
            <w:tcW w:type="dxa" w:w="90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57.006</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1,2x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7,9x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6,8x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13,0x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+6,7 %</w:t>
            </w:r>
          </w:p>
        </w:tc>
        <w:tc>
          <w:tcPr>
            <w:tcW w:type="dxa" w:w="75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15,6 %</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9,3 %</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-0,7x</w:t>
            </w:r>
          </w:p>
        </w:tc>
        <w:tc>
          <w:tcPr>
            <w:tcW w:type="dxa" w:w="7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3,1 %</w:t>
            </w:r>
          </w:p>
        </w:tc>
      </w:tr>
    </w:tbl>
    <w:p>
      <w:pPr>
        <w:spacing w:after="160" w:before="0"/>
      </w:pPr>
    </w:p>
    <w:p>
      <w:pPr>
        <w:pStyle w:val="Nota"/>
        <w:spacing w:after="100"/>
      </w:pPr>
      <w:r>
        <w:t xml:space="preserve">La primera fila es la empresa analizada (calculada con sus propios datos). Los estadísticos excluyen a la empresa.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848"/>
        <w:gridCol w:w="1056"/>
        <w:gridCol w:w="1188"/>
        <w:gridCol w:w="1188"/>
        <w:gridCol w:w="1056"/>
        <w:gridCol w:w="1056"/>
        <w:gridCol w:w="1188"/>
        <w:gridCol w:w="1058"/>
      </w:tblGrid>
      <w:tr>
        <w:trPr>
          <w:cantSplit/>
          <w:tblHeader/>
        </w:trPr>
        <w:tc>
          <w:tcPr>
            <w:tcW w:type="dxa" w:w="184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Estadístico</w:t>
            </w:r>
          </w:p>
        </w:tc>
        <w:tc>
          <w:tcPr>
            <w:tcW w:type="dxa" w:w="105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EV/Vtas</w:t>
            </w:r>
          </w:p>
        </w:tc>
        <w:tc>
          <w:tcPr>
            <w:tcW w:type="dxa" w:w="118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EV/EBITDA LTM</w:t>
            </w:r>
          </w:p>
        </w:tc>
        <w:tc>
          <w:tcPr>
            <w:tcW w:type="dxa" w:w="118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EV/EBITDA NTM</w:t>
            </w:r>
          </w:p>
        </w:tc>
        <w:tc>
          <w:tcPr>
            <w:tcW w:type="dxa" w:w="105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PER NTM</w:t>
            </w:r>
          </w:p>
        </w:tc>
        <w:tc>
          <w:tcPr>
            <w:tcW w:type="dxa" w:w="105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Crec.</w:t>
            </w:r>
          </w:p>
        </w:tc>
        <w:tc>
          <w:tcPr>
            <w:tcW w:type="dxa" w:w="118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 EBITDA</w:t>
            </w:r>
          </w:p>
        </w:tc>
        <w:tc>
          <w:tcPr>
            <w:tcW w:type="dxa" w:w="105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ROIC</w:t>
            </w:r>
          </w:p>
        </w:tc>
      </w:tr>
      <w:tr>
        <w:trPr>
          <w:cantSplit/>
        </w:trPr>
        <w:tc>
          <w:tcPr>
            <w:tcW w:type="dxa" w:w="184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Mediana</w:t>
            </w:r>
          </w:p>
        </w:tc>
        <w:tc>
          <w:tcPr>
            <w:tcW w:type="dxa" w:w="10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1,2x</w:t>
            </w:r>
          </w:p>
        </w:tc>
        <w:tc>
          <w:tcPr>
            <w:tcW w:type="dxa" w:w="11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10,0x</w:t>
            </w:r>
          </w:p>
        </w:tc>
        <w:tc>
          <w:tcPr>
            <w:tcW w:type="dxa" w:w="11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7,3x</w:t>
            </w:r>
          </w:p>
        </w:tc>
        <w:tc>
          <w:tcPr>
            <w:tcW w:type="dxa" w:w="10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15,8x</w:t>
            </w:r>
          </w:p>
        </w:tc>
        <w:tc>
          <w:tcPr>
            <w:tcW w:type="dxa" w:w="10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+6,7 %</w:t>
            </w:r>
          </w:p>
        </w:tc>
        <w:tc>
          <w:tcPr>
            <w:tcW w:type="dxa" w:w="11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10,3 %</w:t>
            </w:r>
          </w:p>
        </w:tc>
        <w:tc>
          <w:tcPr>
            <w:tcW w:type="dxa" w:w="10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9,2 %</w:t>
            </w:r>
          </w:p>
        </w:tc>
      </w:tr>
      <w:tr>
        <w:trPr>
          <w:cantSplit/>
        </w:trPr>
        <w:tc>
          <w:tcPr>
            <w:tcW w:type="dxa" w:w="184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Media</w:t>
            </w:r>
          </w:p>
        </w:tc>
        <w:tc>
          <w:tcPr>
            <w:tcW w:type="dxa" w:w="10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1,6x</w:t>
            </w:r>
          </w:p>
        </w:tc>
        <w:tc>
          <w:tcPr>
            <w:tcW w:type="dxa" w:w="11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10,7x</w:t>
            </w:r>
          </w:p>
        </w:tc>
        <w:tc>
          <w:tcPr>
            <w:tcW w:type="dxa" w:w="11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8,4x</w:t>
            </w:r>
          </w:p>
        </w:tc>
        <w:tc>
          <w:tcPr>
            <w:tcW w:type="dxa" w:w="10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16,4x</w:t>
            </w:r>
          </w:p>
        </w:tc>
        <w:tc>
          <w:tcPr>
            <w:tcW w:type="dxa" w:w="10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+10,3 %</w:t>
            </w:r>
          </w:p>
        </w:tc>
        <w:tc>
          <w:tcPr>
            <w:tcW w:type="dxa" w:w="11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11,7 %</w:t>
            </w:r>
          </w:p>
        </w:tc>
        <w:tc>
          <w:tcPr>
            <w:tcW w:type="dxa" w:w="10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7,7 %</w:t>
            </w:r>
          </w:p>
        </w:tc>
      </w:tr>
      <w:tr>
        <w:trPr>
          <w:cantSplit/>
        </w:trPr>
        <w:tc>
          <w:tcPr>
            <w:tcW w:type="dxa" w:w="184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Percentil 25</w:t>
            </w:r>
          </w:p>
        </w:tc>
        <w:tc>
          <w:tcPr>
            <w:tcW w:type="dxa" w:w="10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0,7x</w:t>
            </w:r>
          </w:p>
        </w:tc>
        <w:tc>
          <w:tcPr>
            <w:tcW w:type="dxa" w:w="11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5,6x</w:t>
            </w:r>
          </w:p>
        </w:tc>
        <w:tc>
          <w:tcPr>
            <w:tcW w:type="dxa" w:w="11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5,8x</w:t>
            </w:r>
          </w:p>
        </w:tc>
        <w:tc>
          <w:tcPr>
            <w:tcW w:type="dxa" w:w="10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12,5x</w:t>
            </w:r>
          </w:p>
        </w:tc>
        <w:tc>
          <w:tcPr>
            <w:tcW w:type="dxa" w:w="10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+5,8 %</w:t>
            </w:r>
          </w:p>
        </w:tc>
        <w:tc>
          <w:tcPr>
            <w:tcW w:type="dxa" w:w="11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8,7 %</w:t>
            </w:r>
          </w:p>
        </w:tc>
        <w:tc>
          <w:tcPr>
            <w:tcW w:type="dxa" w:w="10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3,8 %</w:t>
            </w:r>
          </w:p>
        </w:tc>
      </w:tr>
      <w:tr>
        <w:trPr>
          <w:cantSplit/>
        </w:trPr>
        <w:tc>
          <w:tcPr>
            <w:tcW w:type="dxa" w:w="184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Percentil 75</w:t>
            </w:r>
          </w:p>
        </w:tc>
        <w:tc>
          <w:tcPr>
            <w:tcW w:type="dxa" w:w="105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1,8x</w:t>
            </w:r>
          </w:p>
        </w:tc>
        <w:tc>
          <w:tcPr>
            <w:tcW w:type="dxa" w:w="118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13,3x</w:t>
            </w:r>
          </w:p>
        </w:tc>
        <w:tc>
          <w:tcPr>
            <w:tcW w:type="dxa" w:w="118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9,8x</w:t>
            </w:r>
          </w:p>
        </w:tc>
        <w:tc>
          <w:tcPr>
            <w:tcW w:type="dxa" w:w="105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18,8x</w:t>
            </w:r>
          </w:p>
        </w:tc>
        <w:tc>
          <w:tcPr>
            <w:tcW w:type="dxa" w:w="105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+13,1 %</w:t>
            </w:r>
          </w:p>
        </w:tc>
        <w:tc>
          <w:tcPr>
            <w:tcW w:type="dxa" w:w="118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16,1 %</w:t>
            </w:r>
          </w:p>
        </w:tc>
        <w:tc>
          <w:tcPr>
            <w:tcW w:type="dxa" w:w="105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9,8 %</w:t>
            </w:r>
          </w:p>
        </w:tc>
      </w:tr>
    </w:tbl>
    <w:p>
      <w:pPr>
        <w:spacing w:after="160" w:before="0"/>
      </w:pPr>
    </w:p>
    <w:p>
      <w:pPr>
        <w:pStyle w:val="Heading2"/>
      </w:pPr>
      <w:r>
        <w:t xml:space="preserve">Valor implícito por acción</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524"/>
        <w:gridCol w:w="1147"/>
        <w:gridCol w:w="1835"/>
        <w:gridCol w:w="1032"/>
        <w:gridCol w:w="1032"/>
        <w:gridCol w:w="1032"/>
        <w:gridCol w:w="1036"/>
      </w:tblGrid>
      <w:tr>
        <w:trPr>
          <w:cantSplit/>
          <w:tblHeader/>
        </w:trPr>
        <w:tc>
          <w:tcPr>
            <w:tcW w:type="dxa" w:w="252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Múltiplo aplicado</w:t>
            </w:r>
          </w:p>
        </w:tc>
        <w:tc>
          <w:tcPr>
            <w:tcW w:type="dxa" w:w="114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Métrica de la empresa</w:t>
            </w:r>
          </w:p>
        </w:tc>
        <w:tc>
          <w:tcPr>
            <w:tcW w:type="dxa" w:w="183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Múltiplo p25 / mediana / p75</w:t>
            </w:r>
          </w:p>
        </w:tc>
        <w:tc>
          <w:tcPr>
            <w:tcW w:type="dxa" w:w="103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Valor p25</w:t>
            </w:r>
          </w:p>
        </w:tc>
        <w:tc>
          <w:tcPr>
            <w:tcW w:type="dxa" w:w="103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Valor mediana</w:t>
            </w:r>
          </w:p>
        </w:tc>
        <w:tc>
          <w:tcPr>
            <w:tcW w:type="dxa" w:w="103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Valor p75</w:t>
            </w:r>
          </w:p>
        </w:tc>
        <w:tc>
          <w:tcPr>
            <w:tcW w:type="dxa" w:w="103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Potencial</w:t>
            </w:r>
          </w:p>
        </w:tc>
      </w:tr>
      <w:tr>
        <w:trPr>
          <w:cantSplit/>
        </w:trPr>
        <w:tc>
          <w:tcPr>
            <w:tcW w:type="dxa" w:w="252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EV/EBITDA próximos 12 meses</w:t>
            </w:r>
          </w:p>
        </w:tc>
        <w:tc>
          <w:tcPr>
            <w:tcW w:type="dxa" w:w="11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454</w:t>
            </w:r>
          </w:p>
        </w:tc>
        <w:tc>
          <w:tcPr>
            <w:tcW w:type="dxa" w:w="183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5,8x / 7,3x / 9,8x</w:t>
            </w:r>
          </w:p>
        </w:tc>
        <w:tc>
          <w:tcPr>
            <w:tcW w:type="dxa" w:w="10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62,15</w:t>
            </w:r>
          </w:p>
        </w:tc>
        <w:tc>
          <w:tcPr>
            <w:tcW w:type="dxa" w:w="10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82,02</w:t>
            </w:r>
          </w:p>
        </w:tc>
        <w:tc>
          <w:tcPr>
            <w:tcW w:type="dxa" w:w="10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114,46</w:t>
            </w:r>
          </w:p>
        </w:tc>
        <w:tc>
          <w:tcPr>
            <w:tcW w:type="dxa" w:w="10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+4,8 %</w:t>
            </w:r>
          </w:p>
        </w:tc>
      </w:tr>
      <w:tr>
        <w:trPr>
          <w:cantSplit/>
        </w:trPr>
        <w:tc>
          <w:tcPr>
            <w:tcW w:type="dxa" w:w="252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EV/EBITDA últimos 12 meses</w:t>
            </w:r>
          </w:p>
        </w:tc>
        <w:tc>
          <w:tcPr>
            <w:tcW w:type="dxa" w:w="11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391</w:t>
            </w:r>
          </w:p>
        </w:tc>
        <w:tc>
          <w:tcPr>
            <w:tcW w:type="dxa" w:w="183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5,6x / 9,9x / 13,3x</w:t>
            </w:r>
          </w:p>
        </w:tc>
        <w:tc>
          <w:tcPr>
            <w:tcW w:type="dxa" w:w="10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48,92</w:t>
            </w:r>
          </w:p>
        </w:tc>
        <w:tc>
          <w:tcPr>
            <w:tcW w:type="dxa" w:w="10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98,81</w:t>
            </w:r>
          </w:p>
        </w:tc>
        <w:tc>
          <w:tcPr>
            <w:tcW w:type="dxa" w:w="10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136,73</w:t>
            </w:r>
          </w:p>
        </w:tc>
        <w:tc>
          <w:tcPr>
            <w:tcW w:type="dxa" w:w="10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+26,2 %</w:t>
            </w:r>
          </w:p>
        </w:tc>
      </w:tr>
      <w:tr>
        <w:trPr>
          <w:cantSplit/>
        </w:trPr>
        <w:tc>
          <w:tcPr>
            <w:tcW w:type="dxa" w:w="252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PER próximos 12 meses</w:t>
            </w:r>
          </w:p>
        </w:tc>
        <w:tc>
          <w:tcPr>
            <w:tcW w:type="dxa" w:w="11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6,3</w:t>
            </w:r>
          </w:p>
        </w:tc>
        <w:tc>
          <w:tcPr>
            <w:tcW w:type="dxa" w:w="183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12,5x / 15,8x / 18,8x</w:t>
            </w:r>
          </w:p>
        </w:tc>
        <w:tc>
          <w:tcPr>
            <w:tcW w:type="dxa" w:w="10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78,84</w:t>
            </w:r>
          </w:p>
        </w:tc>
        <w:tc>
          <w:tcPr>
            <w:tcW w:type="dxa" w:w="10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99,65</w:t>
            </w:r>
          </w:p>
        </w:tc>
        <w:tc>
          <w:tcPr>
            <w:tcW w:type="dxa" w:w="10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118,26</w:t>
            </w:r>
          </w:p>
        </w:tc>
        <w:tc>
          <w:tcPr>
            <w:tcW w:type="dxa" w:w="10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+27,3 %</w:t>
            </w:r>
          </w:p>
        </w:tc>
      </w:tr>
      <w:tr>
        <w:trPr>
          <w:cantSplit/>
        </w:trPr>
        <w:tc>
          <w:tcPr>
            <w:tcW w:type="dxa" w:w="252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EV/Ventas últimos 12 meses</w:t>
            </w:r>
          </w:p>
        </w:tc>
        <w:tc>
          <w:tcPr>
            <w:tcW w:type="dxa" w:w="114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4.840</w:t>
            </w:r>
          </w:p>
        </w:tc>
        <w:tc>
          <w:tcPr>
            <w:tcW w:type="dxa" w:w="183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0,7x / 1,2x / 1,8x</w:t>
            </w:r>
          </w:p>
        </w:tc>
        <w:tc>
          <w:tcPr>
            <w:tcW w:type="dxa" w:w="103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82,84</w:t>
            </w:r>
          </w:p>
        </w:tc>
        <w:tc>
          <w:tcPr>
            <w:tcW w:type="dxa" w:w="103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149,26</w:t>
            </w:r>
          </w:p>
        </w:tc>
        <w:tc>
          <w:tcPr>
            <w:tcW w:type="dxa" w:w="103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232,64</w:t>
            </w:r>
          </w:p>
        </w:tc>
        <w:tc>
          <w:tcPr>
            <w:tcW w:type="dxa" w:w="10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+90,6 %</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700000"/>
            <wp:effectExtent l="0" t="0" r="0" b="0"/>
            <wp:docPr id="1022" name="Gráfico 22" descr="EV/EBITDA de los próximos 12 meses: empresa y comparables (veces)"/>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22"/>
              </a:graphicData>
            </a:graphic>
          </wp:inline>
        </w:drawing>
      </w:r>
    </w:p>
    <w:p>
      <w:pPr>
        <w:keepNext w:val="false"/>
        <w:spacing w:after="160" w:before="120"/>
        <w:jc w:val="center"/>
      </w:pPr>
      <w:r>
        <w:drawing>
          <wp:inline xmlns:wp="http://schemas.openxmlformats.org/drawingml/2006/wordprocessingDrawing" distT="0" distB="0" distL="0" distR="0">
            <wp:extent cx="5760000" cy="3060000"/>
            <wp:effectExtent l="0" t="0" r="0" b="0"/>
            <wp:docPr id="1023" name="Gráfico 23" descr="Crecimiento esperado frente a múltiplo"/>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23"/>
              </a:graphicData>
            </a:graphic>
          </wp:inline>
        </w:drawing>
      </w:r>
    </w:p>
    <w:p>
      <w:pPr>
        <w:spacing w:after="100"/>
      </w:pPr>
      <w:r>
        <w:rPr>
          <w:b/>
        </w:rPr>
        <w:t xml:space="preserve">Regresión EV/EBITDA NTM sobre crecimiento</w:t>
      </w:r>
      <w:r>
        <w:t xml:space="preserve"> (7 comparables): múltiplo = 7,4 + 0,09 × crecimiento; R² = 0,03. El crecimiento explica poco los múltiplos de estos comparables (R² &lt; 0,3): la regresión no se usa en la valoración.</w:t>
      </w:r>
    </w:p>
    <w:p>
      <w:pPr>
        <w:spacing w:after="100"/>
      </w:pPr>
      <w:r>
        <w:t xml:space="preserve">CAF cotiza a 7,0x el EBITDA de los próximos 12 meses, en línea con la mediana del grupo (7,3x) y entre Alstom (4,8x) y Stadler (7,3x), sus rivales directos; a 12,4x el PER, por debajo de la mediana (15,8x) [52, 53, 54, 55, 56, 57, 58, 59]. Sin prima ni descuento, y con razón: crece más que la mediana (el consenso da +10,6 % en 2026 frente al 6,7 % de la mediana de los comparables a 12 meses), pero con menos margen EBITDA (8,1 % en los últimos 12 meses frente al 10,3 %) y una conversión en caja mucho peor [47]. Knorr-Bremse y Wabtec (10,5x y 16,2x) suben la media: son proveedores de componentes con márgenes del 16-22 % y no son referencia para un integrador. La regresión múltiplo-crecimiento no explica nada (R² de 0,03) y no se usa. La mediana de EV/EBITDA y PER da 90,84 EUR por acción; la usamos con un peso del 15 % y la contrastamos con la suma de partes, que da 67,18 EUR con múltiplos de fabricante para el ferrocarril y de camión para Solaris.</w:t>
      </w:r>
    </w:p>
    <w:p>
      <w:pPr>
        <w:pStyle w:val="Heading1"/>
      </w:pPr>
      <w:r>
        <w:t xml:space="preserve">19. Transacciones precedentes</w:t>
      </w:r>
    </w:p>
    <w:p>
      <w:pPr>
        <w:pStyle w:val="Confianza"/>
        <w:spacing w:after="100"/>
      </w:pPr>
      <w:r>
        <w:t xml:space="preserve">Confianza: Media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571"/>
        <w:gridCol w:w="1780"/>
        <w:gridCol w:w="1676"/>
        <w:gridCol w:w="838"/>
        <w:gridCol w:w="838"/>
        <w:gridCol w:w="838"/>
        <w:gridCol w:w="2097"/>
      </w:tblGrid>
      <w:tr>
        <w:trPr>
          <w:cantSplit/>
          <w:tblHeader/>
        </w:trPr>
        <w:tc>
          <w:tcPr>
            <w:tcW w:type="dxa" w:w="83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Fecha</w:t>
            </w:r>
          </w:p>
        </w:tc>
        <w:tc>
          <w:tcPr>
            <w:tcW w:type="dxa" w:w="178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Objetivo</w:t>
            </w:r>
          </w:p>
        </w:tc>
        <w:tc>
          <w:tcPr>
            <w:tcW w:type="dxa" w:w="167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Comprador</w:t>
            </w:r>
          </w:p>
        </w:tc>
        <w:tc>
          <w:tcPr>
            <w:tcW w:type="dxa" w:w="83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EV (M)</w:t>
            </w:r>
          </w:p>
        </w:tc>
        <w:tc>
          <w:tcPr>
            <w:tcW w:type="dxa" w:w="83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EV/Ventas</w:t>
            </w:r>
          </w:p>
        </w:tc>
        <w:tc>
          <w:tcPr>
            <w:tcW w:type="dxa" w:w="83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EV/EBITDA</w:t>
            </w:r>
          </w:p>
        </w:tc>
        <w:tc>
          <w:tcPr>
            <w:tcW w:type="dxa" w:w="209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Comentario</w:t>
            </w:r>
          </w:p>
        </w:tc>
      </w:tr>
      <w:tr>
        <w:trPr>
          <w:cantSplit/>
        </w:trPr>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2021-01</w:t>
            </w:r>
          </w:p>
        </w:tc>
        <w:tc>
          <w:tcPr>
            <w:tcW w:type="dxa" w:w="178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Bombardier Transportation</w:t>
            </w:r>
          </w:p>
        </w:tc>
        <w:tc>
          <w:tcPr>
            <w:tcW w:type="dxa" w:w="16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Alstom</w:t>
            </w:r>
          </w:p>
        </w:tc>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5.500</w:t>
            </w:r>
          </w:p>
        </w:tc>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20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Precio de referencia de 5.500 M EUR (parte baja del rango de 5.500-5.900 M), libre de caja y deuda; Alstom pagó 4.400 M tras 1.100 M de ajuste por la caja neta negativa de Bombardier Transportation a 31-dic-2020 [61]. Múltiplos no publicados en el documento leído.</w:t>
            </w:r>
          </w:p>
        </w:tc>
      </w:tr>
      <w:tr>
        <w:trPr>
          <w:cantSplit/>
        </w:trPr>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2021-08</w:t>
            </w:r>
          </w:p>
        </w:tc>
        <w:tc>
          <w:tcPr>
            <w:tcW w:type="dxa" w:w="178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Thales Ground Transportation Systems (señalización ferroviaria)</w:t>
            </w:r>
          </w:p>
        </w:tc>
        <w:tc>
          <w:tcPr>
            <w:tcW w:type="dxa" w:w="16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Hitachi Rail</w:t>
            </w:r>
          </w:p>
        </w:tc>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1.660</w:t>
            </w:r>
          </w:p>
        </w:tc>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1,04x</w:t>
            </w:r>
          </w:p>
        </w:tc>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20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Valor empresa de 1.660 M EUR; ventas de 1.600 M EUR en 2020 (EV/ventas calculado); Hitachi estimaba un EV/EBIT «forward» de unas 10x al cierre [62]. Anuncio del 4-ago-2021.</w:t>
            </w:r>
          </w:p>
        </w:tc>
      </w:tr>
      <w:tr>
        <w:trPr>
          <w:cantSplit/>
        </w:trPr>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2024-04</w:t>
            </w:r>
          </w:p>
        </w:tc>
        <w:tc>
          <w:tcPr>
            <w:tcW w:type="dxa" w:w="178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Alstom Signaling North America (señalización convencional)</w:t>
            </w:r>
          </w:p>
        </w:tc>
        <w:tc>
          <w:tcPr>
            <w:tcW w:type="dxa" w:w="16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Knorr-Bremse</w:t>
            </w:r>
          </w:p>
        </w:tc>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648</w:t>
            </w:r>
          </w:p>
        </w:tc>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20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Precio de unos 690 M USD (648 M EUR al tipo del BCE del 19-abr-2024, 1,0653), anunciado en abril y cerrado en septiembre de 2024; parte del plan de desinversiones de 2.000 M de Alstom [51, 63]. Ventas y márgenes no publicados en el documento leído.</w:t>
            </w:r>
          </w:p>
        </w:tc>
      </w:tr>
      <w:tr>
        <w:trPr>
          <w:cantSplit/>
        </w:trPr>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2025-01</w:t>
            </w:r>
          </w:p>
        </w:tc>
        <w:tc>
          <w:tcPr>
            <w:tcW w:type="dxa" w:w="178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Evident Inspection Technologies (inspección industrial)</w:t>
            </w:r>
          </w:p>
        </w:tc>
        <w:tc>
          <w:tcPr>
            <w:tcW w:type="dxa" w:w="16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Wabtec</w:t>
            </w:r>
          </w:p>
        </w:tc>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1.737</w:t>
            </w:r>
          </w:p>
        </w:tc>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20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Inspección industrial, no ferroviaria: múltiplos publicados (4,11x ventas y 12,0x EBITDA con sinergias) fuera del cálculo [64].</w:t>
            </w:r>
          </w:p>
        </w:tc>
      </w:tr>
      <w:tr>
        <w:trPr>
          <w:cantSplit/>
        </w:trPr>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2025-03</w:t>
            </w:r>
          </w:p>
        </w:tc>
        <w:tc>
          <w:tcPr>
            <w:tcW w:type="dxa" w:w="178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Dellner Couplers (enganches y conexiones de trenes de pasajeros)</w:t>
            </w:r>
          </w:p>
        </w:tc>
        <w:tc>
          <w:tcPr>
            <w:tcW w:type="dxa" w:w="16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Wabtec</w:t>
            </w:r>
          </w:p>
        </w:tc>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879</w:t>
            </w:r>
          </w:p>
        </w:tc>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3,84x</w:t>
            </w:r>
          </w:p>
        </w:tc>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12,5x</w:t>
            </w:r>
          </w:p>
        </w:tc>
        <w:tc>
          <w:tcPr>
            <w:tcW w:type="dxa" w:w="20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960 M USD en efectivo (879 M EUR al BCE del 18-mar-2025, 1,0918); ventas esperadas de 2025 de unos 250 M USD (EV/ventas calculado); 12,5x el EBITDA proyectado de 2025 ajustado por costes de la operación y 22 M USD de sinergias [51, 65]. Vendedor: EQT (no verificado en el documento leído).</w:t>
            </w:r>
          </w:p>
        </w:tc>
      </w:tr>
      <w:tr>
        <w:trPr>
          <w:cantSplit/>
        </w:trPr>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2025-07</w:t>
            </w:r>
          </w:p>
        </w:tc>
        <w:tc>
          <w:tcPr>
            <w:tcW w:type="dxa" w:w="178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Iveco Defence (vehículos militares)</w:t>
            </w:r>
          </w:p>
        </w:tc>
        <w:tc>
          <w:tcPr>
            <w:tcW w:type="dxa" w:w="16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Leonardo</w:t>
            </w:r>
          </w:p>
        </w:tc>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1.700</w:t>
            </w:r>
          </w:p>
        </w:tc>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20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Valor empresa de 1.700 M EUR, anunciado a la vez que la oferta de Tata Motors sobre Iveco, que está condicionada a la separación del negocio de defensa [66].</w:t>
            </w:r>
          </w:p>
        </w:tc>
      </w:tr>
      <w:tr>
        <w:trPr>
          <w:cantSplit/>
        </w:trPr>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2025-07</w:t>
            </w:r>
          </w:p>
        </w:tc>
        <w:tc>
          <w:tcPr>
            <w:tcW w:type="dxa" w:w="178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Iveco Group (camiones y autobuses, sin defensa)</w:t>
            </w:r>
          </w:p>
        </w:tc>
        <w:tc>
          <w:tcPr>
            <w:tcW w:type="dxa" w:w="16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Tata Motors</w:t>
            </w:r>
          </w:p>
        </w:tc>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20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OPA voluntaria recomendada por todas las acciones de Iveco por unos 3.800 M EUR (valor de las acciones, no valor empresa); con la venta de defensa, unos 5.500 M EUR para los accionistas [66]. Iveco cotizaba a 14,30 EUR el 6-oct-2026 [68]: la oferta seguía pendiente a la fecha de corte (prima y calendario no verificados en un documento original). Incluye Iveco Bus, competidor directo de Solaris.</w:t>
            </w:r>
          </w:p>
        </w:tc>
      </w:tr>
      <w:tr>
        <w:trPr>
          <w:cantSplit/>
        </w:trPr>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2025-11</w:t>
            </w:r>
          </w:p>
        </w:tc>
        <w:tc>
          <w:tcPr>
            <w:tcW w:type="dxa" w:w="178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Talgo (29,76 % del capital)</w:t>
            </w:r>
          </w:p>
        </w:tc>
        <w:tc>
          <w:tcPr>
            <w:tcW w:type="dxa" w:w="16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Consorcio de Sidenor, Gobierno Vasco (Finkatuz), BBK y Vital</w:t>
            </w:r>
          </w:p>
        </w:tc>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930</w:t>
            </w:r>
          </w:p>
        </w:tc>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1,39x</w:t>
            </w:r>
          </w:p>
        </w:tc>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20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Compra del 29,76 % a Pegaso (Trilantic) y otros minoritarios por 156,67 M EUR, a 4,25 EUR por acción; el organismo público aporta además 45 M a una ampliación de capital [67]. Estimación propia: 100 % de las acciones ≈ 526 M (156,67 / 0,2976) + deuda neta de 404 M a 31-dic-2024 (MarketScreener) ≈ 930 M de valor empresa, 1,39x las ventas de 2024 (669 M) [54, 67]. Paquete minoritario sin OPA y con EBITDA de 2024 negativo: no es un precio de control.</w:t>
            </w:r>
          </w:p>
        </w:tc>
      </w:tr>
      <w:tr>
        <w:trPr>
          <w:cantSplit/>
        </w:trPr>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2018-09</w:t>
            </w:r>
          </w:p>
        </w:tc>
        <w:tc>
          <w:tcPr>
            <w:tcW w:type="dxa" w:w="178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Solaris Bus &amp; Coach (autobuses)</w:t>
            </w:r>
          </w:p>
        </w:tc>
        <w:tc>
          <w:tcPr>
            <w:tcW w:type="dxa" w:w="167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CAF</w:t>
            </w:r>
          </w:p>
        </w:tc>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w:t>
            </w:r>
          </w:p>
        </w:tc>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w:t>
            </w:r>
          </w:p>
        </w:tc>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w:t>
            </w:r>
          </w:p>
        </w:tc>
        <w:tc>
          <w:tcPr>
            <w:tcW w:type="dxa" w:w="20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Contraprestación de 197,98 M EUR por el 100 % de las acciones; activos netos adquiridos (definitivos) 105,54 M y fondo de comercio 92,44 M; consolidada desde el 4-sep-2018 [5]. Fuera de la ventana de 5-7 años; sirve de referencia del precio que pagó la propia CAF por su segmento de autobuses. Valor empresa no publicado de forma limpia en la nota (tabla de pasivos financieros desordenada en el PDF).</w:t>
            </w:r>
          </w:p>
        </w:tc>
      </w:tr>
    </w:tbl>
    <w:p>
      <w:pPr>
        <w:spacing w:after="16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23"/>
        <w:gridCol w:w="2796"/>
        <w:gridCol w:w="2023"/>
        <w:gridCol w:w="2796"/>
      </w:tblGrid>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Valor por acción implícito (mediana de EV/ventas)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181,76</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Rango p25 – p75</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157,03 – 354,87</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520000"/>
            <wp:effectExtent l="0" t="0" r="0" b="0"/>
            <wp:docPr id="1024" name="Gráfico 24" descr="EV/EBITDA pagado en transacciones del sector (veces)"/>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24"/>
              </a:graphicData>
            </a:graphic>
          </wp:inline>
        </w:drawing>
      </w:r>
    </w:p>
    <w:p>
      <w:pPr>
        <w:spacing w:after="100"/>
      </w:pPr>
      <w:r>
        <w:t xml:space="preserve">Las operaciones del sector no sirven para valorar CAF: las que tienen múltiplo publicado son de señalización o componentes (Thales GTS a 1,04x ventas; Dellner a 3,84x y 12,5x EBITDA con sinergias) o de inspección industrial (Evident, fuera del cálculo), con márgenes que doblan los de un integrador de trenes [62, 64, 65]. Aplicadas a las ventas de CAF dan valores sin sentido (181,76 EUR de mediana, más del doble del precio), así que pesan cero. Sí dicen algo del control: en Talgo, las instituciones vascas (Gobierno Vasco vía Finkatuz, BBK, Vital) entraron en 2025 junto a Sidenor para que el 29,76 % no saliera de España, a 1,39x ventas (estimación sobre un paquete minoritario) pese a las pérdidas [67]. En CAF, Cartera Social (23,12 %), BBK (13,23 %) y el Instituto Vasco de Finanzas (3,00 %) suman un 39,35 %: una OPA hostil no es realista, y el caso Talgo muestra que el bloque vasco actuaría para mantener el control [6, 67].</w:t>
      </w:r>
    </w:p>
    <w:p>
      <w:pPr>
        <w:pStyle w:val="Heading1"/>
      </w:pPr>
      <w:r>
        <w:t xml:space="preserve">20. Descuento de flujos de caja (DCF)</w:t>
      </w:r>
    </w:p>
    <w:p>
      <w:pPr>
        <w:pStyle w:val="Confianza"/>
        <w:spacing w:after="100"/>
      </w:pPr>
      <w:r>
        <w:t xml:space="preserve">Confianza: Media</w:t>
      </w:r>
    </w:p>
    <w:p>
      <w:pPr>
        <w:pStyle w:val="Heading2"/>
      </w:pPr>
      <w:r>
        <w:t xml:space="preserve">Supuestos y su justificación</w:t>
      </w:r>
    </w:p>
    <w:p>
      <w:pPr>
        <w:keepNext/>
        <w:spacing w:after="100"/>
      </w:pPr>
      <w:r>
        <w:rPr>
          <w:b/>
          <w:bCs/>
        </w:rPr>
        <w:t xml:space="preserve">Crecimiento de ingresos.</w:t>
      </w:r>
    </w:p>
    <w:p>
      <w:pPr>
        <w:spacing w:after="100"/>
      </w:pPr>
      <w:r>
        <w:t xml:space="preserve">2026e se fija en +10,0 % (4.935 M), entre la guía de «un dígito alto» y el consenso (+10,6 %, 4.964 M): el 1S26 ya creció un 16 % y el 2S tendrá menos entregas de Solaris [8, 47]. 2027e +7,5 % y 2028e +7,0 %, algo por debajo del consenso (+7,9 % y +7,5 %) [47]. La cartera respalda esas cifras: 17.743 M a jun-26 (3,7 veces las ventas de los últimos 12 meses), de la que CAF prevé ejecutar el 26 % en 2026 y el 29 % en 2027, más de 700 M firmados fuera de cartera y más de 10.000 M en opciones [1, 8]. Desde 2029 converge al 2,5 %: el mercado ferroviario mundial crece un 3,2 % anual según UNIFE (2026) y los autobuses urbanos de la UE ya son de cero emisiones en un 60 % de las matriculaciones, así que el empuje de Solaris se agota [24, 26].</w:t>
      </w:r>
    </w:p>
    <w:p>
      <w:pPr>
        <w:keepNext/>
        <w:spacing w:after="100"/>
      </w:pPr>
      <w:r>
        <w:rPr>
          <w:b/>
          <w:bCs/>
        </w:rPr>
        <w:t xml:space="preserve">Márgenes.</w:t>
      </w:r>
    </w:p>
    <w:p>
      <w:pPr>
        <w:spacing w:after="100"/>
      </w:pPr>
      <w:r>
        <w:t xml:space="preserve">Margen EBITDA del 8,4 % en 2026e (consenso 8,4 %; 8,2 % en el 1S26) y estable en el 8,4 % desde 2027e [8, 47]. Hasta la v3 subía al 8,5 % en 2027e y al 8,6 % desde 2028e; lo dejamos en el de 2026e por la prueba de sostenibilidad: con esa subida, el capital nuevo tendría que rendir un 18,1 %, frente a un ROIC del 13,6 % (12,8 % a margen constante), y la mejora no está demostrada. Con el 8,4 %, rinde un 16,7 %, dentro de 1,25 veces el ROIC. Queda medio punto por debajo del consenso de 2028 (8,9 %) [47]: CAF no ha superado el 8,7 % desde 2018 y la media de 2019-2025 es del 7,7 % [1, 2, 3, 4, 5]. Las razones para que mejore son reales (Solaris en el 7,3 % de margen EBIT, más servicios —4.615 M de cartera—, contratos nuevos con cláusulas de indexación desde 2022 [15]), pero el Ferroviario sigue en el 5,2 % de EBIT y la propia empresa reconoce contratos «aún impactados por la inflación» [1, 8]. Un 8,4 % de EBITDA es un margen EBIT de ≈ 6,0 %, por debajo del ≥ 6,3 % que prometía el Plan 2026 para este año [15]: si el plan 2027-2030 lo demuestra, es potencial que el base no recoge (≈ 21 EUR por acción por punto).</w:t>
      </w:r>
    </w:p>
    <w:p>
      <w:pPr>
        <w:keepNext/>
        <w:spacing w:after="100"/>
      </w:pPr>
      <w:r>
        <w:rPr>
          <w:b/>
          <w:bCs/>
        </w:rPr>
        <w:t xml:space="preserve">Inversión y circulante.</w:t>
      </w:r>
    </w:p>
    <w:p>
      <w:pPr>
        <w:spacing w:after="100"/>
      </w:pPr>
      <w:r>
        <w:t xml:space="preserve">Capex del 3,2 % de las ventas en 2026e y del 3,4 % en 2027e (talleres de Alemania y Reino Unido, nave de pruebas de Beasain, nueva nave de Solaris), y del 3,0 % desde 2029, por encima de la amortización (2,4-2,5 %) [8]. Incluye el 0,6 % de las ventas de pagos de arrendamientos, porque los pasivos por arrendamiento van en la deuda (NIIF 16) [1]. Circulante del motor del 10,0 % de las ventas en 2026e (9,0 % en 2025; el 1S26 consumió 130 M) y subida hasta el 12,0 % en 2029e: en 2022-2025 el circulante absorbió unos 21 céntimos por cada euro de ventas nuevas (320 M para 1.544 M más de ventas entre 2021 y 2025), y el Plan 2026 de CAF suponía un circulante del 5-7 % de las ventas con su propia definición, frente al ≈ 2 % de 2025 [1, 15]. Tipo impositivo del 27 % (29,8 % en 2025, 26 % en el 1S26) [1, 8].</w:t>
      </w:r>
    </w:p>
    <w:p>
      <w:pPr>
        <w:keepNext/>
        <w:spacing w:after="100"/>
      </w:pPr>
      <w:r>
        <w:rPr>
          <w:b/>
          <w:bCs/>
        </w:rPr>
        <w:t xml:space="preserve">Coste del capital.</w:t>
      </w:r>
    </w:p>
    <w:p>
      <w:pPr>
        <w:spacing w:after="100"/>
      </w:pPr>
      <w:r>
        <w:t xml:space="preserve">Tasa libre: bono español a 10 años al 4,10 % el 6-oct-2026 [49, 50]. Beta de 0,91 a cinco años mensual frente al IBEX, ajustada de Blume a 0,94 [45]. Prima de mercado del 5,5 % y prima adicional del 0,5 % por la concentración de la cartera en grandes contratos a precio cerrado (SNCB pesa ≈ 10 % de la cartera) y por la liquidez escasa (≈ 1,9 M EUR al día) [8, 45]. Coste de los fondos propios del 9,77 %. Coste de la deuda antes de impuestos del 4,5 % (intereses pagados de 38,1 M sobre 812-833 M de deuda media, un 4,6 %) [1]. Peso de la deuda del 26 % a valor de mercado (deuda bruta y arrendamientos frente a 2.682 M de capitalización). WACC del 8,11 %.</w:t>
      </w:r>
    </w:p>
    <w:p>
      <w:pPr>
        <w:keepNext/>
        <w:spacing w:after="100"/>
      </w:pPr>
      <w:r>
        <w:rPr>
          <w:b/>
          <w:bCs/>
        </w:rPr>
        <w:t xml:space="preserve">Valor terminal.</w:t>
      </w:r>
    </w:p>
    <w:p>
      <w:pPr>
        <w:spacing w:after="100"/>
      </w:pPr>
      <w:r>
        <w:t xml:space="preserve">Gordon con un crecimiento del 2,0 % nominal en EUR: inflación objetivo del BCE y crecimiento real casi nulo de un mercado que crece un 3,2 % nominal (UNIFE) en el que CAF no gana cuota [24]. El múltiplo implícito es de 7,1x el EBITDA de 2035, en línea con la mediana de los comparables (7,3x NTM) y con la media histórica de CAF (6,8x), lo que da coherencia al terminal. El valor terminal pesa un 63 % del valor.</w:t>
      </w:r>
    </w:p>
    <w:p>
      <w:pPr>
        <w:pStyle w:val="Heading2"/>
      </w:pPr>
      <w:r>
        <w:t xml:space="preserve">Coste medio ponderado del capital</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7413"/>
        <w:gridCol w:w="2225"/>
      </w:tblGrid>
      <w:tr>
        <w:trPr>
          <w:cantSplit/>
          <w:tblHeader/>
        </w:trPr>
        <w:tc>
          <w:tcPr>
            <w:tcW w:type="dxa" w:w="741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Componente</w:t>
            </w:r>
          </w:p>
        </w:tc>
        <w:tc>
          <w:tcPr>
            <w:tcW w:type="dxa" w:w="222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Valor</w:t>
            </w:r>
          </w:p>
        </w:tc>
      </w:tr>
      <w:tr>
        <w:trPr>
          <w:cantSplit/>
        </w:trPr>
        <w:tc>
          <w:tcPr>
            <w:tcW w:type="dxa" w:w="74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Tasa libre de riesgo</w:t>
            </w:r>
          </w:p>
        </w:tc>
        <w:tc>
          <w:tcPr>
            <w:tcW w:type="dxa" w:w="22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4,10 %</w:t>
            </w:r>
          </w:p>
        </w:tc>
      </w:tr>
      <w:tr>
        <w:trPr>
          <w:cantSplit/>
        </w:trPr>
        <w:tc>
          <w:tcPr>
            <w:tcW w:type="dxa" w:w="74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Beta</w:t>
            </w:r>
          </w:p>
        </w:tc>
        <w:tc>
          <w:tcPr>
            <w:tcW w:type="dxa" w:w="22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0,94</w:t>
            </w:r>
          </w:p>
        </w:tc>
      </w:tr>
      <w:tr>
        <w:trPr>
          <w:cantSplit/>
        </w:trPr>
        <w:tc>
          <w:tcPr>
            <w:tcW w:type="dxa" w:w="74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Prima de riesgo de mercado</w:t>
            </w:r>
          </w:p>
        </w:tc>
        <w:tc>
          <w:tcPr>
            <w:tcW w:type="dxa" w:w="22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5,50 %</w:t>
            </w:r>
          </w:p>
        </w:tc>
      </w:tr>
      <w:tr>
        <w:trPr>
          <w:cantSplit/>
        </w:trPr>
        <w:tc>
          <w:tcPr>
            <w:tcW w:type="dxa" w:w="74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Prima adicional (país, tamaño, específica)</w:t>
            </w:r>
          </w:p>
        </w:tc>
        <w:tc>
          <w:tcPr>
            <w:tcW w:type="dxa" w:w="22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0,50 %</w:t>
            </w:r>
          </w:p>
        </w:tc>
      </w:tr>
      <w:tr>
        <w:trPr>
          <w:cantSplit/>
        </w:trPr>
        <w:tc>
          <w:tcPr>
            <w:tcW w:type="dxa" w:w="74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Coste de los fondos propios</w:t>
            </w:r>
          </w:p>
        </w:tc>
        <w:tc>
          <w:tcPr>
            <w:tcW w:type="dxa" w:w="22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9,77 %</w:t>
            </w:r>
          </w:p>
        </w:tc>
      </w:tr>
      <w:tr>
        <w:trPr>
          <w:cantSplit/>
        </w:trPr>
        <w:tc>
          <w:tcPr>
            <w:tcW w:type="dxa" w:w="74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Coste de la deuda antes de impuestos</w:t>
            </w:r>
          </w:p>
        </w:tc>
        <w:tc>
          <w:tcPr>
            <w:tcW w:type="dxa" w:w="22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4,50 %</w:t>
            </w:r>
          </w:p>
        </w:tc>
      </w:tr>
      <w:tr>
        <w:trPr>
          <w:cantSplit/>
        </w:trPr>
        <w:tc>
          <w:tcPr>
            <w:tcW w:type="dxa" w:w="74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Tipo impositivo</w:t>
            </w:r>
          </w:p>
        </w:tc>
        <w:tc>
          <w:tcPr>
            <w:tcW w:type="dxa" w:w="22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25,00 %</w:t>
            </w:r>
          </w:p>
        </w:tc>
      </w:tr>
      <w:tr>
        <w:trPr>
          <w:cantSplit/>
        </w:trPr>
        <w:tc>
          <w:tcPr>
            <w:tcW w:type="dxa" w:w="74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Coste de la deuda después de impuestos</w:t>
            </w:r>
          </w:p>
        </w:tc>
        <w:tc>
          <w:tcPr>
            <w:tcW w:type="dxa" w:w="22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3,38 %</w:t>
            </w:r>
          </w:p>
        </w:tc>
      </w:tr>
      <w:tr>
        <w:trPr>
          <w:cantSplit/>
        </w:trPr>
        <w:tc>
          <w:tcPr>
            <w:tcW w:type="dxa" w:w="74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Peso de la deuda (D / (D + E))</w:t>
            </w:r>
          </w:p>
        </w:tc>
        <w:tc>
          <w:tcPr>
            <w:tcW w:type="dxa" w:w="22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26,00 %</w:t>
            </w:r>
          </w:p>
        </w:tc>
      </w:tr>
      <w:tr>
        <w:trPr>
          <w:cantSplit/>
        </w:trPr>
        <w:tc>
          <w:tcPr>
            <w:tcW w:type="dxa" w:w="74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WACC</w:t>
            </w:r>
          </w:p>
        </w:tc>
        <w:tc>
          <w:tcPr>
            <w:tcW w:type="dxa" w:w="22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8,11 %</w:t>
            </w:r>
          </w:p>
        </w:tc>
      </w:tr>
      <w:tr>
        <w:trPr>
          <w:cantSplit/>
        </w:trPr>
        <w:tc>
          <w:tcPr>
            <w:tcW w:type="dxa" w:w="74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Prima de riesgo implícita del mercado (regla relativa)</w:t>
            </w:r>
          </w:p>
        </w:tc>
        <w:tc>
          <w:tcPr>
            <w:tcW w:type="dxa" w:w="22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4,20 %</w:t>
            </w:r>
          </w:p>
        </w:tc>
      </w:tr>
      <w:tr>
        <w:trPr>
          <w:cantSplit/>
        </w:trPr>
        <w:tc>
          <w:tcPr>
            <w:tcW w:type="dxa" w:w="74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WACC con la prima implícita del mercado</w:t>
            </w:r>
          </w:p>
        </w:tc>
        <w:tc>
          <w:tcPr>
            <w:tcW w:type="dxa" w:w="22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7,20 %</w:t>
            </w:r>
          </w:p>
        </w:tc>
      </w:tr>
    </w:tbl>
    <w:p>
      <w:pPr>
        <w:spacing w:after="160" w:before="0"/>
      </w:pPr>
    </w:p>
    <w:p>
      <w:pPr>
        <w:pStyle w:val="Heading2"/>
      </w:pPr>
      <w:r>
        <w:t xml:space="preserve">Proyección</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781"/>
        <w:gridCol w:w="937"/>
        <w:gridCol w:w="729"/>
        <w:gridCol w:w="885"/>
        <w:gridCol w:w="833"/>
        <w:gridCol w:w="781"/>
        <w:gridCol w:w="833"/>
        <w:gridCol w:w="781"/>
        <w:gridCol w:w="729"/>
        <w:gridCol w:w="833"/>
        <w:gridCol w:w="729"/>
        <w:gridCol w:w="787"/>
      </w:tblGrid>
      <w:tr>
        <w:trPr>
          <w:cantSplit/>
          <w:tblHeader/>
        </w:trPr>
        <w:tc>
          <w:tcPr>
            <w:tcW w:type="dxa" w:w="78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Año</w:t>
            </w:r>
          </w:p>
        </w:tc>
        <w:tc>
          <w:tcPr>
            <w:tcW w:type="dxa" w:w="93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Ingresos</w:t>
            </w:r>
          </w:p>
        </w:tc>
        <w:tc>
          <w:tcPr>
            <w:tcW w:type="dxa" w:w="72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Crec.</w:t>
            </w:r>
          </w:p>
        </w:tc>
        <w:tc>
          <w:tcPr>
            <w:tcW w:type="dxa" w:w="88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EBITDA</w:t>
            </w:r>
          </w:p>
        </w:tc>
        <w:tc>
          <w:tcPr>
            <w:tcW w:type="dxa" w:w="83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 EBITDA</w:t>
            </w:r>
          </w:p>
        </w:tc>
        <w:tc>
          <w:tcPr>
            <w:tcW w:type="dxa" w:w="78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Amort.</w:t>
            </w:r>
          </w:p>
        </w:tc>
        <w:tc>
          <w:tcPr>
            <w:tcW w:type="dxa" w:w="83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Impuestos</w:t>
            </w:r>
          </w:p>
        </w:tc>
        <w:tc>
          <w:tcPr>
            <w:tcW w:type="dxa" w:w="78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Capex</w:t>
            </w:r>
          </w:p>
        </w:tc>
        <w:tc>
          <w:tcPr>
            <w:tcW w:type="dxa" w:w="72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Δ Circ.</w:t>
            </w:r>
          </w:p>
        </w:tc>
        <w:tc>
          <w:tcPr>
            <w:tcW w:type="dxa" w:w="83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FCFF</w:t>
            </w:r>
          </w:p>
        </w:tc>
        <w:tc>
          <w:tcPr>
            <w:tcW w:type="dxa" w:w="72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Fracción</w:t>
            </w:r>
          </w:p>
        </w:tc>
        <w:tc>
          <w:tcPr>
            <w:tcW w:type="dxa" w:w="78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w:t>
            </w:r>
          </w:p>
        </w:tc>
      </w:tr>
      <w:tr>
        <w:trPr>
          <w:cantSplit/>
        </w:trPr>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2026e</w:t>
            </w:r>
          </w:p>
        </w:tc>
        <w:tc>
          <w:tcPr>
            <w:tcW w:type="dxa" w:w="93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4.935</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10,0 %</w:t>
            </w:r>
          </w:p>
        </w:tc>
        <w:tc>
          <w:tcPr>
            <w:tcW w:type="dxa" w:w="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415</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8,4 %</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118</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80</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158</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88</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89</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0,24</w:t>
            </w:r>
          </w:p>
        </w:tc>
        <w:tc>
          <w:tcPr>
            <w:tcW w:type="dxa" w:w="78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21</w:t>
            </w:r>
          </w:p>
        </w:tc>
      </w:tr>
      <w:tr>
        <w:trPr>
          <w:cantSplit/>
        </w:trPr>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2027e</w:t>
            </w:r>
          </w:p>
        </w:tc>
        <w:tc>
          <w:tcPr>
            <w:tcW w:type="dxa" w:w="93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5.305</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7,5 %</w:t>
            </w:r>
          </w:p>
        </w:tc>
        <w:tc>
          <w:tcPr>
            <w:tcW w:type="dxa" w:w="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446</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8,4 %</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127</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86</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180</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77</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103</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1,00</w:t>
            </w:r>
          </w:p>
        </w:tc>
        <w:tc>
          <w:tcPr>
            <w:tcW w:type="dxa" w:w="78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97</w:t>
            </w:r>
          </w:p>
        </w:tc>
      </w:tr>
      <w:tr>
        <w:trPr>
          <w:cantSplit/>
        </w:trPr>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2028e</w:t>
            </w:r>
          </w:p>
        </w:tc>
        <w:tc>
          <w:tcPr>
            <w:tcW w:type="dxa" w:w="93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5.677</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7,0 %</w:t>
            </w:r>
          </w:p>
        </w:tc>
        <w:tc>
          <w:tcPr>
            <w:tcW w:type="dxa" w:w="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477</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8,4 %</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136</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92</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182</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82</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121</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1,00</w:t>
            </w:r>
          </w:p>
        </w:tc>
        <w:tc>
          <w:tcPr>
            <w:tcW w:type="dxa" w:w="78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105</w:t>
            </w:r>
          </w:p>
        </w:tc>
      </w:tr>
      <w:tr>
        <w:trPr>
          <w:cantSplit/>
        </w:trPr>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2029e</w:t>
            </w:r>
          </w:p>
        </w:tc>
        <w:tc>
          <w:tcPr>
            <w:tcW w:type="dxa" w:w="93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5.989</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5,5 %</w:t>
            </w:r>
          </w:p>
        </w:tc>
        <w:tc>
          <w:tcPr>
            <w:tcW w:type="dxa" w:w="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503</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8,4 %</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150</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95</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180</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66</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162</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1,00</w:t>
            </w:r>
          </w:p>
        </w:tc>
        <w:tc>
          <w:tcPr>
            <w:tcW w:type="dxa" w:w="78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131</w:t>
            </w:r>
          </w:p>
        </w:tc>
      </w:tr>
      <w:tr>
        <w:trPr>
          <w:cantSplit/>
        </w:trPr>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2030e</w:t>
            </w:r>
          </w:p>
        </w:tc>
        <w:tc>
          <w:tcPr>
            <w:tcW w:type="dxa" w:w="93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6.258</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4,5 %</w:t>
            </w:r>
          </w:p>
        </w:tc>
        <w:tc>
          <w:tcPr>
            <w:tcW w:type="dxa" w:w="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526</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8,4 %</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156</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100</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188</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32</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206</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1,00</w:t>
            </w:r>
          </w:p>
        </w:tc>
        <w:tc>
          <w:tcPr>
            <w:tcW w:type="dxa" w:w="78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154</w:t>
            </w:r>
          </w:p>
        </w:tc>
      </w:tr>
      <w:tr>
        <w:trPr>
          <w:cantSplit/>
        </w:trPr>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2031e</w:t>
            </w:r>
          </w:p>
        </w:tc>
        <w:tc>
          <w:tcPr>
            <w:tcW w:type="dxa" w:w="93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6.509</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4,0 %</w:t>
            </w:r>
          </w:p>
        </w:tc>
        <w:tc>
          <w:tcPr>
            <w:tcW w:type="dxa" w:w="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547</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8,4 %</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163</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104</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195</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30</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218</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1,00</w:t>
            </w:r>
          </w:p>
        </w:tc>
        <w:tc>
          <w:tcPr>
            <w:tcW w:type="dxa" w:w="78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150</w:t>
            </w:r>
          </w:p>
        </w:tc>
      </w:tr>
      <w:tr>
        <w:trPr>
          <w:cantSplit/>
        </w:trPr>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2032e</w:t>
            </w:r>
          </w:p>
        </w:tc>
        <w:tc>
          <w:tcPr>
            <w:tcW w:type="dxa" w:w="93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6.737</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3,5 %</w:t>
            </w:r>
          </w:p>
        </w:tc>
        <w:tc>
          <w:tcPr>
            <w:tcW w:type="dxa" w:w="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566</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8,4 %</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168</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107</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202</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27</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229</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1,00</w:t>
            </w:r>
          </w:p>
        </w:tc>
        <w:tc>
          <w:tcPr>
            <w:tcW w:type="dxa" w:w="78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147</w:t>
            </w:r>
          </w:p>
        </w:tc>
      </w:tr>
      <w:tr>
        <w:trPr>
          <w:cantSplit/>
        </w:trPr>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2033e</w:t>
            </w:r>
          </w:p>
        </w:tc>
        <w:tc>
          <w:tcPr>
            <w:tcW w:type="dxa" w:w="93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6.939</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3,0 %</w:t>
            </w:r>
          </w:p>
        </w:tc>
        <w:tc>
          <w:tcPr>
            <w:tcW w:type="dxa" w:w="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583</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8,4 %</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173</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111</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208</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24</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240</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1,00</w:t>
            </w:r>
          </w:p>
        </w:tc>
        <w:tc>
          <w:tcPr>
            <w:tcW w:type="dxa" w:w="78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142</w:t>
            </w:r>
          </w:p>
        </w:tc>
      </w:tr>
      <w:tr>
        <w:trPr>
          <w:cantSplit/>
        </w:trPr>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2034e</w:t>
            </w:r>
          </w:p>
        </w:tc>
        <w:tc>
          <w:tcPr>
            <w:tcW w:type="dxa" w:w="93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7.112</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2,5 %</w:t>
            </w:r>
          </w:p>
        </w:tc>
        <w:tc>
          <w:tcPr>
            <w:tcW w:type="dxa" w:w="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597</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8,4 %</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178</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113</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213</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21</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250</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1,00</w:t>
            </w:r>
          </w:p>
        </w:tc>
        <w:tc>
          <w:tcPr>
            <w:tcW w:type="dxa" w:w="78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137</w:t>
            </w:r>
          </w:p>
        </w:tc>
      </w:tr>
      <w:tr>
        <w:trPr>
          <w:cantSplit/>
        </w:trPr>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2035e</w:t>
            </w:r>
          </w:p>
        </w:tc>
        <w:tc>
          <w:tcPr>
            <w:tcW w:type="dxa" w:w="93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7.290</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2,5 %</w:t>
            </w:r>
          </w:p>
        </w:tc>
        <w:tc>
          <w:tcPr>
            <w:tcW w:type="dxa" w:w="88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612</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8,4 %</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182</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116</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219</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21</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256</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1,00</w:t>
            </w:r>
          </w:p>
        </w:tc>
        <w:tc>
          <w:tcPr>
            <w:tcW w:type="dxa" w:w="78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130</w:t>
            </w:r>
          </w:p>
        </w:tc>
      </w:tr>
    </w:tbl>
    <w:p>
      <w:pPr>
        <w:spacing w:after="160" w:before="0"/>
      </w:pPr>
    </w:p>
    <w:p>
      <w:pPr>
        <w:pStyle w:val="Nota"/>
        <w:spacing w:after="100"/>
      </w:pPr>
      <w:r>
        <w:t xml:space="preserve">FCFF = EBIT × (1 − t) + amortizaciones − capex − variación del circulante. «Fracción» es la parte del ejercicio que queda por delante desde la fecha de valoración; VA, el valor actual.</w:t>
      </w:r>
    </w:p>
    <w:p>
      <w:pPr>
        <w:keepNext w:val="false"/>
        <w:spacing w:after="160" w:before="120"/>
        <w:jc w:val="center"/>
      </w:pPr>
      <w:r>
        <w:drawing>
          <wp:inline xmlns:wp="http://schemas.openxmlformats.org/drawingml/2006/wordprocessingDrawing" distT="0" distB="0" distL="0" distR="0">
            <wp:extent cx="5760000" cy="2160000"/>
            <wp:effectExtent l="0" t="0" r="0" b="0"/>
            <wp:docPr id="1025" name="Gráfico 25" descr="Flujo de caja libre para la empresa proyectado (EUR, millones)"/>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25"/>
              </a:graphicData>
            </a:graphic>
          </wp:inline>
        </w:drawing>
      </w:r>
    </w:p>
    <w:p>
      <w:pPr>
        <w:pStyle w:val="Heading2"/>
      </w:pPr>
      <w:r>
        <w:t xml:space="preserve">Valor terminal</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7139"/>
        <w:gridCol w:w="2499"/>
      </w:tblGrid>
      <w:tr>
        <w:trPr>
          <w:cantSplit/>
          <w:tblHeader/>
        </w:trPr>
        <w:tc>
          <w:tcPr>
            <w:tcW w:type="dxa" w:w="713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Concepto</w:t>
            </w:r>
          </w:p>
        </w:tc>
        <w:tc>
          <w:tcPr>
            <w:tcW w:type="dxa" w:w="249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Valor</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Método principal</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Crecimiento a perpetuidad</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Crecimiento a perpetuidad</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2,0 %</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Múltiplo EV/EBITDA de salida</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7,5x</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Valor terminal (Gordon)</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4.279</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Valor terminal (múltiplo)</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4.593</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Múltiplo de salida implícito en Gordon</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7,0x</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Crecimiento implícito en el múltiplo</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2,40 %</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Peso del valor terminal en el valor empresa</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63 %</w:t>
            </w:r>
          </w:p>
        </w:tc>
      </w:tr>
    </w:tbl>
    <w:p>
      <w:pPr>
        <w:spacing w:after="160" w:before="0"/>
      </w:pPr>
    </w:p>
    <w:p>
      <w:pPr>
        <w:pStyle w:val="Heading2"/>
      </w:pPr>
      <w:r>
        <w:t xml:space="preserve">Del valor empresa al valor por acción</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7139"/>
        <w:gridCol w:w="2499"/>
      </w:tblGrid>
      <w:tr>
        <w:trPr>
          <w:cantSplit/>
          <w:tblHeader/>
        </w:trPr>
        <w:tc>
          <w:tcPr>
            <w:tcW w:type="dxa" w:w="713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Concepto</w:t>
            </w:r>
          </w:p>
        </w:tc>
        <w:tc>
          <w:tcPr>
            <w:tcW w:type="dxa" w:w="249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Importe</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Valor actual de los flujos proyectados</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1.213</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Valor actual del valor terminal</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2.083</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Valor empresa</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3.295</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 Deuda financiera neta (con arrendamientos)</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-293</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 Minoritarios, pensiones y otros; + asociadas</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-209</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Valor de los fondos propios</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2.793</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Acciones diluidas (millones)</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34,2</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Valor por acción</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81,56</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160000"/>
            <wp:effectExtent l="0" t="0" r="0" b="0"/>
            <wp:docPr id="1026" name="Gráfico 26" descr="De dónde sale el valor empresa del DCF (EUR, millones)"/>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26"/>
              </a:graphicData>
            </a:graphic>
          </wp:inline>
        </w:drawing>
      </w:r>
    </w:p>
    <w:p>
      <w:pPr>
        <w:pStyle w:val="Heading2"/>
      </w:pPr>
      <w:r>
        <w:t xml:space="preserve">Sensibilidad: WACC × Crecimiento a perpetuidad</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606"/>
        <w:gridCol w:w="1606"/>
        <w:gridCol w:w="1606"/>
        <w:gridCol w:w="1606"/>
        <w:gridCol w:w="1606"/>
        <w:gridCol w:w="1608"/>
      </w:tblGrid>
      <w:tr>
        <w:trPr>
          <w:cantSplit/>
          <w:tblHeader/>
        </w:trPr>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WACC</w:t>
            </w:r>
          </w:p>
        </w:tc>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1,0 %</w:t>
            </w:r>
          </w:p>
        </w:tc>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1,5 %</w:t>
            </w:r>
          </w:p>
        </w:tc>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2,0 %</w:t>
            </w:r>
          </w:p>
        </w:tc>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2,5 %</w:t>
            </w:r>
          </w:p>
        </w:tc>
        <w:tc>
          <w:tcPr>
            <w:tcW w:type="dxa" w:w="160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3,0 %</w:t>
            </w:r>
          </w:p>
        </w:tc>
      </w:tr>
      <w:tr>
        <w:trPr>
          <w:cantSplit/>
        </w:trPr>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7,1 %</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88,00</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94,21</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101,63</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110,66</w:t>
            </w:r>
          </w:p>
        </w:tc>
        <w:tc>
          <w:tcPr>
            <w:tcW w:type="dxa" w:w="16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121,89</w:t>
            </w:r>
          </w:p>
        </w:tc>
      </w:tr>
      <w:tr>
        <w:trPr>
          <w:cantSplit/>
        </w:trPr>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7,6 %</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79,65</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84,72</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90,69</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97,83</w:t>
            </w:r>
          </w:p>
        </w:tc>
        <w:tc>
          <w:tcPr>
            <w:tcW w:type="dxa" w:w="16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106,52</w:t>
            </w:r>
          </w:p>
        </w:tc>
      </w:tr>
      <w:tr>
        <w:trPr>
          <w:cantSplit/>
        </w:trPr>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8,1 %</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72,49</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76,68</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81,56</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87,31</w:t>
            </w:r>
          </w:p>
        </w:tc>
        <w:tc>
          <w:tcPr>
            <w:tcW w:type="dxa" w:w="16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94,18</w:t>
            </w:r>
          </w:p>
        </w:tc>
      </w:tr>
      <w:tr>
        <w:trPr>
          <w:cantSplit/>
        </w:trPr>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8,6 %</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66,29</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69,80</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73,83</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78,53</w:t>
            </w:r>
          </w:p>
        </w:tc>
        <w:tc>
          <w:tcPr>
            <w:tcW w:type="dxa" w:w="16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84,06</w:t>
            </w:r>
          </w:p>
        </w:tc>
      </w:tr>
      <w:tr>
        <w:trPr>
          <w:cantSplit/>
        </w:trPr>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9,1 %</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60,87</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63,83</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67,20</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71,09</w:t>
            </w:r>
          </w:p>
        </w:tc>
        <w:tc>
          <w:tcPr>
            <w:tcW w:type="dxa" w:w="160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75,61</w:t>
            </w:r>
          </w:p>
        </w:tc>
      </w:tr>
    </w:tbl>
    <w:p>
      <w:pPr>
        <w:spacing w:after="160" w:before="0"/>
      </w:pPr>
    </w:p>
    <w:p>
      <w:pPr>
        <w:pStyle w:val="Heading2"/>
      </w:pPr>
      <w:r>
        <w:t xml:space="preserve">Sensibilidad: margen EBITDA × crecimiento de ingresos (desplazamiento de toda la proyección)</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606"/>
        <w:gridCol w:w="1606"/>
        <w:gridCol w:w="1606"/>
        <w:gridCol w:w="1606"/>
        <w:gridCol w:w="1606"/>
        <w:gridCol w:w="1608"/>
      </w:tblGrid>
      <w:tr>
        <w:trPr>
          <w:cantSplit/>
          <w:tblHeader/>
        </w:trPr>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Margen \ crec.</w:t>
            </w:r>
          </w:p>
        </w:tc>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-2 pp</w:t>
            </w:r>
          </w:p>
        </w:tc>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-1 pp</w:t>
            </w:r>
          </w:p>
        </w:tc>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0 pp</w:t>
            </w:r>
          </w:p>
        </w:tc>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+1 pp</w:t>
            </w:r>
          </w:p>
        </w:tc>
        <w:tc>
          <w:tcPr>
            <w:tcW w:type="dxa" w:w="160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+2 pp</w:t>
            </w:r>
          </w:p>
        </w:tc>
      </w:tr>
      <w:tr>
        <w:trPr>
          <w:cantSplit/>
        </w:trPr>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 pp</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37,45</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38,40</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39,26</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40,01</w:t>
            </w:r>
          </w:p>
        </w:tc>
        <w:tc>
          <w:tcPr>
            <w:tcW w:type="dxa" w:w="16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40,63</w:t>
            </w:r>
          </w:p>
        </w:tc>
      </w:tr>
      <w:tr>
        <w:trPr>
          <w:cantSplit/>
        </w:trPr>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-1 pp</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55,85</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58,13</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60,41</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62,68</w:t>
            </w:r>
          </w:p>
        </w:tc>
        <w:tc>
          <w:tcPr>
            <w:tcW w:type="dxa" w:w="16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64,94</w:t>
            </w:r>
          </w:p>
        </w:tc>
      </w:tr>
      <w:tr>
        <w:trPr>
          <w:cantSplit/>
        </w:trPr>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0 pp</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74,25</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77,86</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81,56</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85,36</w:t>
            </w:r>
          </w:p>
        </w:tc>
        <w:tc>
          <w:tcPr>
            <w:tcW w:type="dxa" w:w="16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89,25</w:t>
            </w:r>
          </w:p>
        </w:tc>
      </w:tr>
      <w:tr>
        <w:trPr>
          <w:cantSplit/>
        </w:trPr>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+1 pp</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92,65</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97,58</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102,71</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108,03</w:t>
            </w:r>
          </w:p>
        </w:tc>
        <w:tc>
          <w:tcPr>
            <w:tcW w:type="dxa" w:w="16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113,55</w:t>
            </w:r>
          </w:p>
        </w:tc>
      </w:tr>
      <w:tr>
        <w:trPr>
          <w:cantSplit/>
        </w:trPr>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+2 pp</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111,05</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117,31</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123,86</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130,70</w:t>
            </w:r>
          </w:p>
        </w:tc>
        <w:tc>
          <w:tcPr>
            <w:tcW w:type="dxa" w:w="160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137,86</w:t>
            </w:r>
          </w:p>
        </w:tc>
      </w:tr>
    </w:tbl>
    <w:p>
      <w:pPr>
        <w:spacing w:after="160" w:before="0"/>
      </w:pPr>
    </w:p>
    <w:p>
      <w:pPr>
        <w:pStyle w:val="Heading2"/>
      </w:pPr>
      <w:r>
        <w:t xml:space="preserve">¿Puede la empresa sostener el crecimiento previsto?</w:t>
      </w:r>
    </w:p>
    <w:p>
      <w:pPr>
        <w:spacing w:after="100"/>
      </w:pPr>
      <w:r>
        <w:rPr>
          <w:b/>
          <w:bCs/>
        </w:rPr>
        <w:t xml:space="preserve">Veredicto: En parte.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6646"/>
        <w:gridCol w:w="2992"/>
      </w:tblGrid>
      <w:tr>
        <w:trPr>
          <w:cantSplit/>
          <w:tblHeader/>
        </w:trPr>
        <w:tc>
          <w:tcPr>
            <w:tcW w:type="dxa" w:w="664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Prueba</w:t>
            </w:r>
          </w:p>
        </w:tc>
        <w:tc>
          <w:tcPr>
            <w:tcW w:type="dxa" w:w="299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Valor</w:t>
            </w:r>
          </w:p>
        </w:tc>
      </w:tr>
      <w:tr>
        <w:trPr>
          <w:cantSplit/>
        </w:trPr>
        <w:tc>
          <w:tcPr>
            <w:tcW w:type="dxa" w:w="664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Crecimiento medio de ingresos proyectado</w:t>
            </w:r>
          </w:p>
        </w:tc>
        <w:tc>
          <w:tcPr>
            <w:tcW w:type="dxa" w:w="299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5,0 %</w:t>
            </w:r>
          </w:p>
        </w:tc>
      </w:tr>
      <w:tr>
        <w:trPr>
          <w:cantSplit/>
        </w:trPr>
        <w:tc>
          <w:tcPr>
            <w:tcW w:type="dxa" w:w="664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Capex bruto medio (incluidas compras si van como inversión)</w:t>
            </w:r>
          </w:p>
        </w:tc>
        <w:tc>
          <w:tcPr>
            <w:tcW w:type="dxa" w:w="299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3,1 % de las ventas</w:t>
            </w:r>
          </w:p>
        </w:tc>
      </w:tr>
      <w:tr>
        <w:trPr>
          <w:cantSplit/>
        </w:trPr>
        <w:tc>
          <w:tcPr>
            <w:tcW w:type="dxa" w:w="664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Reinversión neta acumulada (capex − amortización + circulante)</w:t>
            </w:r>
          </w:p>
        </w:tc>
        <w:tc>
          <w:tcPr>
            <w:tcW w:type="dxa" w:w="299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842 M (31 % del NOPAT)</w:t>
            </w:r>
          </w:p>
        </w:tc>
      </w:tr>
      <w:tr>
        <w:trPr>
          <w:cantSplit/>
        </w:trPr>
        <w:tc>
          <w:tcPr>
            <w:tcW w:type="dxa" w:w="664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Crecimiento que financia esa reinversión al ROIC actual</w:t>
            </w:r>
          </w:p>
        </w:tc>
        <w:tc>
          <w:tcPr>
            <w:tcW w:type="dxa" w:w="299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4,2 % (ROIC 13,6 %)</w:t>
            </w:r>
          </w:p>
        </w:tc>
      </w:tr>
      <w:tr>
        <w:trPr>
          <w:cantSplit/>
        </w:trPr>
        <w:tc>
          <w:tcPr>
            <w:tcW w:type="dxa" w:w="664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Rendimiento que la proyección supone para el capital nuevo</w:t>
            </w:r>
          </w:p>
        </w:tc>
        <w:tc>
          <w:tcPr>
            <w:tcW w:type="dxa" w:w="299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16,7 %</w:t>
            </w:r>
          </w:p>
        </w:tc>
      </w:tr>
    </w:tbl>
    <w:p>
      <w:pPr>
        <w:spacing w:after="160" w:before="0"/>
      </w:pPr>
    </w:p>
    <w:p>
      <w:pPr>
        <w:spacing w:after="100"/>
      </w:pPr>
      <w:r>
        <w:t xml:space="preserve">La proyección reinvierte el 31 % del NOPAT. Con el ROIC del último ejercicio (13,6 %), eso financia un crecimiento del 4,2 % anual, frente al 5,0 % de ingresos proyectado. Supone que el capital nuevo rinde un 16,7 %.</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028"/>
        <w:gridCol w:w="1028"/>
        <w:gridCol w:w="1028"/>
        <w:gridCol w:w="1285"/>
        <w:gridCol w:w="1156"/>
        <w:gridCol w:w="4113"/>
      </w:tblGrid>
      <w:tr>
        <w:trPr>
          <w:cantSplit/>
          <w:tblHeader/>
        </w:trPr>
        <w:tc>
          <w:tcPr>
            <w:tcW w:type="dxa" w:w="102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Año</w:t>
            </w:r>
          </w:p>
        </w:tc>
        <w:tc>
          <w:tcPr>
            <w:tcW w:type="dxa" w:w="102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Volumen</w:t>
            </w:r>
          </w:p>
        </w:tc>
        <w:tc>
          <w:tcPr>
            <w:tcW w:type="dxa" w:w="102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Precio</w:t>
            </w:r>
          </w:p>
        </w:tc>
        <w:tc>
          <w:tcPr>
            <w:tcW w:type="dxa" w:w="128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Otros (mezcla, compras)</w:t>
            </w:r>
          </w:p>
        </w:tc>
        <w:tc>
          <w:tcPr>
            <w:tcW w:type="dxa" w:w="115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Crecimiento</w:t>
            </w:r>
          </w:p>
        </w:tc>
        <w:tc>
          <w:tcPr>
            <w:tcW w:type="dxa" w:w="411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De dónde sale</w:t>
            </w:r>
          </w:p>
        </w:tc>
      </w:tr>
      <w:tr>
        <w:trPr>
          <w:cantSplit/>
        </w:trPr>
        <w:tc>
          <w:tcPr>
            <w:tcW w:type="dxa" w:w="10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2026e</w:t>
            </w:r>
          </w:p>
        </w:tc>
        <w:tc>
          <w:tcPr>
            <w:tcW w:type="dxa" w:w="10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+6,5 %</w:t>
            </w:r>
          </w:p>
        </w:tc>
        <w:tc>
          <w:tcPr>
            <w:tcW w:type="dxa" w:w="10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+1,5 %</w:t>
            </w:r>
          </w:p>
        </w:tc>
        <w:tc>
          <w:tcPr>
            <w:tcW w:type="dxa" w:w="12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+2,0 %</w:t>
            </w:r>
          </w:p>
        </w:tc>
        <w:tc>
          <w:tcPr>
            <w:tcW w:type="dxa" w:w="11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+10,0 %</w:t>
            </w:r>
          </w:p>
        </w:tc>
        <w:tc>
          <w:tcPr>
            <w:tcW w:type="dxa" w:w="41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Cartera: CAF prevé ejecutar en 2026 el 26 % de los 17.743 M de jun-26 (≈ 4.600 M de los 4.935 M previstos) [8]. Autobuses entregó un 41 % más de unidades en el 1S26 y Ferroviario creció un 3 % [8]; el precio medio sube por la mezcla de cero emisiones (90 % de las entregas) y la indexación (reparto, estimación propia) [8, 15].</w:t>
            </w:r>
          </w:p>
        </w:tc>
      </w:tr>
      <w:tr>
        <w:trPr>
          <w:cantSplit/>
        </w:trPr>
        <w:tc>
          <w:tcPr>
            <w:tcW w:type="dxa" w:w="10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2027e</w:t>
            </w:r>
          </w:p>
        </w:tc>
        <w:tc>
          <w:tcPr>
            <w:tcW w:type="dxa" w:w="10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+5,5 %</w:t>
            </w:r>
          </w:p>
        </w:tc>
        <w:tc>
          <w:tcPr>
            <w:tcW w:type="dxa" w:w="10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+1,5 %</w:t>
            </w:r>
          </w:p>
        </w:tc>
        <w:tc>
          <w:tcPr>
            <w:tcW w:type="dxa" w:w="12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+0,5 %</w:t>
            </w:r>
          </w:p>
        </w:tc>
        <w:tc>
          <w:tcPr>
            <w:tcW w:type="dxa" w:w="11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+7,5 %</w:t>
            </w:r>
          </w:p>
        </w:tc>
        <w:tc>
          <w:tcPr>
            <w:tcW w:type="dxa" w:w="41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El 29 % de la cartera de jun-26 se ejecuta en 2027 (≈ 5.150 M de los 5.305 M previstos) [8]; precio por las cláusulas de indexación de los contratos firmados desde 2022 [15]; otros, más servicios (4.615 M de cartera) [8].</w:t>
            </w:r>
          </w:p>
        </w:tc>
      </w:tr>
      <w:tr>
        <w:trPr>
          <w:cantSplit/>
        </w:trPr>
        <w:tc>
          <w:tcPr>
            <w:tcW w:type="dxa" w:w="10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2028e</w:t>
            </w:r>
          </w:p>
        </w:tc>
        <w:tc>
          <w:tcPr>
            <w:tcW w:type="dxa" w:w="10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+5,0 %</w:t>
            </w:r>
          </w:p>
        </w:tc>
        <w:tc>
          <w:tcPr>
            <w:tcW w:type="dxa" w:w="10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+1,5 %</w:t>
            </w:r>
          </w:p>
        </w:tc>
        <w:tc>
          <w:tcPr>
            <w:tcW w:type="dxa" w:w="12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+0,5 %</w:t>
            </w:r>
          </w:p>
        </w:tc>
        <w:tc>
          <w:tcPr>
            <w:tcW w:type="dxa" w:w="11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+7,0 %</w:t>
            </w:r>
          </w:p>
        </w:tc>
        <w:tc>
          <w:tcPr>
            <w:tcW w:type="dxa" w:w="41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Book-to-bill de 1,3x en 2025 y 1,6x en el 1S26, con más de 10.000 M en opciones de clientes [1, 8]; el consenso da +7,5 % [47].</w:t>
            </w:r>
          </w:p>
        </w:tc>
      </w:tr>
      <w:tr>
        <w:trPr>
          <w:cantSplit/>
        </w:trPr>
        <w:tc>
          <w:tcPr>
            <w:tcW w:type="dxa" w:w="102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2029e</w:t>
            </w:r>
          </w:p>
        </w:tc>
        <w:tc>
          <w:tcPr>
            <w:tcW w:type="dxa" w:w="102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+3,5 %</w:t>
            </w:r>
          </w:p>
        </w:tc>
        <w:tc>
          <w:tcPr>
            <w:tcW w:type="dxa" w:w="102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+1,5 %</w:t>
            </w:r>
          </w:p>
        </w:tc>
        <w:tc>
          <w:tcPr>
            <w:tcW w:type="dxa" w:w="128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+0,5 %</w:t>
            </w:r>
          </w:p>
        </w:tc>
        <w:tc>
          <w:tcPr>
            <w:tcW w:type="dxa" w:w="115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+5,5 %</w:t>
            </w:r>
          </w:p>
        </w:tc>
        <w:tc>
          <w:tcPr>
            <w:tcW w:type="dxa" w:w="41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Vuelta hacia el mercado ferroviario mundial (+3,2 % anual previsto por UNIFE) [24] y menos empuje de Solaris, con el 60 % del autobús urbano de la UE ya de cero emisiones [26].</w:t>
            </w:r>
          </w:p>
        </w:tc>
      </w:tr>
    </w:tbl>
    <w:p>
      <w:pPr>
        <w:spacing w:after="160" w:before="0"/>
      </w:pPr>
    </w:p>
    <w:p>
      <w:pPr>
        <w:spacing w:after="100"/>
      </w:pPr>
      <w:r>
        <w:t xml:space="preserve">En parte, y el caso base ya queda dentro de lo financiable. El volumen, sí: los 17.743 M de cartera de jun-26 (3,7 años de ventas) cubren el 93-97 % de las ventas previstas para 2026-2027, y la reinversión (31 % del NOPAT, con el circulante subiendo del 9 % al 12 % de las ventas) financia un 4,2 % anual al ROIC del 13,6 %; el resto hasta el 4,4 % de 2027-2035 es precio (1,5 puntos de indexación en el puente), que no pide capital [1, 8, 15]. El margen no está demostrado: foso estrecho, concursos a precio cerrado y una inflación que en 2022 restó ≈ 1,5 puntos [15]. Por eso el base no lo sube: se queda en el 8,4 % de 2026e y el capital nuevo rinde un 16,7 %, dentro de 1,25 veces el ROIC (con el 8,6 % de la v3 eran un 18,1 %). Cuota, a mano (la publicada es solo ferroviaria): del 1,5 % a ≈ 1,7 % de un mercado de ≈ 312.000 M en 2035 [24].</w:t>
      </w:r>
    </w:p>
    <w:p>
      <w:pPr>
        <w:pStyle w:val="Heading2"/>
      </w:pPr>
      <w:r>
        <w:t xml:space="preserve">DCF inverso: qué descuenta el precio actual</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047"/>
        <w:gridCol w:w="5591"/>
      </w:tblGrid>
      <w:tr>
        <w:trPr>
          <w:cantSplit/>
        </w:trPr>
        <w:tc>
          <w:tcPr>
            <w:tcW w:type="dxa" w:w="4047"/>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Crecimiento anual implícito en el precio (2027e-2035e)</w:t>
            </w:r>
          </w:p>
        </w:tc>
        <w:tc>
          <w:tcPr>
            <w:tcW w:type="dxa" w:w="559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3,6 % (base: 4,4 %)</w:t>
            </w:r>
          </w:p>
        </w:tc>
      </w:tr>
      <w:tr>
        <w:trPr>
          <w:cantSplit/>
        </w:trPr>
        <w:tc>
          <w:tcPr>
            <w:tcW w:type="dxa" w:w="4047"/>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Margen EBITDA final implícito</w:t>
            </w:r>
          </w:p>
        </w:tc>
        <w:tc>
          <w:tcPr>
            <w:tcW w:type="dxa" w:w="559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8,2 % (base: 8,4 %)</w:t>
            </w:r>
          </w:p>
        </w:tc>
      </w:tr>
      <w:tr>
        <w:trPr>
          <w:cantSplit/>
        </w:trPr>
        <w:tc>
          <w:tcPr>
            <w:tcW w:type="dxa" w:w="4047"/>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Rentabilidad anual implícita (TIR al precio actual)</w:t>
            </w:r>
          </w:p>
        </w:tc>
        <w:tc>
          <w:tcPr>
            <w:tcW w:type="dxa" w:w="559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8,3 % (WACC: 8,1 %)</w:t>
            </w:r>
          </w:p>
        </w:tc>
      </w:tr>
    </w:tbl>
    <w:p>
      <w:pPr>
        <w:spacing w:after="160" w:before="0"/>
      </w:pPr>
    </w:p>
    <w:p>
      <w:pPr>
        <w:spacing w:after="100"/>
      </w:pPr>
      <w:r>
        <w:t xml:space="preserve">El DCF da 81,56 EUR por acción, un 4,2 % por encima del precio de 78,30 EUR, con un rango de 69,80-97,83 EUR al mover el WACC y el crecimiento terminal medio punto. El valor terminal pesa un 63 %. La pregunta central es qué descuenta el precio, y el DCF inverso responde que casi lo mismo que nosotros. Con nuestro WACC del 8,11 %, el precio supone un crecimiento de las ventas del 3,6 % anual en 2027-2035 (nosotros, 4,4 %) o un margen EBITDA estable del 8,2 % (nosotros, 8,4 %; el 1S26 dio un 8,2 %). Dicho de otra forma, a 78,30 EUR la acción ofrece una rentabilidad anual del 8,3 %, dos décimas por encima del WACC y 1,1 puntos por encima del 7,20 % que resulta de la prima implícita del mercado (4,20 %) [73], con la que el DCF sube a 99,37 EUR. No es exigente: el mercado descuenta que la cartera récord se ejecuta y que el margen se queda donde está hoy, que es justo nuestro caso base desde que lo dejamos en el margen que la empresa puede financiar. Pero tampoco es barata: el potencial depende de un margen que CAF nunca ha demostrado, y cada punto de margen EBITDA vale ≈ 21 EUR por acción (60,41 EUR con un 7,4 %; 102,71 EUR con un 9,4 %); la historia de 2019-2025 está más cerca de la fila de abajo que de la de arriba.</w:t>
      </w:r>
    </w:p>
    <w:p>
      <w:pPr>
        <w:pStyle w:val="Heading1"/>
      </w:pPr>
      <w:r>
        <w:t xml:space="preserve">21. Escenarios</w:t>
      </w:r>
    </w:p>
    <w:p>
      <w:pPr>
        <w:pStyle w:val="Confianza"/>
        <w:spacing w:after="100"/>
      </w:pPr>
      <w:r>
        <w:t xml:space="preserve">Confianza: Media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082"/>
        <w:gridCol w:w="649"/>
        <w:gridCol w:w="866"/>
        <w:gridCol w:w="866"/>
        <w:gridCol w:w="758"/>
        <w:gridCol w:w="866"/>
        <w:gridCol w:w="866"/>
        <w:gridCol w:w="3685"/>
      </w:tblGrid>
      <w:tr>
        <w:trPr>
          <w:cantSplit/>
          <w:tblHeader/>
        </w:trPr>
        <w:tc>
          <w:tcPr>
            <w:tcW w:type="dxa" w:w="108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Escenario</w:t>
            </w:r>
          </w:p>
        </w:tc>
        <w:tc>
          <w:tcPr>
            <w:tcW w:type="dxa" w:w="64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Prob.</w:t>
            </w:r>
          </w:p>
        </w:tc>
        <w:tc>
          <w:tcPr>
            <w:tcW w:type="dxa" w:w="86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Crec. medio</w:t>
            </w:r>
          </w:p>
        </w:tc>
        <w:tc>
          <w:tcPr>
            <w:tcW w:type="dxa" w:w="86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Margen final</w:t>
            </w:r>
          </w:p>
        </w:tc>
        <w:tc>
          <w:tcPr>
            <w:tcW w:type="dxa" w:w="75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WACC</w:t>
            </w:r>
          </w:p>
        </w:tc>
        <w:tc>
          <w:tcPr>
            <w:tcW w:type="dxa" w:w="86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Valor</w:t>
            </w:r>
          </w:p>
        </w:tc>
        <w:tc>
          <w:tcPr>
            <w:tcW w:type="dxa" w:w="86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Potencial</w:t>
            </w:r>
          </w:p>
        </w:tc>
        <w:tc>
          <w:tcPr>
            <w:tcW w:type="dxa" w:w="368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Qué tiene que ocurrir</w:t>
            </w:r>
          </w:p>
        </w:tc>
      </w:tr>
      <w:tr>
        <w:trPr>
          <w:cantSplit/>
        </w:trPr>
        <w:tc>
          <w:tcPr>
            <w:tcW w:type="dxa" w:w="108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Bajista</w:t>
            </w:r>
          </w:p>
        </w:tc>
        <w:tc>
          <w:tcPr>
            <w:tcW w:type="dxa" w:w="64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25 %</w:t>
            </w:r>
          </w:p>
        </w:tc>
        <w:tc>
          <w:tcPr>
            <w:tcW w:type="dxa" w:w="8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2,4 %</w:t>
            </w:r>
          </w:p>
        </w:tc>
        <w:tc>
          <w:tcPr>
            <w:tcW w:type="dxa" w:w="8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6,9 %</w:t>
            </w:r>
          </w:p>
        </w:tc>
        <w:tc>
          <w:tcPr>
            <w:tcW w:type="dxa" w:w="7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8,6 %</w:t>
            </w:r>
          </w:p>
        </w:tc>
        <w:tc>
          <w:tcPr>
            <w:tcW w:type="dxa" w:w="8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39,18</w:t>
            </w:r>
          </w:p>
        </w:tc>
        <w:tc>
          <w:tcPr>
            <w:tcW w:type="dxa" w:w="8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-50,0 %</w:t>
            </w:r>
          </w:p>
        </w:tc>
        <w:tc>
          <w:tcPr>
            <w:tcW w:type="dxa" w:w="36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Se repite 2020-2022: un gran contrato a precio cerrado (SNCB, Nápoles o un proyecto en Oriente Medio) se tuerce por costes o por retrasos de homologación, Solaris pierde precio frente a Yutong y BYD (26,7 % del autobús eléctrico europeo) y el margen EBITDA cae al 6,9 %, por debajo del 7,3 % de 2020 y 2022 [1, 26]. El crecimiento queda dos puntos por debajo del base cada año y la prima de riesgo sube medio punto. El motor solo admite desplazamientos uniformes, así que el bajista es una pérdida de margen permanente, no un bache.</w:t>
            </w:r>
          </w:p>
        </w:tc>
      </w:tr>
      <w:tr>
        <w:trPr>
          <w:cantSplit/>
        </w:trPr>
        <w:tc>
          <w:tcPr>
            <w:tcW w:type="dxa" w:w="108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Base</w:t>
            </w:r>
          </w:p>
        </w:tc>
        <w:tc>
          <w:tcPr>
            <w:tcW w:type="dxa" w:w="64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50 %</w:t>
            </w:r>
          </w:p>
        </w:tc>
        <w:tc>
          <w:tcPr>
            <w:tcW w:type="dxa" w:w="8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4,4 %</w:t>
            </w:r>
          </w:p>
        </w:tc>
        <w:tc>
          <w:tcPr>
            <w:tcW w:type="dxa" w:w="8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8,4 %</w:t>
            </w:r>
          </w:p>
        </w:tc>
        <w:tc>
          <w:tcPr>
            <w:tcW w:type="dxa" w:w="7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8,1 %</w:t>
            </w:r>
          </w:p>
        </w:tc>
        <w:tc>
          <w:tcPr>
            <w:tcW w:type="dxa" w:w="8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81,56</w:t>
            </w:r>
          </w:p>
        </w:tc>
        <w:tc>
          <w:tcPr>
            <w:tcW w:type="dxa" w:w="8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+4,2 %</w:t>
            </w:r>
          </w:p>
        </w:tc>
        <w:tc>
          <w:tcPr>
            <w:tcW w:type="dxa" w:w="36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La cartera de 17.743 M se ejecuta al ritmo previsto por CAF (26 % en 2026, 29 % en 2027), las ventas crecen un 10 % en 2026 y un 7-7,5 % en 2027-2028, y el margen EBITDA sube del 7,8 % de 2025 al 8,4 % de 2026e por Solaris, los servicios y los contratos firmados después de la inflación, y se queda ahí: no suponemos más mejora que la que ya se ve (8,2 % en el 1S26), porque la reinversión prevista no la financia [1, 8]. El circulante sigue absorbiendo caja hasta el 12 % de las ventas.</w:t>
            </w:r>
          </w:p>
        </w:tc>
      </w:tr>
      <w:tr>
        <w:trPr>
          <w:cantSplit/>
        </w:trPr>
        <w:tc>
          <w:tcPr>
            <w:tcW w:type="dxa" w:w="108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Alcista</w:t>
            </w:r>
          </w:p>
        </w:tc>
        <w:tc>
          <w:tcPr>
            <w:tcW w:type="dxa" w:w="64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25 %</w:t>
            </w:r>
          </w:p>
        </w:tc>
        <w:tc>
          <w:tcPr>
            <w:tcW w:type="dxa" w:w="86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5,9 %</w:t>
            </w:r>
          </w:p>
        </w:tc>
        <w:tc>
          <w:tcPr>
            <w:tcW w:type="dxa" w:w="86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9,2 %</w:t>
            </w:r>
          </w:p>
        </w:tc>
        <w:tc>
          <w:tcPr>
            <w:tcW w:type="dxa" w:w="75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7,8 %</w:t>
            </w:r>
          </w:p>
        </w:tc>
        <w:tc>
          <w:tcPr>
            <w:tcW w:type="dxa" w:w="86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116,74</w:t>
            </w:r>
          </w:p>
        </w:tc>
        <w:tc>
          <w:tcPr>
            <w:tcW w:type="dxa" w:w="86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+49,1 %</w:t>
            </w:r>
          </w:p>
        </w:tc>
        <w:tc>
          <w:tcPr>
            <w:tcW w:type="dxa" w:w="368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El nuevo plan 2027-2030 confirma un margen EBIT por encima del 6,5 % (EBITDA del 9,2 %, por debajo del 9,8 % de 2018), Solaris consolida un margen del 7 % con su nueva nave de 2.000 autobuses al año, y las opciones de más de 10.000 M se ejecutan (SNCB permite pasar de 54.000 a 170.000 plazas) [8, 69]. Crecimiento 1,5 puntos por encima del base cada año.</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160000"/>
            <wp:effectExtent l="0" t="0" r="0" b="0"/>
            <wp:docPr id="1027" name="Gráfico 27" descr="Valor por acción por escenario (EUR) · precio actual 78,30"/>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27"/>
              </a:graphicData>
            </a:graphic>
          </wp:inline>
        </w:drawing>
      </w:r>
    </w:p>
    <w:p>
      <w:pPr>
        <w:spacing w:after="100"/>
      </w:pPr>
      <w:r>
        <w:rPr>
          <w:b/>
          <w:bCs/>
        </w:rPr>
        <w:t xml:space="preserve">Valor ponderado por probabilidad:</w:t>
      </w:r>
      <w:r>
        <w:t xml:space="preserve"> 79,76 EUR (+1,9 %).</w:t>
      </w:r>
    </w:p>
    <w:p>
      <w:pPr>
        <w:spacing w:after="100"/>
      </w:pPr>
      <w:r>
        <w:t xml:space="preserve">Con nuestro WACC la asimetría ya no es favorable: el alcista (116,74 EUR) gana un 49,1 % y el bajista (39,18 EUR) pierde un 50,0 %, una relación de 0,98x. El valor ponderado por probabilidades es de 79,76 EUR, un 1,9 % por encima del precio. El bajista es verosímil, no cosmético: es un margen inferior al de 2020 y 2022 (7,3 %), con una cartera firmada a precio cerrado, y la sensibilidad del motor lo confirma (cada punto de margen EBITDA vale ≈ 21 EUR por acción). Con la prima del mercado (WACC del 7,20 %) la asimetría sube a 2,14x: por eso el Comprar es solo relativo. Para que compense comprar con nuestro coste de capital habría que creer en el alcista con más de un 25 % de probabilidad, y eso exige un margen que CAF no ha visto desde 2018.</w:t>
      </w:r>
    </w:p>
    <w:p>
      <w:pPr>
        <w:pStyle w:val="Heading1"/>
      </w:pPr>
      <w:r>
        <w:t xml:space="preserve">22. Suma de partes</w:t>
      </w:r>
    </w:p>
    <w:p>
      <w:pPr>
        <w:pStyle w:val="Confianza"/>
        <w:spacing w:after="100"/>
      </w:pPr>
      <w:r>
        <w:t xml:space="preserve">Confianza: Media</w:t>
      </w:r>
    </w:p>
    <w:p>
      <w:pPr>
        <w:spacing w:after="100"/>
      </w:pPr>
      <w:r>
        <w:t xml:space="preserve">La suma de partes da 67,18 EUR (55,17-79,17 EUR), un 14,2 % por debajo del precio: con múltiplos de fabricante y de camión, CAF no está barata. Sirve de contrapeso al DCF, que recoge el crecimiento de la cartera que los múltiplos de un año no ven. Pesa un 10 %. El reparto del EBITDA de 2026e entre segmentos es estimación propia; el total (411 M) cuadra con el del DCF (415 M).</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50"/>
        <w:gridCol w:w="1640"/>
        <w:gridCol w:w="1025"/>
        <w:gridCol w:w="820"/>
        <w:gridCol w:w="1025"/>
        <w:gridCol w:w="3078"/>
      </w:tblGrid>
      <w:tr>
        <w:trPr>
          <w:cantSplit/>
          <w:tblHeader/>
        </w:trPr>
        <w:tc>
          <w:tcPr>
            <w:tcW w:type="dxa" w:w="205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Negocio</w:t>
            </w:r>
          </w:p>
        </w:tc>
        <w:tc>
          <w:tcPr>
            <w:tcW w:type="dxa" w:w="164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Métrica</w:t>
            </w:r>
          </w:p>
        </w:tc>
        <w:tc>
          <w:tcPr>
            <w:tcW w:type="dxa" w:w="102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Valor de la métrica</w:t>
            </w:r>
          </w:p>
        </w:tc>
        <w:tc>
          <w:tcPr>
            <w:tcW w:type="dxa" w:w="82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Múltiplo</w:t>
            </w:r>
          </w:p>
        </w:tc>
        <w:tc>
          <w:tcPr>
            <w:tcW w:type="dxa" w:w="102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Valor empresa</w:t>
            </w:r>
          </w:p>
        </w:tc>
        <w:tc>
          <w:tcPr>
            <w:tcW w:type="dxa" w:w="307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Justificación del múltiplo</w:t>
            </w:r>
          </w:p>
        </w:tc>
      </w:tr>
      <w:tr>
        <w:trPr>
          <w:cantSplit/>
        </w:trPr>
        <w:tc>
          <w:tcPr>
            <w:tcW w:type="dxa" w:w="205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Ferroviario</w:t>
            </w:r>
          </w:p>
        </w:tc>
        <w:tc>
          <w:tcPr>
            <w:tcW w:type="dxa" w:w="164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EBITDA 2026e</w:t>
            </w:r>
          </w:p>
        </w:tc>
        <w:tc>
          <w:tcPr>
            <w:tcW w:type="dxa" w:w="10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271</w:t>
            </w:r>
          </w:p>
        </w:tc>
        <w:tc>
          <w:tcPr>
            <w:tcW w:type="dxa" w:w="8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7,5x</w:t>
            </w:r>
          </w:p>
        </w:tc>
        <w:tc>
          <w:tcPr>
            <w:tcW w:type="dxa" w:w="10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2.033</w:t>
            </w:r>
          </w:p>
        </w:tc>
        <w:tc>
          <w:tcPr>
            <w:tcW w:type="dxa" w:w="30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Estimación propia del EBITDA 2026e: ventas de ≈ 3.430 M (+4 %) y margen EBITDA del 7,9 % (7,6 % en 2025, con EBIT del 5,3 % en el 1S26) [1, 8]. Múltiplo de 7,5x: la mediana de los fabricantes (Alstom 4,8x, Stadler 7,3x, Talgo 9,0x) con algo de prima por los servicios (4.615 M de cartera) [52, 53, 54].</w:t>
            </w:r>
          </w:p>
        </w:tc>
      </w:tr>
      <w:tr>
        <w:trPr>
          <w:cantSplit/>
        </w:trPr>
        <w:tc>
          <w:tcPr>
            <w:tcW w:type="dxa" w:w="205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Autobuses (Solaris)</w:t>
            </w:r>
          </w:p>
        </w:tc>
        <w:tc>
          <w:tcPr>
            <w:tcW w:type="dxa" w:w="164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EBITDA 2026e</w:t>
            </w:r>
          </w:p>
        </w:tc>
        <w:tc>
          <w:tcPr>
            <w:tcW w:type="dxa" w:w="10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140</w:t>
            </w:r>
          </w:p>
        </w:tc>
        <w:tc>
          <w:tcPr>
            <w:tcW w:type="dxa" w:w="82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5,5x</w:t>
            </w:r>
          </w:p>
        </w:tc>
        <w:tc>
          <w:tcPr>
            <w:tcW w:type="dxa" w:w="10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770</w:t>
            </w:r>
          </w:p>
        </w:tc>
        <w:tc>
          <w:tcPr>
            <w:tcW w:type="dxa" w:w="307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Estimación propia: ventas de ≈ 1.505 M (+27 %) y margen EBITDA del 9,3 % (8,3 % en 2025; EBIT del 7,3 % en el 1S26) [1, 8]. Múltiplo de 5,5x, entre Daimler Truck (4,1x) y Volvo (6,8x), los únicos cotizados con negocio de autobuses [57, 58].</w:t>
            </w:r>
          </w:p>
        </w:tc>
      </w:tr>
    </w:tbl>
    <w:p>
      <w:pPr>
        <w:spacing w:after="160" w:before="0"/>
      </w:pPr>
    </w:p>
    <w:p>
      <w:pPr>
        <w:spacing w:after="100"/>
      </w:pPr>
      <w:r>
        <w:rPr>
          <w:b/>
          <w:bCs/>
        </w:rPr>
        <w:t xml:space="preserve">Valor por acción por suma de partes:</w:t>
      </w:r>
      <w:r>
        <w:t xml:space="preserve"> 67,18 (-14,2 %); con ±1x en los múltiplos, 54,89 – 79,44.</w:t>
      </w:r>
    </w:p>
    <w:p>
      <w:pPr>
        <w:pStyle w:val="Heading1"/>
      </w:pPr>
      <w:r>
        <w:t xml:space="preserve">23. Síntesis de valoración</w:t>
      </w:r>
    </w:p>
    <w:p>
      <w:pPr>
        <w:pStyle w:val="Confianza"/>
        <w:spacing w:after="100"/>
      </w:pPr>
      <w:r>
        <w:t xml:space="preserve">Confianza: Media</w:t>
      </w:r>
    </w:p>
    <w:p>
      <w:pPr>
        <w:keepNext w:val="false"/>
        <w:spacing w:after="160" w:before="120"/>
        <w:jc w:val="center"/>
      </w:pPr>
      <w:r>
        <w:drawing>
          <wp:inline xmlns:wp="http://schemas.openxmlformats.org/drawingml/2006/wordprocessingDrawing" distT="0" distB="0" distL="0" distR="0">
            <wp:extent cx="5760000" cy="2880000"/>
            <wp:effectExtent l="0" t="0" r="0" b="0"/>
            <wp:docPr id="1028" name="Gráfico 28" descr="Valor por acción según cada método (EUR) · precio actual 78,30"/>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28"/>
              </a:graphicData>
            </a:graphic>
          </wp:inline>
        </w:drawing>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819"/>
        <w:gridCol w:w="1606"/>
        <w:gridCol w:w="1606"/>
        <w:gridCol w:w="1607"/>
      </w:tblGrid>
      <w:tr>
        <w:trPr>
          <w:cantSplit/>
          <w:tblHeader/>
        </w:trPr>
        <w:tc>
          <w:tcPr>
            <w:tcW w:type="dxa" w:w="481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Método</w:t>
            </w:r>
          </w:p>
        </w:tc>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Mínimo</w:t>
            </w:r>
          </w:p>
        </w:tc>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Central</w:t>
            </w:r>
          </w:p>
        </w:tc>
        <w:tc>
          <w:tcPr>
            <w:tcW w:type="dxa" w:w="160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Máximo</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Cotización 52 semanas</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49,90</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78,30</w:t>
            </w:r>
          </w:p>
        </w:tc>
        <w:tc>
          <w:tcPr>
            <w:tcW w:type="dxa" w:w="16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79,70</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Precio objetivo de los analistas</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55,40</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69,22</w:t>
            </w:r>
          </w:p>
        </w:tc>
        <w:tc>
          <w:tcPr>
            <w:tcW w:type="dxa" w:w="16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80,00</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Comparables: EV/EBITDA NTM</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62,15</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82,02</w:t>
            </w:r>
          </w:p>
        </w:tc>
        <w:tc>
          <w:tcPr>
            <w:tcW w:type="dxa" w:w="16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114,46</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Comparables: PER NTM</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78,84</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99,65</w:t>
            </w:r>
          </w:p>
        </w:tc>
        <w:tc>
          <w:tcPr>
            <w:tcW w:type="dxa" w:w="16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118,26</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DCF (WACC y g ± 0,5)</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69,80</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81,56</w:t>
            </w:r>
          </w:p>
        </w:tc>
        <w:tc>
          <w:tcPr>
            <w:tcW w:type="dxa" w:w="16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97,83</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Escenarios (bajista – alcista)</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39,18</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79,76</w:t>
            </w:r>
          </w:p>
        </w:tc>
        <w:tc>
          <w:tcPr>
            <w:tcW w:type="dxa" w:w="16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116,74</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Suma de partes</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54,89</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67,18</w:t>
            </w:r>
          </w:p>
        </w:tc>
        <w:tc>
          <w:tcPr>
            <w:tcW w:type="dxa" w:w="16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79,44</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DCF con la prima del mercado</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88,82</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99,37</w:t>
            </w:r>
          </w:p>
        </w:tc>
        <w:tc>
          <w:tcPr>
            <w:tcW w:type="dxa" w:w="16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112,19</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Precio actual</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77,91</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78,30</w:t>
            </w:r>
          </w:p>
        </w:tc>
        <w:tc>
          <w:tcPr>
            <w:tcW w:type="dxa" w:w="16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78,69</w:t>
            </w:r>
          </w:p>
        </w:tc>
      </w:tr>
    </w:tbl>
    <w:p>
      <w:pPr>
        <w:spacing w:after="16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819"/>
        <w:gridCol w:w="1927"/>
        <w:gridCol w:w="1606"/>
        <w:gridCol w:w="1286"/>
      </w:tblGrid>
      <w:tr>
        <w:trPr>
          <w:cantSplit/>
          <w:tblHeader/>
        </w:trPr>
        <w:tc>
          <w:tcPr>
            <w:tcW w:type="dxa" w:w="481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Método</w:t>
            </w:r>
          </w:p>
        </w:tc>
        <w:tc>
          <w:tcPr>
            <w:tcW w:type="dxa" w:w="192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Valor por acción</w:t>
            </w:r>
          </w:p>
        </w:tc>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Potencial</w:t>
            </w:r>
          </w:p>
        </w:tc>
        <w:tc>
          <w:tcPr>
            <w:tcW w:type="dxa" w:w="128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Peso</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DCF</w:t>
            </w:r>
          </w:p>
        </w:tc>
        <w:tc>
          <w:tcPr>
            <w:tcW w:type="dxa" w:w="19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81,56</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+4,2 %</w:t>
            </w:r>
          </w:p>
        </w:tc>
        <w:tc>
          <w:tcPr>
            <w:tcW w:type="dxa" w:w="12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45 %</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Comparables (mediana EV/EBITDA y PER)</w:t>
            </w:r>
          </w:p>
        </w:tc>
        <w:tc>
          <w:tcPr>
            <w:tcW w:type="dxa" w:w="19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90,84</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+16,0 %</w:t>
            </w:r>
          </w:p>
        </w:tc>
        <w:tc>
          <w:tcPr>
            <w:tcW w:type="dxa" w:w="12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15 %</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Transacciones precedentes (no se usa)</w:t>
            </w:r>
          </w:p>
        </w:tc>
        <w:tc>
          <w:tcPr>
            <w:tcW w:type="dxa" w:w="19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181,76</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+132,1 %</w:t>
            </w:r>
          </w:p>
        </w:tc>
        <w:tc>
          <w:tcPr>
            <w:tcW w:type="dxa" w:w="12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0 %</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Suma de partes</w:t>
            </w:r>
          </w:p>
        </w:tc>
        <w:tc>
          <w:tcPr>
            <w:tcW w:type="dxa" w:w="19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67,18</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-14,2 %</w:t>
            </w:r>
          </w:p>
        </w:tc>
        <w:tc>
          <w:tcPr>
            <w:tcW w:type="dxa" w:w="12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10 %</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Escenarios ponderados</w:t>
            </w:r>
          </w:p>
        </w:tc>
        <w:tc>
          <w:tcPr>
            <w:tcW w:type="dxa" w:w="192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79,76</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+1,9 %</w:t>
            </w:r>
          </w:p>
        </w:tc>
        <w:tc>
          <w:tcPr>
            <w:tcW w:type="dxa" w:w="128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30 %</w:t>
            </w:r>
          </w:p>
        </w:tc>
      </w:tr>
    </w:tbl>
    <w:p>
      <w:pPr>
        <w:spacing w:after="160" w:before="0"/>
      </w:pPr>
    </w:p>
    <w:p>
      <w:pPr>
        <w:spacing w:after="100"/>
      </w:pPr>
      <w:r>
        <w:rPr>
          <w:b/>
          <w:bCs/>
        </w:rPr>
        <w:t xml:space="preserve">Valor intrínseco ponderado (largo plazo):</w:t>
      </w:r>
      <w:r>
        <w:t xml:space="preserve"> 80,97 EUR (+3,4 % sobre 78,30).</w:t>
      </w:r>
    </w:p>
    <w:p>
      <w:pPr>
        <w:spacing w:after="100"/>
      </w:pPr>
      <w:r>
        <w:t xml:space="preserve">El DCF pesa un 45 % porque es el único método que recoge una cartera de 3,7 años de ventas y obliga a decir qué margen y qué circulante tendrá CAF; los escenarios, un 30 %, para incorporar el riesgo de margen, que es el que manda; los comparables, un 15 %, y la suma de partes, un 10 %, como referencia de lo que paga hoy el mercado. Las transacciones pesan cero (son de componentes y señalización, con márgenes que doblan los de CAF). </w:t>
      </w:r>
      <w:r>
        <w:rPr>
          <w:b/>
        </w:rPr>
        <w:t xml:space="preserve">Puente</w:t>
      </w:r>
      <w:r>
        <w:t xml:space="preserve">: deuda financiera de 813,5 M, arrendamientos de 116,4 M y caja e inversiones de 637,2 M a jun-26 [6]. Los anticipos de clientes van al circulante porque se compensan con entregas (regla del puente); los anticipos reembolsables sin interés (21,3 M), la multa del CADE (54 M), el factoring sin recurso (72 M) y el dividendo pagado en julio (57,7 M, que la caja de junio aún incluía) van en otros ajustes: 205 M, 6,0 EUR por acción [6]. Pensiones netas de impuestos de 33,3 M y asociadas de 38,5 M (con el 43,35 % de Ferrocarriles Suburbanos de México, en venta) [6]. Si los anticipos volvieran al circulante del 5-7 % que suponía el Plan 2026 (≈ 2 % en 2025 con la definición de CAF), se consumirían ≈ 200 M más: ≈ 5,8 EUR por acción, estimación propia [15]. La dispersión es alta (de 67,18 EUR en la suma de partes a 90,84 EUR en comparables), pero todos los métodos menos la suma de partes quedan entre un 2 % y un 16 % por encima del precio. Con la prima implícita del mercado (4,20 %) [73], el DCF y los escenarios se recalculan con un WACC del 7,20 % y el valor objetivo sube a 94,34 EUR (+20,5 %).</w:t>
      </w:r>
    </w:p>
    <w:p>
      <w:pPr>
        <w:pStyle w:val="Heading2"/>
      </w:pPr>
      <w:r>
        <w:t xml:space="preserve">Objetivo a 12 meses: nuestro PER × nuestro BPA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376"/>
        <w:gridCol w:w="1101"/>
        <w:gridCol w:w="963"/>
        <w:gridCol w:w="3579"/>
        <w:gridCol w:w="1239"/>
        <w:gridCol w:w="1380"/>
      </w:tblGrid>
      <w:tr>
        <w:trPr>
          <w:cantSplit/>
          <w:tblHeader/>
        </w:trPr>
        <w:tc>
          <w:tcPr>
            <w:tcW w:type="dxa" w:w="137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Escenario</w:t>
            </w:r>
          </w:p>
        </w:tc>
        <w:tc>
          <w:tcPr>
            <w:tcW w:type="dxa" w:w="110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BPA</w:t>
            </w:r>
          </w:p>
        </w:tc>
        <w:tc>
          <w:tcPr>
            <w:tcW w:type="dxa" w:w="96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PER</w:t>
            </w:r>
          </w:p>
        </w:tc>
        <w:tc>
          <w:tcPr>
            <w:tcW w:type="dxa" w:w="357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De dónde sale el PER</w:t>
            </w:r>
          </w:p>
        </w:tc>
        <w:tc>
          <w:tcPr>
            <w:tcW w:type="dxa" w:w="123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Precio</w:t>
            </w:r>
          </w:p>
        </w:tc>
        <w:tc>
          <w:tcPr>
            <w:tcW w:type="dxa" w:w="138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Rentabilidad</w:t>
            </w:r>
          </w:p>
        </w:tc>
      </w:tr>
      <w:tr>
        <w:trPr>
          <w:cantSplit/>
        </w:trPr>
        <w:tc>
          <w:tcPr>
            <w:tcW w:type="dxa" w:w="13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Bajista</w:t>
            </w:r>
          </w:p>
        </w:tc>
        <w:tc>
          <w:tcPr>
            <w:tcW w:type="dxa" w:w="110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4,32</w:t>
            </w:r>
          </w:p>
        </w:tc>
        <w:tc>
          <w:tcPr>
            <w:tcW w:type="dxa" w:w="96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8,2x</w:t>
            </w:r>
          </w:p>
        </w:tc>
        <w:tc>
          <w:tcPr>
            <w:tcW w:type="dxa" w:w="357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mínimo de 5 años</w:t>
            </w:r>
          </w:p>
        </w:tc>
        <w:tc>
          <w:tcPr>
            <w:tcW w:type="dxa" w:w="12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35,42</w:t>
            </w:r>
          </w:p>
        </w:tc>
        <w:tc>
          <w:tcPr>
            <w:tcW w:type="dxa" w:w="138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-52,8 %</w:t>
            </w:r>
          </w:p>
        </w:tc>
      </w:tr>
      <w:tr>
        <w:trPr>
          <w:cantSplit/>
        </w:trPr>
        <w:tc>
          <w:tcPr>
            <w:tcW w:type="dxa" w:w="13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Base</w:t>
            </w:r>
          </w:p>
        </w:tc>
        <w:tc>
          <w:tcPr>
            <w:tcW w:type="dxa" w:w="110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6,33</w:t>
            </w:r>
          </w:p>
        </w:tc>
        <w:tc>
          <w:tcPr>
            <w:tcW w:type="dxa" w:w="96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12,2x</w:t>
            </w:r>
          </w:p>
        </w:tc>
        <w:tc>
          <w:tcPr>
            <w:tcW w:type="dxa" w:w="357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PER actual (13.4x) ÷ 1.1 (tope: la mediana de 5 años, 10.8x, queda más lejos)</w:t>
            </w:r>
          </w:p>
        </w:tc>
        <w:tc>
          <w:tcPr>
            <w:tcW w:type="dxa" w:w="12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77,23</w:t>
            </w:r>
          </w:p>
        </w:tc>
        <w:tc>
          <w:tcPr>
            <w:tcW w:type="dxa" w:w="138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+0,6 %</w:t>
            </w:r>
          </w:p>
        </w:tc>
      </w:tr>
      <w:tr>
        <w:trPr>
          <w:cantSplit/>
        </w:trPr>
        <w:tc>
          <w:tcPr>
            <w:tcW w:type="dxa" w:w="137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Alcista</w:t>
            </w:r>
          </w:p>
        </w:tc>
        <w:tc>
          <w:tcPr>
            <w:tcW w:type="dxa" w:w="110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7,53</w:t>
            </w:r>
          </w:p>
        </w:tc>
        <w:tc>
          <w:tcPr>
            <w:tcW w:type="dxa" w:w="9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15,8x</w:t>
            </w:r>
          </w:p>
        </w:tc>
        <w:tc>
          <w:tcPr>
            <w:tcW w:type="dxa" w:w="357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mediana de los comparables</w:t>
            </w:r>
          </w:p>
        </w:tc>
        <w:tc>
          <w:tcPr>
            <w:tcW w:type="dxa" w:w="123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118,97</w:t>
            </w:r>
          </w:p>
        </w:tc>
        <w:tc>
          <w:tcPr>
            <w:tcW w:type="dxa" w:w="138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+53,9 %</w:t>
            </w:r>
          </w:p>
        </w:tc>
      </w:tr>
    </w:tbl>
    <w:p>
      <w:pPr>
        <w:spacing w:after="160" w:before="0"/>
      </w:pPr>
    </w:p>
    <w:p>
      <w:pPr>
        <w:spacing w:after="100"/>
      </w:pPr>
      <w:r>
        <w:rPr>
          <w:b/>
          <w:bCs/>
        </w:rPr>
        <w:t xml:space="preserve">Objetivo a 12 meses (ponderado):</w:t>
      </w:r>
      <w:r>
        <w:t xml:space="preserve"> 77,21 EUR · rentabilidad +0,6 % (base +0,6 %) · señal Mantener.</w:t>
      </w:r>
    </w:p>
    <w:p>
      <w:pPr>
        <w:spacing w:after="100"/>
      </w:pPr>
      <w:r>
        <w:t xml:space="preserve">Para comparar, con la regla v2 (historia al cierre, mismo precio): 11,6x / 13,4x / 15,8x, 10,1 % Mantener; con el tope anterior del base (×1,3, 14-oct mediodía): -0,3 % Mantener. Decide la regla vigente (v3 con tope ×1,1; METODO-VIGENTE.md).</w:t>
      </w:r>
    </w:p>
    <w:p>
      <w:pPr>
        <w:keepNext/>
        <w:spacing w:after="100"/>
      </w:pPr>
      <w:r>
        <w:rPr>
          <w:b/>
          <w:bCs/>
        </w:rPr>
        <w:t xml:space="preserve">Frente al consenso (solo contraste).</w:t>
      </w:r>
    </w:p>
    <w:p>
      <w:pPr>
        <w:spacing w:after="100"/>
      </w:pPr>
      <w:r>
        <w:t xml:space="preserve">Nuestro BPA base de 2028e (6,33) se separa un -14,9 % del consenso (7,44) y nuestro precio base (84,82) un +22,5 % del objetivo medio de los analistas (69,22). No se acerca la cifra: el porqué (ventas, margen, base de BPA o múltiplo) está en el contraste con el consenso de revision-12m-2026-10-13.md.</w:t>
      </w:r>
    </w:p>
    <w:p>
      <w:pPr>
        <w:keepNext/>
        <w:spacing w:after="100"/>
      </w:pPr>
      <w:r>
        <w:rPr>
          <w:b/>
          <w:bCs/>
        </w:rPr>
        <w:t xml:space="preserve">Del valor intrínseco al objetivo a 12 meses.</w:t>
      </w:r>
    </w:p>
    <w:p>
      <w:pPr>
        <w:spacing w:after="100"/>
      </w:pPr>
      <w:r>
        <w:t xml:space="preserve">Valor intrínseco 80,97 (+3,4 %) frente al objetivo a 12 meses ponderado 84,68 (+10,0 % con dividendo; base +10,2 %). La distancia es menor del 25 %.</w:t>
      </w:r>
    </w:p>
    <w:p>
      <w:r>
        <w:br w:type="page"/>
      </w:r>
    </w:p>
    <w:p>
      <w:pPr>
        <w:pStyle w:val="Parte"/>
      </w:pPr>
      <w:r>
        <w:t xml:space="preserve">Parte V — Tesis, riesgos y seguimiento</w:t>
      </w:r>
    </w:p>
    <w:p>
      <w:pPr>
        <w:pStyle w:val="Heading1"/>
      </w:pPr>
      <w:r>
        <w:t xml:space="preserve">24. Catalizadores</w:t>
      </w:r>
    </w:p>
    <w:p>
      <w:pPr>
        <w:pStyle w:val="Confianza"/>
        <w:spacing w:after="100"/>
      </w:pPr>
      <w:r>
        <w:t xml:space="preserve">Confianza: Media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189"/>
        <w:gridCol w:w="3093"/>
        <w:gridCol w:w="3569"/>
        <w:gridCol w:w="832"/>
        <w:gridCol w:w="955"/>
      </w:tblGrid>
      <w:tr>
        <w:trPr>
          <w:cantSplit/>
          <w:tblHeader/>
        </w:trPr>
        <w:tc>
          <w:tcPr>
            <w:tcW w:type="dxa" w:w="118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Fecha</w:t>
            </w:r>
          </w:p>
        </w:tc>
        <w:tc>
          <w:tcPr>
            <w:tcW w:type="dxa" w:w="309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Evento</w:t>
            </w:r>
          </w:p>
        </w:tc>
        <w:tc>
          <w:tcPr>
            <w:tcW w:type="dxa" w:w="356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Qué se sabrá</w:t>
            </w:r>
          </w:p>
        </w:tc>
        <w:tc>
          <w:tcPr>
            <w:tcW w:type="dxa" w:w="83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Prob.</w:t>
            </w:r>
          </w:p>
        </w:tc>
        <w:tc>
          <w:tcPr>
            <w:tcW w:type="dxa" w:w="95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Sentido</w:t>
            </w:r>
          </w:p>
        </w:tc>
      </w:tr>
      <w:tr>
        <w:trPr>
          <w:cantSplit/>
        </w:trPr>
        <w:tc>
          <w:tcPr>
            <w:tcW w:type="dxa" w:w="118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12-nov-2026</w:t>
            </w:r>
          </w:p>
        </w:tc>
        <w:tc>
          <w:tcPr>
            <w:tcW w:type="dxa" w:w="309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Resultados de 9M26</w:t>
            </w:r>
          </w:p>
        </w:tc>
        <w:tc>
          <w:tcPr>
            <w:tcW w:type="dxa" w:w="356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Prueba de la guía de 2026 (ventas +«un dígito alto», mejora del margen) con un 2S de Solaris más normal tras un 1S récord (entregas +41 %); y del circulante, que subió de 87 a 235 M en el semestre</w:t>
            </w:r>
          </w:p>
        </w:tc>
        <w:tc>
          <w:tcPr>
            <w:tcW w:type="dxa" w:w="8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Alta</w:t>
            </w:r>
          </w:p>
        </w:tc>
        <w:tc>
          <w:tcPr>
            <w:tcW w:type="dxa" w:w="9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w:t>
            </w:r>
          </w:p>
        </w:tc>
      </w:tr>
      <w:tr>
        <w:trPr>
          <w:cantSplit/>
        </w:trPr>
        <w:tc>
          <w:tcPr>
            <w:tcW w:type="dxa" w:w="118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4T26 (antes del 31-dic)</w:t>
            </w:r>
          </w:p>
        </w:tc>
        <w:tc>
          <w:tcPr>
            <w:tcW w:type="dxa" w:w="309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Presentación del Plan Estratégico 2027-2030</w:t>
            </w:r>
          </w:p>
        </w:tc>
        <w:tc>
          <w:tcPr>
            <w:tcW w:type="dxa" w:w="356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Fija los objetivos de margen, circulante y dividendo y el tamaño de las compras; el plan anterior reservaba ≈ 550 M para M&amp;A que no se usaron</w:t>
            </w:r>
          </w:p>
        </w:tc>
        <w:tc>
          <w:tcPr>
            <w:tcW w:type="dxa" w:w="8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Alta</w:t>
            </w:r>
          </w:p>
        </w:tc>
        <w:tc>
          <w:tcPr>
            <w:tcW w:type="dxa" w:w="9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w:t>
            </w:r>
          </w:p>
        </w:tc>
      </w:tr>
      <w:tr>
        <w:trPr>
          <w:cantSplit/>
        </w:trPr>
        <w:tc>
          <w:tcPr>
            <w:tcW w:type="dxa" w:w="118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2S26-1S27</w:t>
            </w:r>
          </w:p>
        </w:tc>
        <w:tc>
          <w:tcPr>
            <w:tcW w:type="dxa" w:w="309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Firma y entrada en cartera de El Cairo (rehabilitación y mantenimiento de metro) y Belgrado (cercanías), más de 700 M anunciados</w:t>
            </w:r>
          </w:p>
        </w:tc>
        <w:tc>
          <w:tcPr>
            <w:tcW w:type="dxa" w:w="356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Cartera de 17.743 M más ≈ 4 %; confirma la contratación de 2026 por encima de las ventas</w:t>
            </w:r>
          </w:p>
        </w:tc>
        <w:tc>
          <w:tcPr>
            <w:tcW w:type="dxa" w:w="8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Media</w:t>
            </w:r>
          </w:p>
        </w:tc>
        <w:tc>
          <w:tcPr>
            <w:tcW w:type="dxa" w:w="9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w:t>
            </w:r>
          </w:p>
        </w:tc>
      </w:tr>
      <w:tr>
        <w:trPr>
          <w:cantSplit/>
        </w:trPr>
        <w:tc>
          <w:tcPr>
            <w:tcW w:type="dxa" w:w="118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Finales de feb-2027</w:t>
            </w:r>
          </w:p>
        </w:tc>
        <w:tc>
          <w:tcPr>
            <w:tcW w:type="dxa" w:w="309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Resultados de 2026 y guía de 2027</w:t>
            </w:r>
          </w:p>
        </w:tc>
        <w:tc>
          <w:tcPr>
            <w:tcW w:type="dxa" w:w="356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Primer año del nuevo plan: el mercado pedirá crecimiento y margen EBIT por encima del 6 %</w:t>
            </w:r>
          </w:p>
        </w:tc>
        <w:tc>
          <w:tcPr>
            <w:tcW w:type="dxa" w:w="8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Alta</w:t>
            </w:r>
          </w:p>
        </w:tc>
        <w:tc>
          <w:tcPr>
            <w:tcW w:type="dxa" w:w="9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w:t>
            </w:r>
          </w:p>
        </w:tc>
      </w:tr>
      <w:tr>
        <w:trPr>
          <w:cantSplit/>
        </w:trPr>
        <w:tc>
          <w:tcPr>
            <w:tcW w:type="dxa" w:w="118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2T27</w:t>
            </w:r>
          </w:p>
        </w:tc>
        <w:tc>
          <w:tcPr>
            <w:tcW w:type="dxa" w:w="309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Prototipo del AM30 para SNCB (contrato base de más de 1.700 M firmado en el 1T26)</w:t>
            </w:r>
          </w:p>
        </w:tc>
        <w:tc>
          <w:tcPr>
            <w:tcW w:type="dxa" w:w="356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Primer hito técnico del mayor contrato de la historia de CAF; los retrasos de homologación son la fuente típica de sobrecostes</w:t>
            </w:r>
          </w:p>
        </w:tc>
        <w:tc>
          <w:tcPr>
            <w:tcW w:type="dxa" w:w="8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Media</w:t>
            </w:r>
          </w:p>
        </w:tc>
        <w:tc>
          <w:tcPr>
            <w:tcW w:type="dxa" w:w="9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w:t>
            </w:r>
          </w:p>
        </w:tc>
      </w:tr>
      <w:tr>
        <w:trPr>
          <w:cantSplit/>
        </w:trPr>
        <w:tc>
          <w:tcPr>
            <w:tcW w:type="dxa" w:w="118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Jun-jul 2027</w:t>
            </w:r>
          </w:p>
        </w:tc>
        <w:tc>
          <w:tcPr>
            <w:tcW w:type="dxa" w:w="309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Junta y pago del dividendo del ejercicio 2026</w:t>
            </w:r>
          </w:p>
        </w:tc>
        <w:tc>
          <w:tcPr>
            <w:tcW w:type="dxa" w:w="356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El dividendo sigue a los resultados (1,52 EUR del ejercicio 2025, payout del 36 %)</w:t>
            </w:r>
          </w:p>
        </w:tc>
        <w:tc>
          <w:tcPr>
            <w:tcW w:type="dxa" w:w="83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Alta</w:t>
            </w:r>
          </w:p>
        </w:tc>
        <w:tc>
          <w:tcPr>
            <w:tcW w:type="dxa" w:w="95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w:t>
            </w:r>
          </w:p>
        </w:tc>
      </w:tr>
    </w:tbl>
    <w:p>
      <w:pPr>
        <w:spacing w:after="160" w:before="0"/>
      </w:pPr>
    </w:p>
    <w:p>
      <w:pPr>
        <w:pStyle w:val="Heading1"/>
      </w:pPr>
      <w:r>
        <w:t xml:space="preserve">25. Riesgos y pre-mortem</w:t>
      </w:r>
    </w:p>
    <w:p>
      <w:pPr>
        <w:pStyle w:val="Confianza"/>
        <w:spacing w:after="100"/>
      </w:pPr>
      <w:r>
        <w:t xml:space="preserve">Confianza: Media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19"/>
        <w:gridCol w:w="2095"/>
        <w:gridCol w:w="942"/>
        <w:gridCol w:w="628"/>
        <w:gridCol w:w="733"/>
        <w:gridCol w:w="1047"/>
        <w:gridCol w:w="1885"/>
        <w:gridCol w:w="1889"/>
      </w:tblGrid>
      <w:tr>
        <w:trPr>
          <w:cantSplit/>
          <w:tblHeader/>
        </w:trPr>
        <w:tc>
          <w:tcPr>
            <w:tcW w:type="dxa" w:w="41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w:t>
            </w:r>
          </w:p>
        </w:tc>
        <w:tc>
          <w:tcPr>
            <w:tcW w:type="dxa" w:w="209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Riesgo</w:t>
            </w:r>
          </w:p>
        </w:tc>
        <w:tc>
          <w:tcPr>
            <w:tcW w:type="dxa" w:w="94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Tipo</w:t>
            </w:r>
          </w:p>
        </w:tc>
        <w:tc>
          <w:tcPr>
            <w:tcW w:type="dxa" w:w="62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Prob.</w:t>
            </w:r>
          </w:p>
        </w:tc>
        <w:tc>
          <w:tcPr>
            <w:tcW w:type="dxa" w:w="73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Impacto</w:t>
            </w:r>
          </w:p>
        </w:tc>
        <w:tc>
          <w:tcPr>
            <w:tcW w:type="dxa" w:w="104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Efecto en valor</w:t>
            </w:r>
          </w:p>
        </w:tc>
        <w:tc>
          <w:tcPr>
            <w:tcW w:type="dxa" w:w="188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Mitigante</w:t>
            </w:r>
          </w:p>
        </w:tc>
        <w:tc>
          <w:tcPr>
            <w:tcW w:type="dxa" w:w="188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Señal de alerta</w:t>
            </w:r>
          </w:p>
        </w:tc>
      </w:tr>
      <w:tr>
        <w:trPr>
          <w:cantSplit/>
        </w:trPr>
        <w:tc>
          <w:tcPr>
            <w:tcW w:type="dxa" w:w="4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1</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Sobrecostes o retrasos en un gran contrato a precio cerrado (SNCB, Nápoles, Oriente Medio)</w:t>
            </w:r>
          </w:p>
        </w:tc>
        <w:tc>
          <w:tcPr>
            <w:tcW w:type="dxa" w:w="9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Ejecución</w:t>
            </w:r>
          </w:p>
        </w:tc>
        <w:tc>
          <w:tcPr>
            <w:tcW w:type="dxa" w:w="6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Media</w:t>
            </w:r>
          </w:p>
        </w:tc>
        <w:tc>
          <w:tcPr>
            <w:tcW w:type="dxa" w:w="7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Alto</w:t>
            </w:r>
          </w:p>
        </w:tc>
        <w:tc>
          <w:tcPr>
            <w:tcW w:type="dxa" w:w="10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−26 % por cada punto de margen EBITDA permanente (81,56 → 60,41 EUR)</w:t>
            </w:r>
          </w:p>
        </w:tc>
        <w:tc>
          <w:tcPr>
            <w:tcW w:type="dxa" w:w="1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Cláusulas de indexación o revisión de precios en los contratos nuevos desde 2022 (≈ 2/3 de la cartera cubierta en jun-22) [15]; provisión de contratos onerosos de 70 M y 386 M de garantías [1]</w:t>
            </w:r>
          </w:p>
        </w:tc>
        <w:tc>
          <w:tcPr>
            <w:tcW w:type="dxa" w:w="188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Margen EBIT ferroviario por debajo del 5 % en un semestre; dotación a contratos onerosos por encima de 70 M</w:t>
            </w:r>
          </w:p>
        </w:tc>
      </w:tr>
      <w:tr>
        <w:trPr>
          <w:cantSplit/>
        </w:trPr>
        <w:tc>
          <w:tcPr>
            <w:tcW w:type="dxa" w:w="4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El circulante sigue absorbiendo la caja (anticipos que bajan, cobros que se retrasan)</w:t>
            </w:r>
          </w:p>
        </w:tc>
        <w:tc>
          <w:tcPr>
            <w:tcW w:type="dxa" w:w="9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Financiero</w:t>
            </w:r>
          </w:p>
        </w:tc>
        <w:tc>
          <w:tcPr>
            <w:tcW w:type="dxa" w:w="6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Alta</w:t>
            </w:r>
          </w:p>
        </w:tc>
        <w:tc>
          <w:tcPr>
            <w:tcW w:type="dxa" w:w="7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Medio</w:t>
            </w:r>
          </w:p>
        </w:tc>
        <w:tc>
          <w:tcPr>
            <w:tcW w:type="dxa" w:w="10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−7 % (≈ 5,8 EUR) si el circulante de CAF vuelve al 5-7 % del Plan 2026</w:t>
            </w:r>
          </w:p>
        </w:tc>
        <w:tc>
          <w:tcPr>
            <w:tcW w:type="dxa" w:w="1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Factoring sin recurso y anticipos en contratos nuevos; liquidez de 1.379 M</w:t>
            </w:r>
          </w:p>
        </w:tc>
        <w:tc>
          <w:tcPr>
            <w:tcW w:type="dxa" w:w="188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Cash flow de CAF negativo en 9M26 o en el ejercicio; activos por contrato netos por encima de 400 M</w:t>
            </w:r>
          </w:p>
        </w:tc>
      </w:tr>
      <w:tr>
        <w:trPr>
          <w:cantSplit/>
        </w:trPr>
        <w:tc>
          <w:tcPr>
            <w:tcW w:type="dxa" w:w="4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3</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Competencia china en autobús eléctrico (Yutong, BYD) y presión de precio en Solaris</w:t>
            </w:r>
          </w:p>
        </w:tc>
        <w:tc>
          <w:tcPr>
            <w:tcW w:type="dxa" w:w="9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Competitivo</w:t>
            </w:r>
          </w:p>
        </w:tc>
        <w:tc>
          <w:tcPr>
            <w:tcW w:type="dxa" w:w="6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Media</w:t>
            </w:r>
          </w:p>
        </w:tc>
        <w:tc>
          <w:tcPr>
            <w:tcW w:type="dxa" w:w="7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Medio</w:t>
            </w:r>
          </w:p>
        </w:tc>
        <w:tc>
          <w:tcPr>
            <w:tcW w:type="dxa" w:w="10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−10 % si Solaris vuelve a un margen EBIT del 3 %</w:t>
            </w:r>
          </w:p>
        </w:tc>
        <w:tc>
          <w:tcPr>
            <w:tcW w:type="dxa" w:w="1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Fabricación en Polonia, cuota del 58 % en hidrógeno, Reglamento de subvenciones extranjeras [27, 31]</w:t>
            </w:r>
          </w:p>
        </w:tc>
        <w:tc>
          <w:tcPr>
            <w:tcW w:type="dxa" w:w="188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Cuota de Solaris en eléctrico europeo por debajo del 7 %; book-to-bill de Autobuses por debajo de 0,8 dos semestres</w:t>
            </w:r>
          </w:p>
        </w:tc>
      </w:tr>
      <w:tr>
        <w:trPr>
          <w:cantSplit/>
        </w:trPr>
        <w:tc>
          <w:tcPr>
            <w:tcW w:type="dxa" w:w="4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4</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Compra grande en el Plan 2027-2030</w:t>
            </w:r>
          </w:p>
        </w:tc>
        <w:tc>
          <w:tcPr>
            <w:tcW w:type="dxa" w:w="9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Asignación de capital</w:t>
            </w:r>
          </w:p>
        </w:tc>
        <w:tc>
          <w:tcPr>
            <w:tcW w:type="dxa" w:w="6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Media</w:t>
            </w:r>
          </w:p>
        </w:tc>
        <w:tc>
          <w:tcPr>
            <w:tcW w:type="dxa" w:w="7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Medio</w:t>
            </w:r>
          </w:p>
        </w:tc>
        <w:tc>
          <w:tcPr>
            <w:tcW w:type="dxa" w:w="10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−5 a −10 % si se paga 10-12x EBITDA con deuda</w:t>
            </w:r>
          </w:p>
        </w:tc>
        <w:tc>
          <w:tcPr>
            <w:tcW w:type="dxa" w:w="1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El ROIC solo supera el WACC desde 2024; DFN/EBITDA de 0,5x según CAF</w:t>
            </w:r>
          </w:p>
        </w:tc>
        <w:tc>
          <w:tcPr>
            <w:tcW w:type="dxa" w:w="188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Objetivo de DFN/EBITDA por encima de 1,5x en el plan o caso base de M&amp;A</w:t>
            </w:r>
          </w:p>
        </w:tc>
      </w:tr>
      <w:tr>
        <w:trPr>
          <w:cantSplit/>
        </w:trPr>
        <w:tc>
          <w:tcPr>
            <w:tcW w:type="dxa" w:w="4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5</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Oriente Medio e Israel (tranvía de Jerusalén, Tel Aviv)</w:t>
            </w:r>
          </w:p>
        </w:tc>
        <w:tc>
          <w:tcPr>
            <w:tcW w:type="dxa" w:w="9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Geopolítico y reputacional</w:t>
            </w:r>
          </w:p>
        </w:tc>
        <w:tc>
          <w:tcPr>
            <w:tcW w:type="dxa" w:w="6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Media</w:t>
            </w:r>
          </w:p>
        </w:tc>
        <w:tc>
          <w:tcPr>
            <w:tcW w:type="dxa" w:w="7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Bajo</w:t>
            </w:r>
          </w:p>
        </w:tc>
        <w:tc>
          <w:tcPr>
            <w:tcW w:type="dxa" w:w="10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−3 %</w:t>
            </w:r>
          </w:p>
        </w:tc>
        <w:tc>
          <w:tcPr>
            <w:tcW w:type="dxa" w:w="1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La empresa no ve impacto material [8]</w:t>
            </w:r>
          </w:p>
        </w:tc>
        <w:tc>
          <w:tcPr>
            <w:tcW w:type="dxa" w:w="188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Retrasos o provisiones en proyectos de Israel; exclusiones de inversores por la base de datos de la ONU [1]</w:t>
            </w:r>
          </w:p>
        </w:tc>
      </w:tr>
      <w:tr>
        <w:trPr>
          <w:cantSplit/>
        </w:trPr>
        <w:tc>
          <w:tcPr>
            <w:tcW w:type="dxa" w:w="4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6</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Litigios en Brasil (CADE, Ministerio Público de São Paulo, Mato Grosso)</w:t>
            </w:r>
          </w:p>
        </w:tc>
        <w:tc>
          <w:tcPr>
            <w:tcW w:type="dxa" w:w="9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Legal</w:t>
            </w:r>
          </w:p>
        </w:tc>
        <w:tc>
          <w:tcPr>
            <w:tcW w:type="dxa" w:w="6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Baja</w:t>
            </w:r>
          </w:p>
        </w:tc>
        <w:tc>
          <w:tcPr>
            <w:tcW w:type="dxa" w:w="7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Bajo</w:t>
            </w:r>
          </w:p>
        </w:tc>
        <w:tc>
          <w:tcPr>
            <w:tcW w:type="dxa" w:w="10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−1 a −2 % (multa de 54 M ya restada en el puente)</w:t>
            </w:r>
          </w:p>
        </w:tc>
        <w:tc>
          <w:tcPr>
            <w:tcW w:type="dxa" w:w="1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Provisionado y recurrido [1]</w:t>
            </w:r>
          </w:p>
        </w:tc>
        <w:tc>
          <w:tcPr>
            <w:tcW w:type="dxa" w:w="188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Sentencia firme o bloqueo de cobros en Brasil</w:t>
            </w:r>
          </w:p>
        </w:tc>
      </w:tr>
      <w:tr>
        <w:trPr>
          <w:cantSplit/>
        </w:trPr>
        <w:tc>
          <w:tcPr>
            <w:tcW w:type="dxa" w:w="41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7</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Valoración por encima de los analistas tras un +49 % en un año</w:t>
            </w:r>
          </w:p>
        </w:tc>
        <w:tc>
          <w:tcPr>
            <w:tcW w:type="dxa" w:w="94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Mercado</w:t>
            </w:r>
          </w:p>
        </w:tc>
        <w:tc>
          <w:tcPr>
            <w:tcW w:type="dxa" w:w="62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Media</w:t>
            </w:r>
          </w:p>
        </w:tc>
        <w:tc>
          <w:tcPr>
            <w:tcW w:type="dxa" w:w="73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Medio</w:t>
            </w:r>
          </w:p>
        </w:tc>
        <w:tc>
          <w:tcPr>
            <w:tcW w:type="dxa" w:w="104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−12 % hasta el precio objetivo medio (69,22 EUR)</w:t>
            </w:r>
          </w:p>
        </w:tc>
        <w:tc>
          <w:tcPr>
            <w:tcW w:type="dxa" w:w="188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Múltiplos en línea con los comparables (7,0x EV/EBITDA NTM)</w:t>
            </w:r>
          </w:p>
        </w:tc>
        <w:tc>
          <w:tcPr>
            <w:tcW w:type="dxa" w:w="188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Plan 2027-2030 con margen por debajo del consenso</w:t>
            </w:r>
          </w:p>
        </w:tc>
      </w:tr>
    </w:tbl>
    <w:p>
      <w:pPr>
        <w:spacing w:after="160" w:before="0"/>
      </w:pPr>
    </w:p>
    <w:p>
      <w:pPr>
        <w:pStyle w:val="Heading2"/>
      </w:pPr>
      <w:r>
        <w:t xml:space="preserve">Pre-mortem</w:t>
      </w:r>
    </w:p>
    <w:p>
      <w:pPr>
        <w:spacing w:after="100"/>
      </w:pPr>
      <w:r>
        <w:t xml:space="preserve">Octubre de 2029: CAF cotiza a 47 EUR y hemos perdido un 40 %. La historia más probable empieza en el nuevo plan de diciembre de 2026: un objetivo de margen EBIT del 7 % y una compra en servicios o señalización de unos 600 M pagada a 11x el EBITDA, financiada con deuda. En 2027 arranca la fabricación del AM30 de SNCB y la homologación se retrasa un año, como suele pasar con plataformas nuevas en una red nueva; CAF dota provisiones por penalizaciones y el margen ferroviario vuelve al 4 %. A la vez, Yutong y BYD ganan los concursos de autobús eléctrico en Italia y España con precios un 15 % más bajos, y Solaris, con la nueva nave de Polonia ya en marcha, vuelve a un margen del 3 %. El circulante, que en 2026 ya había subido 150 M en un semestre, sigue creciendo: la deuda neta ajustada pasa de 1,4x a 2,5x el EBITDA y el dividendo se congela. El mercado vuelve a pagar 5x el EBITDA, el múltiplo de 2023-2024. Los indicadores que lo habrían anticipado: el cash flow de CAF negativo en 2026, el margen EBIT ferroviario por debajo del 5 % y el book-to-bill de Autobuses por debajo de 0,8.</w:t>
      </w:r>
    </w:p>
    <w:p>
      <w:pPr>
        <w:pStyle w:val="Heading1"/>
      </w:pPr>
      <w:r>
        <w:t xml:space="preserve">26. ESG y controversias</w:t>
      </w:r>
    </w:p>
    <w:p>
      <w:pPr>
        <w:pStyle w:val="Confianza"/>
        <w:spacing w:after="100"/>
      </w:pPr>
      <w:r>
        <w:t xml:space="preserve">Confianza: Alta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855"/>
        <w:gridCol w:w="3855"/>
        <w:gridCol w:w="1928"/>
      </w:tblGrid>
      <w:tr>
        <w:trPr>
          <w:cantSplit/>
          <w:tblHeader/>
        </w:trPr>
        <w:tc>
          <w:tcPr>
            <w:tcW w:type="dxa" w:w="385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Proveedor</w:t>
            </w:r>
          </w:p>
        </w:tc>
        <w:tc>
          <w:tcPr>
            <w:tcW w:type="dxa" w:w="385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Calificación</w:t>
            </w:r>
          </w:p>
        </w:tc>
        <w:tc>
          <w:tcPr>
            <w:tcW w:type="dxa" w:w="192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Fecha</w:t>
            </w:r>
          </w:p>
        </w:tc>
      </w:tr>
      <w:tr>
        <w:trPr>
          <w:cantSplit/>
        </w:trPr>
        <w:tc>
          <w:tcPr>
            <w:tcW w:type="dxa" w:w="38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CDP (cambio climático)</w:t>
            </w:r>
          </w:p>
        </w:tc>
        <w:tc>
          <w:tcPr>
            <w:tcW w:type="dxa" w:w="38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A (B en 2024 y 2023)</w:t>
            </w:r>
          </w:p>
        </w:tc>
        <w:tc>
          <w:tcPr>
            <w:tcW w:type="dxa" w:w="19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2025-12</w:t>
            </w:r>
          </w:p>
        </w:tc>
      </w:tr>
      <w:tr>
        <w:trPr>
          <w:cantSplit/>
        </w:trPr>
        <w:tc>
          <w:tcPr>
            <w:tcW w:type="dxa" w:w="38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Sustainalytics</w:t>
            </w:r>
          </w:p>
        </w:tc>
        <w:tc>
          <w:tcPr>
            <w:tcW w:type="dxa" w:w="38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Riesgo bajo</w:t>
            </w:r>
          </w:p>
        </w:tc>
        <w:tc>
          <w:tcPr>
            <w:tcW w:type="dxa" w:w="19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2025-12</w:t>
            </w:r>
          </w:p>
        </w:tc>
      </w:tr>
      <w:tr>
        <w:trPr>
          <w:cantSplit/>
        </w:trPr>
        <w:tc>
          <w:tcPr>
            <w:tcW w:type="dxa" w:w="38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MSCI ESG</w:t>
            </w:r>
          </w:p>
        </w:tc>
        <w:tc>
          <w:tcPr>
            <w:tcW w:type="dxa" w:w="38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A (AA en 2024; A en 2023)</w:t>
            </w:r>
          </w:p>
        </w:tc>
        <w:tc>
          <w:tcPr>
            <w:tcW w:type="dxa" w:w="19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2025-12</w:t>
            </w:r>
          </w:p>
        </w:tc>
      </w:tr>
      <w:tr>
        <w:trPr>
          <w:cantSplit/>
        </w:trPr>
        <w:tc>
          <w:tcPr>
            <w:tcW w:type="dxa" w:w="38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S&amp;P Global ESG Score</w:t>
            </w:r>
          </w:p>
        </w:tc>
        <w:tc>
          <w:tcPr>
            <w:tcW w:type="dxa" w:w="38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66/100 (60 en 2024; objetivo 2026: 70)</w:t>
            </w:r>
          </w:p>
        </w:tc>
        <w:tc>
          <w:tcPr>
            <w:tcW w:type="dxa" w:w="19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2025-12</w:t>
            </w:r>
          </w:p>
        </w:tc>
      </w:tr>
      <w:tr>
        <w:trPr>
          <w:cantSplit/>
        </w:trPr>
        <w:tc>
          <w:tcPr>
            <w:tcW w:type="dxa" w:w="385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EcoVadis</w:t>
            </w:r>
          </w:p>
        </w:tc>
        <w:tc>
          <w:tcPr>
            <w:tcW w:type="dxa" w:w="385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80/100, medalla Oro (79 en 2024)</w:t>
            </w:r>
          </w:p>
        </w:tc>
        <w:tc>
          <w:tcPr>
            <w:tcW w:type="dxa" w:w="192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2025-12</w:t>
            </w:r>
          </w:p>
        </w:tc>
      </w:tr>
    </w:tbl>
    <w:p>
      <w:pPr>
        <w:spacing w:after="160" w:before="0"/>
      </w:pPr>
    </w:p>
    <w:p>
      <w:pPr>
        <w:pStyle w:val="Heading2"/>
      </w:pPr>
      <w:r>
        <w:t xml:space="preserve">Asuntos materiales</w:t>
      </w:r>
    </w:p>
    <w:p>
      <w:pPr>
        <w:spacing w:after="100"/>
      </w:pPr>
      <w:r>
        <w:rPr>
          <w:b/>
        </w:rPr>
        <w:t xml:space="preserve">Taxonomía europea</w:t>
      </w:r>
      <w:r>
        <w:t xml:space="preserve">: el 86,5 % de la cifra de negocios de 2025 está alineado con la taxonomía de la UE (82,1 % en 2024 y 80,2 % en 2023), y el 88,0 % en el 1S26, por encima del objetivo del 84 % del Plan 2026 [1, 14]. El transporte colectivo electrificado es actividad verde por definición, lo que abre financiación vinculada y concursos con criterios climáticos.</w:t>
      </w:r>
    </w:p>
    <w:p>
      <w:pPr>
        <w:spacing w:after="100"/>
      </w:pPr>
      <w:r>
        <w:rPr>
          <w:b/>
        </w:rPr>
        <w:t xml:space="preserve">Emisiones</w:t>
      </w:r>
      <w:r>
        <w:t xml:space="preserve">: los alcances 1 y 2 bajan un 30,3 % frente a 2019 y el alcance 3 por uso del producto un 43,4 %; la senda está validada por SBTi (−55 % en alcances 1 y 2 a 2030 y cero neto en 2045) [1]. En Solaris, el 86 % de las unidades vendidas en 2025 fueron de cero o bajas emisiones [1].</w:t>
      </w:r>
    </w:p>
    <w:p>
      <w:pPr>
        <w:spacing w:after="100"/>
      </w:pPr>
      <w:r>
        <w:rPr>
          <w:b/>
        </w:rPr>
        <w:t xml:space="preserve">Seguridad laboral</w:t>
      </w:r>
      <w:r>
        <w:t xml:space="preserve">: índice de frecuencia de 13,8 en 2025 y 14,4 en el 1S26, peor que el objetivo de 13,5 para 2026 [1, 14]. </w:t>
      </w:r>
      <w:r>
        <w:rPr>
          <w:b/>
        </w:rPr>
        <w:t xml:space="preserve">Derechos humanos</w:t>
      </w:r>
      <w:r>
        <w:t xml:space="preserve">: por el tranvía de Jerusalén (contrato de 114 tranvías, en fabricación), la ONU incluyó a CAF en sept-2025 en su base de datos de empresas ligadas a los asentamientos [1].</w:t>
      </w:r>
    </w:p>
    <w:p>
      <w:pPr>
        <w:pStyle w:val="Heading2"/>
      </w:pPr>
      <w:r>
        <w:t xml:space="preserve">Controversias</w:t>
      </w:r>
    </w:p>
    <w:p>
      <w:pPr>
        <w:spacing w:after="100"/>
      </w:pPr>
      <w:r>
        <w:rPr>
          <w:b/>
        </w:rPr>
        <w:t xml:space="preserve">Brasil (CADE)</w:t>
      </w:r>
      <w:r>
        <w:t xml:space="preserve">: multa de 167,1 M BRL (28,3 M EUR al 30-jun-2026) a CAF Brasil en jul-2019 por cártel en licitaciones de São Paulo, provisionada en 2019 y recurrida. El Ministerio Público de São Paulo logró en ene-2026 una cautelar que bloqueaba cobros, después anulada [6]. </w:t>
      </w:r>
      <w:r>
        <w:rPr>
          <w:b/>
        </w:rPr>
        <w:t xml:space="preserve">Mato Grosso</w:t>
      </w:r>
      <w:r>
        <w:t xml:space="preserve">: multa de 96,2 M BRL (16,3 M EUR) al consorcio del tranvía de Cuiabá (CAF tiene el 36,8 %), suspendida por un acuerdo de jul-2024 [6]. </w:t>
      </w:r>
      <w:r>
        <w:rPr>
          <w:b/>
        </w:rPr>
        <w:t xml:space="preserve">España (CNMC)</w:t>
      </w:r>
      <w:r>
        <w:t xml:space="preserve">: resolución del 30-sep-2021 que sanciona con 1,7 M EUR a CAF Signalling por sumarse en 2015 al cártel de señalización iniciado en 2002. Está recurrida ante la Audiencia Nacional, con el pago y la prohibición de contratar suspendidos y sin provisión [6]. </w:t>
      </w:r>
      <w:r>
        <w:rPr>
          <w:b/>
        </w:rPr>
        <w:t xml:space="preserve">Jerusalén</w:t>
      </w:r>
      <w:r>
        <w:t xml:space="preserve">: inclusión en sept-2025 en la base de datos A/HRC/60/19 de la ONU, que CAF rechaza [1].</w:t>
      </w:r>
    </w:p>
    <w:p>
      <w:pPr>
        <w:pStyle w:val="Heading1"/>
      </w:pPr>
      <w:r>
        <w:t xml:space="preserve">27. Preguntas abiertas para la dirección y la due diligence</w:t>
      </w:r>
    </w:p>
    <w:p>
      <w:pPr>
        <w:pStyle w:val="Confianza"/>
        <w:spacing w:after="100"/>
      </w:pPr>
      <w:r>
        <w:t xml:space="preserve">Confianza: Media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88"/>
        <w:gridCol w:w="1585"/>
        <w:gridCol w:w="4392"/>
        <w:gridCol w:w="3173"/>
      </w:tblGrid>
      <w:tr>
        <w:trPr>
          <w:cantSplit/>
          <w:tblHeader/>
        </w:trPr>
        <w:tc>
          <w:tcPr>
            <w:tcW w:type="dxa" w:w="48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w:t>
            </w:r>
          </w:p>
        </w:tc>
        <w:tc>
          <w:tcPr>
            <w:tcW w:type="dxa" w:w="158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Tema</w:t>
            </w:r>
          </w:p>
        </w:tc>
        <w:tc>
          <w:tcPr>
            <w:tcW w:type="dxa" w:w="439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Pregunta</w:t>
            </w:r>
          </w:p>
        </w:tc>
        <w:tc>
          <w:tcPr>
            <w:tcW w:type="dxa" w:w="317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Por qué importa</w:t>
            </w:r>
          </w:p>
        </w:tc>
      </w:tr>
      <w:tr>
        <w:trPr>
          <w:cantSplit/>
        </w:trPr>
        <w:tc>
          <w:tcPr>
            <w:tcW w:type="dxa" w:w="4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1</w:t>
            </w:r>
          </w:p>
        </w:tc>
        <w:tc>
          <w:tcPr>
            <w:tcW w:type="dxa" w:w="15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Circulante</w:t>
            </w:r>
          </w:p>
        </w:tc>
        <w:tc>
          <w:tcPr>
            <w:tcW w:type="dxa" w:w="439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¿Qué calendario de cobros explica los 148 M de aumento del circulante del 1S26 y qué nivel de circulante sobre ventas da por bueno CAF para 2027-2030?</w:t>
            </w:r>
          </w:p>
        </w:tc>
        <w:tc>
          <w:tcPr>
            <w:tcW w:type="dxa" w:w="317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En 2022-2025 el FCF fue casi nulo por el circulante; el Plan 2026 suponía un 5-7 % de las ventas frente al ≈ 2 % actual.</w:t>
            </w:r>
          </w:p>
        </w:tc>
      </w:tr>
      <w:tr>
        <w:trPr>
          <w:cantSplit/>
        </w:trPr>
        <w:tc>
          <w:tcPr>
            <w:tcW w:type="dxa" w:w="4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w:t>
            </w:r>
          </w:p>
        </w:tc>
        <w:tc>
          <w:tcPr>
            <w:tcW w:type="dxa" w:w="15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SNCB</w:t>
            </w:r>
          </w:p>
        </w:tc>
        <w:tc>
          <w:tcPr>
            <w:tcW w:type="dxa" w:w="439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¿Con qué margen y con qué cláusulas de revisión de precios y de penalización por retraso se firmó el contrato de SNCB (más de 1.700 M)?</w:t>
            </w:r>
          </w:p>
        </w:tc>
        <w:tc>
          <w:tcPr>
            <w:tcW w:type="dxa" w:w="317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Es ≈ 10 % de la cartera y una plataforma nueva en una red donde CAF no tenía trenes.</w:t>
            </w:r>
          </w:p>
        </w:tc>
      </w:tr>
      <w:tr>
        <w:trPr>
          <w:cantSplit/>
        </w:trPr>
        <w:tc>
          <w:tcPr>
            <w:tcW w:type="dxa" w:w="4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3</w:t>
            </w:r>
          </w:p>
        </w:tc>
        <w:tc>
          <w:tcPr>
            <w:tcW w:type="dxa" w:w="15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Margen ferroviario</w:t>
            </w:r>
          </w:p>
        </w:tc>
        <w:tc>
          <w:tcPr>
            <w:tcW w:type="dxa" w:w="439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¿Qué parte de la cartera ferroviaria sigue «impactada por la inflación» y cuándo termina de ejecutarse?</w:t>
            </w:r>
          </w:p>
        </w:tc>
        <w:tc>
          <w:tcPr>
            <w:tcW w:type="dxa" w:w="317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El EBIT ferroviario está en el 5,2-5,3 % frente al 7,6 % de 2018; cada punto de margen EBITDA del grupo vale ≈ 21 EUR por acción.</w:t>
            </w:r>
          </w:p>
        </w:tc>
      </w:tr>
      <w:tr>
        <w:trPr>
          <w:cantSplit/>
        </w:trPr>
        <w:tc>
          <w:tcPr>
            <w:tcW w:type="dxa" w:w="4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4</w:t>
            </w:r>
          </w:p>
        </w:tc>
        <w:tc>
          <w:tcPr>
            <w:tcW w:type="dxa" w:w="15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Solaris</w:t>
            </w:r>
          </w:p>
        </w:tc>
        <w:tc>
          <w:tcPr>
            <w:tcW w:type="dxa" w:w="439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¿Cuánto del margen EBIT del 7,3 % del 1S26 es mezcla de entregas y cuánto es sostenible con el reparto «normal» del 2S?</w:t>
            </w:r>
          </w:p>
        </w:tc>
        <w:tc>
          <w:tcPr>
            <w:tcW w:type="dxa" w:w="317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Solaris aporta casi todo el crecimiento del beneficio; en 2022 perdió dinero.</w:t>
            </w:r>
          </w:p>
        </w:tc>
      </w:tr>
      <w:tr>
        <w:trPr>
          <w:cantSplit/>
        </w:trPr>
        <w:tc>
          <w:tcPr>
            <w:tcW w:type="dxa" w:w="4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5</w:t>
            </w:r>
          </w:p>
        </w:tc>
        <w:tc>
          <w:tcPr>
            <w:tcW w:type="dxa" w:w="15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M&amp;A</w:t>
            </w:r>
          </w:p>
        </w:tc>
        <w:tc>
          <w:tcPr>
            <w:tcW w:type="dxa" w:w="439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¿El Plan 2027-2030 incluirá un caso base de compras como el de 2022 (≈ 550 M) y con qué techo de deuda?</w:t>
            </w:r>
          </w:p>
        </w:tc>
        <w:tc>
          <w:tcPr>
            <w:tcW w:type="dxa" w:w="317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El ROIC solo supera el WACC desde 2024; una compra cara lo devolvería por debajo.</w:t>
            </w:r>
          </w:p>
        </w:tc>
      </w:tr>
      <w:tr>
        <w:trPr>
          <w:cantSplit/>
        </w:trPr>
        <w:tc>
          <w:tcPr>
            <w:tcW w:type="dxa" w:w="4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6</w:t>
            </w:r>
          </w:p>
        </w:tc>
        <w:tc>
          <w:tcPr>
            <w:tcW w:type="dxa" w:w="15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Provisiones</w:t>
            </w:r>
          </w:p>
        </w:tc>
        <w:tc>
          <w:tcPr>
            <w:tcW w:type="dxa" w:w="439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¿Por qué las provisiones de garantías crecen más que las ventas (269 M en 2021, 386 M en 2025) y qué parte se ha revertido sin usar?</w:t>
            </w:r>
          </w:p>
        </w:tc>
        <w:tc>
          <w:tcPr>
            <w:tcW w:type="dxa" w:w="317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Son un colchón prudente o una reserva para alisar resultados: cambia la lectura del margen.</w:t>
            </w:r>
          </w:p>
        </w:tc>
      </w:tr>
      <w:tr>
        <w:trPr>
          <w:cantSplit/>
        </w:trPr>
        <w:tc>
          <w:tcPr>
            <w:tcW w:type="dxa" w:w="4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7</w:t>
            </w:r>
          </w:p>
        </w:tc>
        <w:tc>
          <w:tcPr>
            <w:tcW w:type="dxa" w:w="15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Concentración</w:t>
            </w:r>
          </w:p>
        </w:tc>
        <w:tc>
          <w:tcPr>
            <w:tcW w:type="dxa" w:w="439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¿Qué peso tienen los cinco mayores contratos en la cartera de 17.743 M y en el margen previsto?</w:t>
            </w:r>
          </w:p>
        </w:tc>
        <w:tc>
          <w:tcPr>
            <w:tcW w:type="dxa" w:w="317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CAF solo publica que los cinco principales son el 15 % de los saldos pendientes de cobro.</w:t>
            </w:r>
          </w:p>
        </w:tc>
      </w:tr>
      <w:tr>
        <w:trPr>
          <w:cantSplit/>
        </w:trPr>
        <w:tc>
          <w:tcPr>
            <w:tcW w:type="dxa" w:w="48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8</w:t>
            </w:r>
          </w:p>
        </w:tc>
        <w:tc>
          <w:tcPr>
            <w:tcW w:type="dxa" w:w="158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Accionariado</w:t>
            </w:r>
          </w:p>
        </w:tc>
        <w:tc>
          <w:tcPr>
            <w:tcW w:type="dxa" w:w="439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¿Qué política tiene Cartera Social sobre su 23,12 % (que baja cada año) y hay algún acuerdo con BBK o el Gobierno Vasco ante una operación?</w:t>
            </w:r>
          </w:p>
        </w:tc>
        <w:tc>
          <w:tcPr>
            <w:tcW w:type="dxa" w:w="317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El bloque vasco y de empleados (39,35 %) decide cualquier operación corporativa.</w:t>
            </w:r>
          </w:p>
        </w:tc>
      </w:tr>
    </w:tbl>
    <w:p>
      <w:pPr>
        <w:spacing w:after="160" w:before="0"/>
      </w:pPr>
    </w:p>
    <w:p>
      <w:r>
        <w:br w:type="page"/>
      </w:r>
    </w:p>
    <w:p>
      <w:pPr>
        <w:pStyle w:val="Parte"/>
      </w:pPr>
      <w:r>
        <w:t xml:space="preserve">Anexos</w:t>
      </w:r>
    </w:p>
    <w:p>
      <w:pPr>
        <w:pStyle w:val="Heading1"/>
      </w:pPr>
      <w:r>
        <w:t xml:space="preserve">A. Controles de calidad del análisis</w:t>
      </w:r>
    </w:p>
    <w:p>
      <w:pPr>
        <w:spacing w:after="100"/>
      </w:pPr>
      <w:r>
        <w:t xml:space="preserve">18 de 26 controles correctos y 7 explicados. Fuentes: 73 (42 primarias); citas distintas en el texto: 71.</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005"/>
        <w:gridCol w:w="1126"/>
        <w:gridCol w:w="4507"/>
      </w:tblGrid>
      <w:tr>
        <w:trPr>
          <w:cantSplit/>
          <w:tblHeader/>
        </w:trPr>
        <w:tc>
          <w:tcPr>
            <w:tcW w:type="dxa" w:w="400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Control</w:t>
            </w:r>
          </w:p>
        </w:tc>
        <w:tc>
          <w:tcPr>
            <w:tcW w:type="dxa" w:w="112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Resultado</w:t>
            </w:r>
          </w:p>
        </w:tc>
        <w:tc>
          <w:tcPr>
            <w:tcW w:type="dxa" w:w="450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Detalle</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EBITDA − amortizaciones = EBIT (2018)</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Explicado</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Diferencia de 11: deterioros u otros resultados entre EBITDA y EBIT; explícalo en el comentario. Explicación: CAF incluye en su EBITDA el «deterioro y resultado por enajenación del inmovilizado» (−10,6 M en 2018); el dato es el publicado [5].</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EBITDA − amortizaciones = EBIT (2020)</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Explicado</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Diferencia de -9: deterioros u otros resultados entre EBITDA y EBIT; explícalo en el comentario. Explicación: Misma causa: +8,9 M de deterioro y enajenación del inmovilizado en 2020 dentro del EBITDA de CAF [4].</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EBIT + resultado financiero = BAI (2020)</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Explicado</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Diferencia de 4 (¿asociadas o extraordinarios?). Explicación: La diferencia es el resultado de las sociedades por puesta en equivalencia (−4,2 M en 2020), que CAF no incluye en el resultado financiero [4].</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EBIT + resultado financiero = BAI (2022)</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Explicado</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Diferencia de -6 (¿asociadas o extraordinarios?). Explicación: Puesta en equivalencia de +5,6 M en 2022, fuera del resultado financiero [3].</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Geografías suman 100 %</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DCF inverso calculable</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Puente de ingresos (volumen + precio + otros) = crecimiento del DCF</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Rendimiento del capital nuevo de la proyección ≤ 1,25 × el histórico</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La proyección supone que la inversión nueva rinde un 16,7 % frente a un ROIC de 13,6 %: crecimiento que la empresa no ha demostrado poder comprar.</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Circulante del primer año de proyección ≈ último real</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Supuesto 10,0 % frente a 9,0 % real: genera una variación de circulante de 88 M en el primer año. Converge de forma gradual.</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Peso del valor terminal ≤ 80 % del valor empresa</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63 %.</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Crecimiento a perpetuidad ≤ 3 %</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2,00 %.</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Probabilidades de los escenarios suman 100</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Regresión múltiplo-crecimiento explicativa (R² ≥ 0,3)</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Explicado</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R² = 0,03: el crecimiento no explica los múltiplos de estos comparables; no uses el valor de la regresión. Explicación: R² de 0,03: la muestra mezcla fabricantes de trenes de margen bajo (Alstom, Stadler, Talgo), proveedores de componentes de margen alto (Knorr-Bremse, Wabtec) y camiones (Daimler Truck, Volvo); el múltiplo lo explica el margen, no el crecimiento. No se usa.</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Al menos 5 comparables</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7 comparables.</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Comparables estables al quitar una empresa</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Explicado</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La mediana del EV/EBITDA NTM va de 7,0x a 8,2x según qué comparable se quite (78,71 a 93,27 por acción): la muestra es frágil; explícalo y no le des mucho peso. Explicación: La mediana del EV/EBITDA NTM va de 7,0x a 8,2x según el comparable que se quite. Por eso los comparables pesan un 15 % y se acompañan de una suma de partes con múltiplos por negocio.</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Múltiplos LTM y NTM de cada comparable coherentes</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Explicado</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Stadler Rail (12,0x → 7,3x), Knorr-Bremse (13,7x → 10,5x): el salto implica un crecimiento del EBITDA que no cuadra con el de las ventas. ¿EBITDA de proveedores distintos, o un cambio de perímetro? Explicación: En Stadler el consenso espera pasar de 3.679 a 5.378 M CHF de ventas (24 % anualizado) y de 278,5 a 460 M de EBITDA, que baja su múltiplo de 12,0x a 7,3x; en Knorr-Bremse, que el margen EBITDA suba del 16,5 % de 2025 al 19,4 % (1.292 a 1.685 M). Son expectativas del consenso, no cambios de definición. Todo es de MarketScreener, mismo proveedor para LTM y NTM [53, 55].</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Pesos de la síntesis suman 100</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Múltiplos del objetivo a 12 m según la regla común</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Objetivo 12 m frente al consenso</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El base se separa un 11,6 % del objetivo medio de los analistas: explícalo en diferencia_consenso (nunca se acerca la cifra).</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Precio del cierre de la fecha de corte (o de las dos sesiones anteriores)</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Recomendación coherente con la regla de decisión</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Revisar</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La regla da «Mantener» y el análisis recomienda «Comprar»: hace falta «justificacion_recomendacion».</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La síntesis explica la convicción</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La síntesis debe decir por qué tiene esa convicción y qué la subiría o la bajaría.</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Al menos 25 fuentes</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73 fuentes (42 primarias).</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Al menos 10 fuentes primarias</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42.</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Toda cita [n] existe en fuentes</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Fuentes sin citar ≤ 15 %</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Sin citar: 7, 11.</w:t>
            </w:r>
          </w:p>
        </w:tc>
      </w:tr>
    </w:tbl>
    <w:p>
      <w:pPr>
        <w:spacing w:after="16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7228"/>
        <w:gridCol w:w="2410"/>
      </w:tblGrid>
      <w:tr>
        <w:trPr>
          <w:cantSplit/>
          <w:tblHeader/>
        </w:trPr>
        <w:tc>
          <w:tcPr>
            <w:tcW w:type="dxa" w:w="722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Tipo de fuente</w:t>
            </w:r>
          </w:p>
        </w:tc>
        <w:tc>
          <w:tcPr>
            <w:tcW w:type="dxa" w:w="241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Número</w:t>
            </w:r>
          </w:p>
        </w:tc>
      </w:tr>
      <w:tr>
        <w:trPr>
          <w:cantSplit/>
        </w:trPr>
        <w:tc>
          <w:tcPr>
            <w:tcW w:type="dxa" w:w="72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Primaria</w:t>
            </w:r>
          </w:p>
        </w:tc>
        <w:tc>
          <w:tcPr>
            <w:tcW w:type="dxa" w:w="24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42</w:t>
            </w:r>
          </w:p>
        </w:tc>
      </w:tr>
      <w:tr>
        <w:trPr>
          <w:cantSplit/>
        </w:trPr>
        <w:tc>
          <w:tcPr>
            <w:tcW w:type="dxa" w:w="72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Sectorial</w:t>
            </w:r>
          </w:p>
        </w:tc>
        <w:tc>
          <w:tcPr>
            <w:tcW w:type="dxa" w:w="24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w:t>
            </w:r>
          </w:p>
        </w:tc>
      </w:tr>
      <w:tr>
        <w:trPr>
          <w:cantSplit/>
        </w:trPr>
        <w:tc>
          <w:tcPr>
            <w:tcW w:type="dxa" w:w="72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Prensa</w:t>
            </w:r>
          </w:p>
        </w:tc>
        <w:tc>
          <w:tcPr>
            <w:tcW w:type="dxa" w:w="24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w:t>
            </w:r>
          </w:p>
        </w:tc>
      </w:tr>
      <w:tr>
        <w:trPr>
          <w:cantSplit/>
        </w:trPr>
        <w:tc>
          <w:tcPr>
            <w:tcW w:type="dxa" w:w="72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Datos de mercado</w:t>
            </w:r>
          </w:p>
        </w:tc>
        <w:tc>
          <w:tcPr>
            <w:tcW w:type="dxa" w:w="24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w:t>
            </w:r>
          </w:p>
        </w:tc>
      </w:tr>
      <w:tr>
        <w:trPr>
          <w:cantSplit/>
        </w:trPr>
        <w:tc>
          <w:tcPr>
            <w:tcW w:type="dxa" w:w="722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Analistas</w:t>
            </w:r>
          </w:p>
        </w:tc>
        <w:tc>
          <w:tcPr>
            <w:tcW w:type="dxa" w:w="241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w:t>
            </w:r>
          </w:p>
        </w:tc>
      </w:tr>
    </w:tbl>
    <w:p>
      <w:pPr>
        <w:spacing w:after="160" w:before="0"/>
      </w:pPr>
    </w:p>
    <w:p>
      <w:pPr>
        <w:pStyle w:val="Heading2"/>
      </w:pPr>
      <w:r>
        <w:t xml:space="preserve">B. Información no disponible</w:t>
      </w:r>
    </w:p>
    <w:p>
      <w:pPr>
        <w:spacing w:after="100"/>
      </w:pPr>
      <w:r>
        <w:t xml:space="preserve">Cuando un dato no aparece tras tres búsquedas distintas, el análisis lo deja fuera en lugar de estimarlo sin base. Las secciones de núcleo que faltan se avisan también en el resumen.</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7413"/>
        <w:gridCol w:w="2225"/>
      </w:tblGrid>
      <w:tr>
        <w:trPr>
          <w:cantSplit/>
          <w:tblHeader/>
        </w:trPr>
        <w:tc>
          <w:tcPr>
            <w:tcW w:type="dxa" w:w="741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Sección no incluida</w:t>
            </w:r>
          </w:p>
        </w:tc>
        <w:tc>
          <w:tcPr>
            <w:tcW w:type="dxa" w:w="222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Tipo</w:t>
            </w:r>
          </w:p>
        </w:tc>
      </w:tr>
      <w:tr>
        <w:trPr>
          <w:cantSplit/>
        </w:trPr>
        <w:tc>
          <w:tcPr>
            <w:tcW w:type="dxa" w:w="74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28. Sentimiento en foros y comentarios</w:t>
            </w:r>
          </w:p>
        </w:tc>
        <w:tc>
          <w:tcPr>
            <w:tcW w:type="dxa" w:w="22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Complemento</w:t>
            </w:r>
          </w:p>
        </w:tc>
      </w:tr>
    </w:tbl>
    <w:p>
      <w:pPr>
        <w:spacing w:after="16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550"/>
        <w:gridCol w:w="1994"/>
        <w:gridCol w:w="997"/>
        <w:gridCol w:w="3766"/>
        <w:gridCol w:w="1331"/>
      </w:tblGrid>
      <w:tr>
        <w:trPr>
          <w:cantSplit/>
          <w:tblHeader/>
        </w:trPr>
        <w:tc>
          <w:tcPr>
            <w:tcW w:type="dxa" w:w="155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Sección</w:t>
            </w:r>
          </w:p>
        </w:tc>
        <w:tc>
          <w:tcPr>
            <w:tcW w:type="dxa" w:w="199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Dato que falta</w:t>
            </w:r>
          </w:p>
        </w:tc>
        <w:tc>
          <w:tcPr>
            <w:tcW w:type="dxa" w:w="99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Tipo</w:t>
            </w:r>
          </w:p>
        </w:tc>
        <w:tc>
          <w:tcPr>
            <w:tcW w:type="dxa" w:w="376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Las tres búsquedas</w:t>
            </w:r>
          </w:p>
        </w:tc>
        <w:tc>
          <w:tcPr>
            <w:tcW w:type="dxa" w:w="133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Decisión</w:t>
            </w:r>
          </w:p>
        </w:tc>
      </w:tr>
      <w:tr>
        <w:trPr>
          <w:cantSplit/>
        </w:trPr>
        <w:tc>
          <w:tcPr>
            <w:tcW w:type="dxa" w:w="155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calidad</w:t>
            </w:r>
          </w:p>
        </w:tc>
        <w:tc>
          <w:tcPr>
            <w:tcW w:type="dxa" w:w="199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Historial de sobrecostes por contrato 2018-2026</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Complemento</w:t>
            </w:r>
          </w:p>
        </w:tc>
        <w:tc>
          <w:tcPr>
            <w:tcW w:type="dxa" w:w="37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1) notas de provisiones y contratos onerosos de las cuentas 2019, 2021, 2023, 2024 y 2025; 2) búsqueda de 'sobrecoste', 'pérdida', 'inflación', 'Reino Unido', 'Países Bajos' en informes de gestión y presentaciones; 3) segmentos y partidas no recurrentes de cada año</w:t>
            </w:r>
          </w:p>
        </w:tc>
        <w:tc>
          <w:tcPr>
            <w:tcW w:type="dxa" w:w="133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Omitido: CAF no publica pérdidas por contrato; en calidad.extra van los impactos agregados identificables</w:t>
            </w:r>
          </w:p>
        </w:tc>
      </w:tr>
      <w:tr>
        <w:trPr>
          <w:cantSplit/>
        </w:trPr>
        <w:tc>
          <w:tcPr>
            <w:tcW w:type="dxa" w:w="155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capital</w:t>
            </w:r>
          </w:p>
        </w:tc>
        <w:tc>
          <w:tcPr>
            <w:tcW w:type="dxa" w:w="199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Precio pagado por CAF Reichshoffen (2022)</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Complemento</w:t>
            </w:r>
          </w:p>
        </w:tc>
        <w:tc>
          <w:tcPr>
            <w:tcW w:type="dxa" w:w="37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1) nota 2.e de las cuentas 2023 (solo el ajuste del PPA y el fondo de comercio); 2) estado de flujos de 2022 (entrada neta de 33,8 M); 3) búsqueda de 'contraprestación' en las cuentas 2023</w:t>
            </w:r>
          </w:p>
        </w:tc>
        <w:tc>
          <w:tcPr>
            <w:tcW w:type="dxa" w:w="133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Omitido (estaría en las cuentas de 2022, no descargadas)</w:t>
            </w:r>
          </w:p>
        </w:tc>
      </w:tr>
      <w:tr>
        <w:trPr>
          <w:cantSplit/>
        </w:trPr>
        <w:tc>
          <w:tcPr>
            <w:tcW w:type="dxa" w:w="155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financieros</w:t>
            </w:r>
          </w:p>
        </w:tc>
        <w:tc>
          <w:tcPr>
            <w:tcW w:type="dxa" w:w="199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ltm.fcf</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Complemento</w:t>
            </w:r>
          </w:p>
        </w:tc>
        <w:tc>
          <w:tcPr>
            <w:tcW w:type="dxa" w:w="376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 estados de flujos semestrales 1S26 y 1S25; 2) nota de arrendamientos semestral (no da las salidas de caja del semestre); 3) presentación 1S26 (cash flow de CAF de 12 M, otra definición)</w:t>
            </w:r>
          </w:p>
        </w:tc>
        <w:tc>
          <w:tcPr>
            <w:tcW w:type="dxa" w:w="133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Omitido: los componentes van en financieros.extra.ltm</w:t>
            </w:r>
          </w:p>
        </w:tc>
      </w:tr>
      <w:tr>
        <w:trPr>
          <w:cantSplit/>
        </w:trPr>
        <w:tc>
          <w:tcPr>
            <w:tcW w:type="dxa" w:w="155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balance</w:t>
            </w:r>
          </w:p>
        </w:tc>
        <w:tc>
          <w:tcPr>
            <w:tcW w:type="dxa" w:w="199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vida_media_anios</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Complemento</w:t>
            </w:r>
          </w:p>
        </w:tc>
        <w:tc>
          <w:tcPr>
            <w:tcW w:type="dxa" w:w="376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 nota 15 de las cuentas 2025 (calendario sin vida media); 2) búsqueda de 'vida media'; 3) derivable del calendario de vencimientos (no se calcula)</w:t>
            </w:r>
          </w:p>
        </w:tc>
        <w:tc>
          <w:tcPr>
            <w:tcW w:type="dxa" w:w="133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Omitido</w:t>
            </w:r>
          </w:p>
        </w:tc>
      </w:tr>
      <w:tr>
        <w:trPr>
          <w:cantSplit/>
        </w:trPr>
        <w:tc>
          <w:tcPr>
            <w:tcW w:type="dxa" w:w="155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sector</w:t>
            </w:r>
          </w:p>
        </w:tc>
        <w:tc>
          <w:tcPr>
            <w:tcW w:type="dxa" w:w="199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cr5_pct (mercado ferroviario)</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Núcleo</w:t>
            </w:r>
          </w:p>
        </w:tc>
        <w:tc>
          <w:tcPr>
            <w:tcW w:type="dxa" w:w="376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 WRMS 2026 de UNIFE: solo hay resumen de prensa, sin cuotas por fabricante; 2) presentaciones de Alstom, Stadler y Siemens: no publican cuotas del mercado mundial; 3) derivarlo con las ventas de los competidores: falta CRRC (el mayor fabricante), cuyas cuentas no he leído; sin CRRC, Alstom + Siemens Mobility + Hitachi + Stadler + CAF suman ≈ 21 % del mercado de 220.600 M EUR (estimación propia)</w:t>
            </w:r>
          </w:p>
        </w:tc>
        <w:tc>
          <w:tcPr>
            <w:tcW w:type="dxa" w:w="133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Omitido</w:t>
            </w:r>
          </w:p>
        </w:tc>
      </w:tr>
      <w:tr>
        <w:trPr>
          <w:cantSplit/>
        </w:trPr>
        <w:tc>
          <w:tcPr>
            <w:tcW w:type="dxa" w:w="155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competencia</w:t>
            </w:r>
          </w:p>
        </w:tc>
        <w:tc>
          <w:tcPr>
            <w:tcW w:type="dxa" w:w="199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margen EBIT de Talgo 2025</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Complemento</w:t>
            </w:r>
          </w:p>
        </w:tc>
        <w:tc>
          <w:tcPr>
            <w:tcW w:type="dxa" w:w="376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 nota de resultados de Talgo de 2025: no descargada; 2) Bankinter: 403; 3) Onda Vasca: da ventas (618 M) y pérdida neta (100 M), pero no el EBIT</w:t>
            </w:r>
          </w:p>
        </w:tc>
        <w:tc>
          <w:tcPr>
            <w:tcW w:type="dxa" w:w="133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Omitido</w:t>
            </w:r>
          </w:p>
        </w:tc>
      </w:tr>
      <w:tr>
        <w:trPr>
          <w:cantSplit/>
        </w:trPr>
        <w:tc>
          <w:tcPr>
            <w:tcW w:type="dxa" w:w="155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competencia</w:t>
            </w:r>
          </w:p>
        </w:tc>
        <w:tc>
          <w:tcPr>
            <w:tcW w:type="dxa" w:w="199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Iveco Bus: ingresos y margen del segmento 2025</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Complemento</w:t>
            </w:r>
          </w:p>
        </w:tc>
        <w:tc>
          <w:tcPr>
            <w:tcW w:type="dxa" w:w="376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 nota de prensa de Iveco Group del 12-feb-2026: solo cifras consolidadas; 2) copia de GlobeNewswire: no desglosa el segmento Bus; 3) Sustainable Bus: solo entregas (+4 % en Europa)</w:t>
            </w:r>
          </w:p>
        </w:tc>
        <w:tc>
          <w:tcPr>
            <w:tcW w:type="dxa" w:w="133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Omitido</w:t>
            </w:r>
          </w:p>
        </w:tc>
      </w:tr>
      <w:tr>
        <w:trPr>
          <w:cantSplit/>
        </w:trPr>
        <w:tc>
          <w:tcPr>
            <w:tcW w:type="dxa" w:w="155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competencia</w:t>
            </w:r>
          </w:p>
        </w:tc>
        <w:tc>
          <w:tcPr>
            <w:tcW w:type="dxa" w:w="199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margen EBIT de Yutong 2025</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Complemento</w:t>
            </w:r>
          </w:p>
        </w:tc>
        <w:tc>
          <w:tcPr>
            <w:tcW w:type="dxa" w:w="376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 informe anual 2025 de Yutong (cninfo): no descargado; 2) resumen de Weekly on Stock: ventas y beneficio neto, no el resultado de explotación; 3) no derivable sin la cuenta completa</w:t>
            </w:r>
          </w:p>
        </w:tc>
        <w:tc>
          <w:tcPr>
            <w:tcW w:type="dxa" w:w="133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Omitido</w:t>
            </w:r>
          </w:p>
        </w:tc>
      </w:tr>
      <w:tr>
        <w:trPr>
          <w:cantSplit/>
        </w:trPr>
        <w:tc>
          <w:tcPr>
            <w:tcW w:type="dxa" w:w="155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sector</w:t>
            </w:r>
          </w:p>
        </w:tc>
        <w:tc>
          <w:tcPr>
            <w:tcW w:type="dxa" w:w="199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regulación: CEF, Net-Zero Industry Act y liberalización ferroviaria en España</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Complemento</w:t>
            </w:r>
          </w:p>
        </w:tc>
        <w:tc>
          <w:tcPr>
            <w:tcW w:type="dxa" w:w="376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 informe anual 2025 y 1S26 de CAF: no los mencionan; 2) Plan Estratégico 2026: no los cita; 3) no busqué fuentes externas por falta de tiempo</w:t>
            </w:r>
          </w:p>
        </w:tc>
        <w:tc>
          <w:tcPr>
            <w:tcW w:type="dxa" w:w="133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Omitido</w:t>
            </w:r>
          </w:p>
        </w:tc>
      </w:tr>
      <w:tr>
        <w:trPr>
          <w:cantSplit/>
        </w:trPr>
        <w:tc>
          <w:tcPr>
            <w:tcW w:type="dxa" w:w="155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historia</w:t>
            </w:r>
          </w:p>
        </w:tc>
        <w:tc>
          <w:tcPr>
            <w:tcW w:type="dxa" w:w="199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fecha de entrada de los empleados en el capital (Cartera Social) y de salida a bolsa</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Complemento</w:t>
            </w:r>
          </w:p>
        </w:tc>
        <w:tc>
          <w:tcPr>
            <w:tcW w:type="dxa" w:w="376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 cuentas de 2019: solo el porcentaje (24,87 %); 2) página de historia de cafmobility.com: 404; 3) Wikipedia: no da la fecha</w:t>
            </w:r>
          </w:p>
        </w:tc>
        <w:tc>
          <w:tcPr>
            <w:tcW w:type="dxa" w:w="133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Omitido</w:t>
            </w:r>
          </w:p>
        </w:tc>
      </w:tr>
      <w:tr>
        <w:trPr>
          <w:cantSplit/>
        </w:trPr>
        <w:tc>
          <w:tcPr>
            <w:tcW w:type="dxa" w:w="155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gobierno</w:t>
            </w:r>
          </w:p>
        </w:tc>
        <w:tc>
          <w:tcPr>
            <w:tcW w:type="dxa" w:w="199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insiders</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Complemento</w:t>
            </w:r>
          </w:p>
        </w:tc>
        <w:tc>
          <w:tcPr>
            <w:tcW w:type="dxa" w:w="376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 Registro de operaciones de directivos de la CNMV (Directivos.aspx, NIF A20001020): HTTP 403 con descargar.mjs; 2) MarketScreener, ficha de la empresa y del director financiero: sin tabla de operaciones legible; 3) derivarlo comparando las participaciones del consejo en los IAGC 2024 y 2025: solo Arrieta sube del 0,003 % al 0,009 % durante 2025, sin fecha ni importe (anotado en extra)</w:t>
            </w:r>
          </w:p>
        </w:tc>
        <w:tc>
          <w:tcPr>
            <w:tcW w:type="dxa" w:w="133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Omitido</w:t>
            </w:r>
          </w:p>
        </w:tc>
      </w:tr>
      <w:tr>
        <w:trPr>
          <w:cantSplit/>
        </w:trPr>
        <w:tc>
          <w:tcPr>
            <w:tcW w:type="dxa" w:w="155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directivos</w:t>
            </w:r>
          </w:p>
        </w:tc>
        <w:tc>
          <w:tcPr>
            <w:tcW w:type="dxa" w:w="199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historial_guidance 2021 y guía completa de 2022</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Complemento</w:t>
            </w:r>
          </w:p>
        </w:tc>
        <w:tc>
          <w:tcPr>
            <w:tcW w:type="dxa" w:w="376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 Web de inversores (presentaciones-inversores): solo cuelga las presentaciones anuales desde la de 2022; 2) presentación de resultados 2022: solo recoge la guía inicial de ventas de Solaris (+10 % o más); 3) Plan Estratégico 2026 (retrospectiva): no recoge la guía anual de 2021 ni de 2022</w:t>
            </w:r>
          </w:p>
        </w:tc>
        <w:tc>
          <w:tcPr>
            <w:tcW w:type="dxa" w:w="133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Omitido</w:t>
            </w:r>
          </w:p>
        </w:tc>
      </w:tr>
      <w:tr>
        <w:trPr>
          <w:cantSplit/>
        </w:trPr>
        <w:tc>
          <w:tcPr>
            <w:tcW w:type="dxa" w:w="155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directivos</w:t>
            </w:r>
          </w:p>
        </w:tc>
        <w:tc>
          <w:tcPr>
            <w:tcW w:type="dxa" w:w="199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participacion_pct de la alta dirección no consejera (Galarza, Iriarte, Stańda)</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Complemento</w:t>
            </w:r>
          </w:p>
        </w:tc>
        <w:tc>
          <w:tcPr>
            <w:tcW w:type="dxa" w:w="376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 IAGC 2025 (C.1.14 solo da nombres y remuneración agregada); 2) CNMV, registro de directivos (403); 3) MarketScreener (sin datos de participación)</w:t>
            </w:r>
          </w:p>
        </w:tc>
        <w:tc>
          <w:tcPr>
            <w:tcW w:type="dxa" w:w="133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Omitido</w:t>
            </w:r>
          </w:p>
        </w:tc>
      </w:tr>
      <w:tr>
        <w:trPr>
          <w:cantSplit/>
        </w:trPr>
        <w:tc>
          <w:tcPr>
            <w:tcW w:type="dxa" w:w="155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directivos</w:t>
            </w:r>
          </w:p>
        </w:tc>
        <w:tc>
          <w:tcPr>
            <w:tcW w:type="dxa" w:w="199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desde (Galarza, director financiero)</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Complemento</w:t>
            </w:r>
          </w:p>
        </w:tc>
        <w:tc>
          <w:tcPr>
            <w:tcW w:type="dxa" w:w="376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 IAGC 2021 y 2025 (figura en ambos, sin fecha de nombramiento); 2) búsqueda web y MarketScreener (sin fecha de inicio); 3) informe anual 2019 ya descargado (A_cnmv2019): no lo nombra</w:t>
            </w:r>
          </w:p>
        </w:tc>
        <w:tc>
          <w:tcPr>
            <w:tcW w:type="dxa" w:w="133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Calculado y marcado como estimación (2021: primer IAGC revisado en que figura)</w:t>
            </w:r>
          </w:p>
        </w:tc>
      </w:tr>
      <w:tr>
        <w:trPr>
          <w:cantSplit/>
        </w:trPr>
        <w:tc>
          <w:tcPr>
            <w:tcW w:type="dxa" w:w="155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consenso</w:t>
            </w:r>
          </w:p>
        </w:tc>
        <w:tc>
          <w:tcPr>
            <w:tcW w:type="dxa" w:w="199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revisiones (cambio de las estimaciones de BPA y EBITDA en 3 y 12 meses)</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Núcleo</w:t>
            </w:r>
          </w:p>
        </w:tc>
        <w:tc>
          <w:tcPr>
            <w:tcW w:type="dxa" w:w="376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 MarketScreener, página «consensus-revisions» de CAF: los gráficos se cargan con JavaScript y la descarga no trae los datos; 2) web de CAF «Cobertura y consenso»: solo publica el consenso del 1S26 (20-jul-2026), no la serie anual; 3) contraste de precios objetivo: la lista de CAF (20-jul) y MarketScreener (6-oct) muestran al menos una subida (máximo de 80,0 a 87,5 EUR), pero no la revisión de BPA/EBITDA</w:t>
            </w:r>
          </w:p>
        </w:tc>
        <w:tc>
          <w:tcPr>
            <w:tcW w:type="dxa" w:w="133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Omitido (solo hechos indirectos en consenso.extra: sorpresa del 1S26 y subida del precio objetivo máximo)</w:t>
            </w:r>
          </w:p>
        </w:tc>
      </w:tr>
      <w:tr>
        <w:trPr>
          <w:cantSplit/>
        </w:trPr>
        <w:tc>
          <w:tcPr>
            <w:tcW w:type="dxa" w:w="155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consenso</w:t>
            </w:r>
          </w:p>
        </w:tc>
        <w:tc>
          <w:tcPr>
            <w:tcW w:type="dxa" w:w="199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recomendaciones (desglose a la fecha de corte)</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Complemento</w:t>
            </w:r>
          </w:p>
        </w:tc>
        <w:tc>
          <w:tcPr>
            <w:tcW w:type="dxa" w:w="376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 MarketScreener: da 9 analistas, media 73,95 y rango 60,00-87,50, pero el desglose comprar/mantener/vender se dibuja con JavaScript; 2) web de CAF: desglose completo de 13 entidades, pero a 20-jul-2026; 3) Investing/Stock Analysis no consultados por presupuesto</w:t>
            </w:r>
          </w:p>
        </w:tc>
        <w:tc>
          <w:tcPr>
            <w:tcW w:type="dxa" w:w="133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Se usa la lista de CAF del 20-jul-2026 (13 analistas) y MarketScreener como contraste en consenso.extra</w:t>
            </w:r>
          </w:p>
        </w:tc>
      </w:tr>
      <w:tr>
        <w:trPr>
          <w:cantSplit/>
        </w:trPr>
        <w:tc>
          <w:tcPr>
            <w:tcW w:type="dxa" w:w="155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bolsa</w:t>
            </w:r>
          </w:p>
        </w:tc>
        <w:tc>
          <w:tcPr>
            <w:tcW w:type="dxa" w:w="199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posicion_corta_pct</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Complemento</w:t>
            </w:r>
          </w:p>
        </w:tc>
        <w:tc>
          <w:tcPr>
            <w:tcW w:type="dxa" w:w="376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 CNMV, notificaciones de posiciones cortas de CAF (ES0121975009): la página no muestra ninguna posición publicada (≥ 0,5 %); 2) búsqueda de un listado consolidado de posiciones cortas de la CNMV: no aparece un fichero descargable; 3) Stock Analysis (estadísticas de CAF): no da posición corta para valores españoles</w:t>
            </w:r>
          </w:p>
        </w:tc>
        <w:tc>
          <w:tcPr>
            <w:tcW w:type="dxa" w:w="133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Omitido (ninguna posición ≥ 0,5 % publicada; dicho en bolsa.extra)</w:t>
            </w:r>
          </w:p>
        </w:tc>
      </w:tr>
      <w:tr>
        <w:trPr>
          <w:cantSplit/>
        </w:trPr>
        <w:tc>
          <w:tcPr>
            <w:tcW w:type="dxa" w:w="155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multiplos_historicos</w:t>
            </w:r>
          </w:p>
        </w:tc>
        <w:tc>
          <w:tcPr>
            <w:tcW w:type="dxa" w:w="199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ev_ebitda_ntm y per_ntm por año</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Complemento</w:t>
            </w:r>
          </w:p>
        </w:tc>
        <w:tc>
          <w:tcPr>
            <w:tcW w:type="dxa" w:w="376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 MarketScreener (valoración de CAF): da múltiplos del mismo ejercicio, no de los 12 meses siguientes; 2) web de CAF: publica «cotización media/EBITDA ajustado» y PER sobre cotización media del año, tampoco NTM; 3) Yahoo/Investing: sin series históricas gratuitas de múltiplos a futuro</w:t>
            </w:r>
          </w:p>
        </w:tc>
        <w:tc>
          <w:tcPr>
            <w:tcW w:type="dxa" w:w="133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Omitido (el motor calcula los LTM con los precios de cierre; los del proveedor van en multiplos_historicos.extra)</w:t>
            </w:r>
          </w:p>
        </w:tc>
      </w:tr>
      <w:tr>
        <w:trPr>
          <w:cantSplit/>
        </w:trPr>
        <w:tc>
          <w:tcPr>
            <w:tcW w:type="dxa" w:w="155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transacciones</w:t>
            </w:r>
          </w:p>
        </w:tc>
        <w:tc>
          <w:tcPr>
            <w:tcW w:type="dxa" w:w="199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múltiplos de Alstom-Bombardier Transportation, Knorr-Bremse-Alstom Signaling NA y Tata-Iveco (prima)</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Complemento</w:t>
            </w:r>
          </w:p>
        </w:tc>
        <w:tc>
          <w:tcPr>
            <w:tcW w:type="dxa" w:w="376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 notas de prensa de Alstom y Hitachi en sus webs: 404 en las URL probadas; 2) Railway Gazette y Railway Age: 503 y 403; Knorr-Bremse (EQS): página sin texto; 3) prensa secundaria (Cleary Gottlieb, Trains, De Brauw): dan el precio pero no las ventas ni el EBITDA del objetivo ni la prima de Tata</w:t>
            </w:r>
          </w:p>
        </w:tc>
        <w:tc>
          <w:tcPr>
            <w:tcW w:type="dxa" w:w="133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Omitido (múltiplos a null; precio y fuente en el comentario de cada operación)</w:t>
            </w:r>
          </w:p>
        </w:tc>
      </w:tr>
      <w:tr>
        <w:trPr>
          <w:cantSplit/>
        </w:trPr>
        <w:tc>
          <w:tcPr>
            <w:tcW w:type="dxa" w:w="155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comparables</w:t>
            </w:r>
          </w:p>
        </w:tc>
        <w:tc>
          <w:tcPr>
            <w:tcW w:type="dxa" w:w="199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LTM a 30-jun-2026 de los comparables</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Complemento</w:t>
            </w:r>
          </w:p>
        </w:tc>
        <w:tc>
          <w:tcPr>
            <w:tcW w:type="dxa" w:w="376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 MarketScreener, tablas semestrales: el texto descargado solo trae la anual y la trimestral, con el EBITDA trimestral vacío en la mayoría; 2) Stock Analysis: da EV y ROIC de 12 meses pero no el EBITDA del mismo proveedor que el NTM; 3) informes semestrales de cada comparable: fuera de presupuesto</w:t>
            </w:r>
          </w:p>
        </w:tc>
        <w:tc>
          <w:tcPr>
            <w:tcW w:type="dxa" w:w="133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Calculado y marcado como estimación: LTM = último ejercicio cerrado (2025; Alstom a mar-2026), igual para todos</w:t>
            </w:r>
          </w:p>
        </w:tc>
      </w:tr>
      <w:tr>
        <w:trPr>
          <w:cantSplit/>
        </w:trPr>
        <w:tc>
          <w:tcPr>
            <w:tcW w:type="dxa" w:w="155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trimestres</w:t>
            </w:r>
          </w:p>
        </w:tc>
        <w:tc>
          <w:tcPr>
            <w:tcW w:type="dxa" w:w="199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vs_consenso (1S24, 2S24 y 1S25)</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Complemento</w:t>
            </w:r>
          </w:p>
        </w:tc>
        <w:tc>
          <w:tcPr>
            <w:tcW w:type="dxa" w:w="376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 web de CAF «Cobertura y consenso de analistas»: solo publica la versión vigente (consenso del 1S26); 2) MarketScreener: el historial de sorpresas se dibuja con JavaScript; 3) notas de Renta 4: solo se localizaron la de resultados de 2025 (EBIT un 2 % por debajo del consenso) y la previa del 1S26</w:t>
            </w:r>
          </w:p>
        </w:tc>
        <w:tc>
          <w:tcPr>
            <w:tcW w:type="dxa" w:w="133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Omitido (2S25 «En línea» y 1S26 «Superior» sí constan)</w:t>
            </w:r>
          </w:p>
        </w:tc>
      </w:tr>
    </w:tbl>
    <w:p>
      <w:pPr>
        <w:spacing w:after="160" w:before="0"/>
      </w:pPr>
    </w:p>
    <w:p>
      <w:pPr>
        <w:pStyle w:val="Heading1"/>
      </w:pPr>
      <w:r>
        <w:t xml:space="preserve">Fuentes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63"/>
        <w:gridCol w:w="3336"/>
        <w:gridCol w:w="1390"/>
        <w:gridCol w:w="926"/>
        <w:gridCol w:w="926"/>
        <w:gridCol w:w="2597"/>
      </w:tblGrid>
      <w:tr>
        <w:trPr>
          <w:cantSplit/>
          <w:tblHeader/>
        </w:trPr>
        <w:tc>
          <w:tcPr>
            <w:tcW w:type="dxa" w:w="46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Ref.</w:t>
            </w:r>
          </w:p>
        </w:tc>
        <w:tc>
          <w:tcPr>
            <w:tcW w:type="dxa" w:w="333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Documento</w:t>
            </w:r>
          </w:p>
        </w:tc>
        <w:tc>
          <w:tcPr>
            <w:tcW w:type="dxa" w:w="139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Editor</w:t>
            </w:r>
          </w:p>
        </w:tc>
        <w:tc>
          <w:tcPr>
            <w:tcW w:type="dxa" w:w="92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Tipo</w:t>
            </w:r>
          </w:p>
        </w:tc>
        <w:tc>
          <w:tcPr>
            <w:tcW w:type="dxa" w:w="92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Fecha</w:t>
            </w:r>
          </w:p>
        </w:tc>
        <w:tc>
          <w:tcPr>
            <w:tcW w:type="dxa" w:w="259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Enlace</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1</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Informe anual consolidado 2025 (informe de gestión, IAGC, IARC y cuentas anuales consolidadas 2025 con 2024 comparativo)</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CAF</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feb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https://admin.cafmobility.com/uploads/Informe_de_gestion_memoria_consolidada_2025_eecff279c2.pdf</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2</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Cuentas anuales consolidadas e informe de gestión 2024 (con 2023 comparativo)</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CAF</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feb 2025</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https://admin.cafmobility.com/uploads/CCAA_Consolidadas_2024_6e4e69fc31.pdf</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3</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Informe anual del ejercicio 2023 del Grupo CAF consolidado (con 2022 comparativo)</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CAF</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feb 2024</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https://admin.cafmobility.com/uploads/Informe_anual_del_ejercicio_2023_del_Grupo_CAF_consolidado_ES_fe904fcad9.pdf</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4</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Informe anual del ejercicio 2021 del Grupo CAF consolidado (con 2020 comparativo)</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CAF</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feb 2022</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https://admin.cafmobility.com/uploads/Informe_anual_del_ejercicio_2021_del_Grupo_CAF_consolidado_ES_383ba78a17.pdf</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5</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Informe anual 2019 (sociedad matriz y cuentas anuales consolidadas 2019 con 2018 comparativo), remitido a la CNMV</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CAF / CNMV</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feb 2020</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https://www.cnmv.es</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6</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Informe de gestión y estados financieros semestrales resumidos consolidados 1S26</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CAF</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30 jul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https://admin.cafmobility.com/uploads/Memoria_semestral_consolidada_2026_CNMV_d2ed25850c.pdf</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7</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Información financiera intermedia 1er semestre 2026 (formato CNMV)</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CAF / CNMV</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30 jul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https://admin.cafmobility.com/uploads/Informe_1er_semestre_2026_info_financiera_intermedia_9e65f984c7.pdf</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8</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Presentación de resultados 1S26</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CAF</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30 jul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https://admin.cafmobility.com/uploads/Presentacion_de_Resultados_1_S_2026_012ba86755.pdf</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9</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Presentación de resultados 1T26</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CAF</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may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https://admin.cafmobility.com/uploads/Presentacion_de_Resultados_1_T_2026_9993fe0b2d.pdf</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10</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Presentación de resultados FY2025</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CAF</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feb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https://admin.cafmobility.com/uploads/Presentacion_de_Resultados_FY_2025_e0bccdc8b6.pdf</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11</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Presentación de resultados 1S25</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CAF</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jul 2025</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https://admin.cafmobility.com/uploads/Presentacion_de_Resultados_1_S_2025_9419686bc9.pdf</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12</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Presentación de resultados 1S24</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CAF</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jul 2024</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https://www.cafmobility.com/accionistas-inversores/</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13</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Informe de gestión y estados financieros semestrales 2024 (1S24)</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CAF</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jul 2024</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https://admin.cafmobility.com/uploads/Informe_de_Gestion_y_Estados_Financieros_semestral_2024_ES_921348d62b.pdf</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14</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Presentación de resultados 1S 2026</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CAF</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30 jul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https://www.cafmobility.com/accionistas-inversores/informacion-economico-financiera/presentaciones-inversores/</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15</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Plan Estratégico 2026 (presentación a inversores)</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CAF</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dic 2022</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https://admin.cafmobility.com/uploads/Plan_Estrategico_2026_c13c54f857.pdf</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16</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Cuentas anuales e informe de gestión consolidados 2019</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CAF (depositadas en la CNMV)</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feb 2020</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https://www.cnmv.es/portal/Consultas/EE/InformacionFinanciera.aspx?nif=A20001020</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17</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Cuentas anuales consolidadas 2023 (nota sobre los activos de CAF Reichshoffen comprados a Alstom)</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CAF</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feb 2024</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https://www.cafmobility.com/accionistas-inversores/informacion-economico-financiera/informe-auditoria-cuentas-anuales-auditadas-informe-gestion-memoria-anual/</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18</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Alstom's Fiscal Year 2025/26 Results (nota de prensa)</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Alstom</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13 may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https://www.alstom.com/press-releases-news</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19</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Earnings Release Q4 FY 2025</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Siemens AG</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13 nov 2025</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https://www.siemens.com/global/en/company/investor-relations.html</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20</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Annual Report 2025</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Stadler Rail AG</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mar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https://www.stadlerrail.com/en/investor-relations/</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21</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Hitachi Announces Consolidated Financial Results for Fiscal 2025</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Hitachi, Ltd.</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27 abr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https://www.hitachi.com/IR-e/</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22</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Investor Relations Release: resultados del ejercicio 2025</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Daimler Truck Holding AG</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12 mar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https://www.daimlertruck.com/en/investors</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23</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Volvo Group – Report on the fourth quarter and full year 2025</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AB Volvo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ene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https://www.volvogroup.com/en/investors.html</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24</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World rail market grows. European suppliers get less of it (World Rail Market Study 2026 de UNIFE)</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The Rail Agenda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Sectorial</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22 sep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https://www.therailagenda.com/p/world-rail-market-grows-european</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25</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Global rail supply market sees steady growth amid geopolitical challenges (World Rail Market Study 2024 de UNIFE)</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Global Railway Review</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Sectorial</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26 sep 2024</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https://www.globalrailwayreview.com/global-rail-supply-market-sees-steady-growth-amid-geopolitical-challenges/328630.article</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26</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European electric bus market grew nearly 50% to 11,607 units in 2025 (datos de DVV Media Group)</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Sustainable Bus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Sectorial</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6 mar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https://www.sustainable-bus.com/news/electric-bus-market-europe-2025</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27</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Solaris summarises 2025: sales growth, strong position in e-mobility and expansion into new markets</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Solaris Bus &amp; Coach</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13 mar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https://www.solarisbus.com/en/press/solaris-summarises-2025-sales-growth-strong-position-in-e-mobility-and-expansion-into-new-markets-2410</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28</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New commercial vehicle registrations: vans -8.8%, trucks -6.2%, buses +7.5% in 2025</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ACEA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Sectorial</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29 ene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https://www.acea.auto/cv-registrations/new-commercial-vehicle-registrations-vans-8-8-trucks-6-2-buses-7-5-in-2025/</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29</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Talgo perdió 100 millones en 2025, un 6,7 % menos que el año anterior</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Onda Vasca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Prensa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27 feb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https://www.ondavasca.com/talgo-perdio-100-millones-en-2025-un-67-menos-que-el-ano-anterior/</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30</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宇通客车 2025 年年度报告 (resumen de las cifras clave del informe anual de Yutong)</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Weekly on Stock</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Prensa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30 mar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https://static.weeklyonstock.com/26/0331/zbf090433.html</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31</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Commission launches first investigation under Foreign Subsidies Regulation</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Comisión Europea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20 feb 2024</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https://public-buyers-community.ec.europa.eu/news/commission-launches-first-investigation-under-foreign-subsidies-regulation</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32</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Clean Vehicles Directive (Directiva 2019/1161): objetivos por Estado miembro</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Comisión Europea (DG MOVE)</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https://transport.ec.europa.eu/transport-themes/clean-transport/clean-and-energy-efficient-vehicles/clean-vehicles-directive_en</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33</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Construcciones y Auxiliar de Ferrocarriles (historia)</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Wikipedia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Prensa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https://es.wikipedia.org/wiki/Construcciones_y_Auxiliar_de_Ferrocarriles</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34</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Tipos de cambio de referencia del euro, 6-oct-2026 (CHF, JPY, SEK, CNY, USD)</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Banco Central Europeo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6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https://data-api.ecb.europa.eu/service/data/EXR/D.CHF+JPY+SEK+USD+CNY.EUR.SP00.A</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35</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Acuerdos adoptados por la Junta General Ordinaria de 15-jun-2024 (con resultado de las votaciones)</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CAF</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15 jun 2024</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https://admin.cafmobility.com/uploads/1_Acuerdos_adoptados_de_la_Junta_General_Ordinaria_2024_42fc331e56.pdf</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36</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Acuerdos adoptados por la Junta General Ordinaria de 14-jun-2025 (con resultado de las votaciones)</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CAF</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14 jun 2025</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https://admin.cafmobility.com/uploads/Acuerdos_adoptados_JGO_2025_7081ddba1c.pdf</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37</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Acuerdos adoptados por la Junta General Ordinaria de 13-jun-2026 (con resultado de las votaciones)</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CAF</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13 jun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https://admin.cafmobility.com/uploads/Acuerdos_adoptados_JGO_2026_Web_vf_CAST_f05cb98483.pdf</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38</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Propuesta motivada del Consejo sobre la Política de Remuneraciones de los Consejeros 2027-2029 (junta de 2026)</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CAF</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may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https://admin.cafmobility.com/uploads/Propuesta_motivada_del_Consejo_de_Administracion_relativa_a_la_Politica_de_Remuneraciones_de_los_Consejeros_aplicable_a_los_ejer_b2a90fb318.pdf</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39</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Presentación de resultados anuales 2022</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CAF</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24 feb 2023</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https://admin.cafmobility.com/uploads/Resultados_2022_1_8a84647a80.pdf</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40</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Presentación de resultados anuales 2023</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CAF</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27 feb 2024</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https://admin.cafmobility.com/uploads/Resultados_anuales_2023_1_f3f6118321.pdf</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41</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Presentación de resultados anuales 2024</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CAF</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26 feb 2025</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https://admin.cafmobility.com/uploads/Resultados_2024_e57f02c4b1.pdf</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42</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Javier Iriarte new CEO of Solaris Bus &amp; Coach (nota de prensa)</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Solaris Bus &amp; Coach</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 ene 2023</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https://solarisbus.com/en/press/javier-iriarte-new-ceo-of-solaris-bus-coach-1894</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43</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Agata Stańda nombrada consejera delegada de Solaris</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electrive</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Prensa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4 jul 2025</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https://www.electrive.com/es/2025/07/04/agata-standa-nombrada-consejera-delegada-de-solaris/</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44</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Cuentas anuales consolidadas e informe de gestión 2021 (incluye IAGC 2021)</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CAF</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feb 2022</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https://admin.cafmobility.com/uploads/Cuentas_Anuales_consolidadas_del_ejercicio_2021_210c8d5176.pdf</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45</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Históricos diarios de cotización CAF.MC, ^IBEX y EXH4.DE</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Yahoo Finance</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6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https://finance.yahoo.com/quote/CAF.MC/history</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46</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Consenso de analistas de CAF: recomendación media, número de analistas y precios objetivo</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MarketScreener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6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https://www.marketscreener.com/quote/stock/CONSTRUCCIONES-Y-AUXILIAR-32078325/consensus/</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47</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CAF: estimaciones 2026-2028 (cuenta, deuda neta, flujos, por acción) y ratios de valoración</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MarketScreener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6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https://www.marketscreener.com/quote/stock/CONSTRUCCIONES-Y-AUXILIAR-32078325/valuation/</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48</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Cobertura y consenso de analistas (13 entidades; consenso 1S26 de 11 analistas)</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CAF</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20 jul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https://www.cafmobility.com/accionistas-inversores/informacion-general/cobertura-consenso-analistas/</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49</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Spain 10-Year Bond Yield Historical Data</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Investing.com</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6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https://www.investing.com/rates-bonds/spain-10-year-bond-yield-historical-data</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50</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Spain 10Y Bond Yield</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Trading Economics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7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https://tradingeconomics.com/spain/government-bond-yield</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51</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Tipos de cambio de referencia del euro, 6-oct-2026 (eurofxref-hist)</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Banco Central Europeo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6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https://www.ecb.europa.eu/stats/eurofxref/eurofxref-hist.zip</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52</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Alstom: cuenta, deuda neta, flujos y estimaciones; ratios de valoración</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MarketScreener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6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https://www.marketscreener.com/quote/stock/ALSTOM-4607/valuation/</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53</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Stadler Rail: cuenta, deuda neta, flujos y estimaciones; ratios de valoración</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MarketScreener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6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https://www.marketscreener.com/quote/stock/STADLER-RAIL-AG-57143111/valuation/</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54</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Talgo: cuenta, deuda neta, flujos y estimaciones; ratios de valoración</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MarketScreener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6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https://www.marketscreener.com/quote/stock/TALGO-S-A-22148977/valuation/</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55</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Knorr-Bremse: cuenta, deuda neta, flujos y estimaciones; ratios de valoración</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MarketScreener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6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https://www.marketscreener.com/quote/stock/KNORR-BREMSE-AG-46576463/valuation/</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56</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Wabtec: cuenta, deuda neta, flujos y estimaciones; ratios de valoración</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MarketScreener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6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https://www.marketscreener.com/quote/stock/WESTINGHOUSE-AIR-BRAKE-TE-14842/valuation/</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57</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Daimler Truck: cuenta, deuda neta, flujos y estimaciones; ratios de valoración</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MarketScreener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6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https://www.marketscreener.com/quote/stock/DAIMLER-TRUCK-HOLDING-AG-130552528/valuation/</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58</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Volvo: cuenta, deuda neta, flujos y estimaciones; ratios de valoración</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MarketScreener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6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https://www.marketscreener.com/quote/stock/VOLVO-30049521/valuation/</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59</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Estadísticas de Alstom, Stadler, Talgo, Knorr-Bremse, Wabtec, Daimler Truck, Volvo y CAF (rentabilidad sobre el capital invertido, ROIC)</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Stock Analysis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6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https://stockanalysis.com/quote/etr/KBX/statistics/</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60</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Notificaciones de posiciones cortas: Construcciones y Auxiliar de Ferrocarriles, S.A.</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CNMV</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7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https://www.cnmv.es/portal/Consultas/EE/PosicionesCortas?nif=A20001020</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61</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Alstom Completes €4.4 Billion Acquisition of Bombardier Transportation (nota del despacho asesor de Alstom)</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Cleary Gottlieb</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Prensa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ene 2021</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https://www.clearygottlieb.com/news-and-insights/news-listing/alstom-completes-4-4-billion-acquisition-of-bombardier-transportation</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62</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Hitachi Rail enters into agreement to acquire Thales Ground Transportation Systems business (nota de prensa)</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Hitachi</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4 ago 2021</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https://www.hitachi.com/New/cnews/month/2021/08/210804.pdf</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63</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Alstom completes sale of North American signal business to Knorr-Bremse</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Trains News Wire</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Prensa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3 sep 2024</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https://www.trains.com/trn/news-reviews/news-wire/alstom-completes-sale-of-north-american-signal-business-to-knorr-bremse/</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64</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Wabtec to Acquire Evident's Inspection Technologies Division (nota de prensa)</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Wabtec</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14 ene 2025</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https://www.wabteccorp.com/newsroom/press-releases/wabtec-to-acquire-evident-s-inspection-technologies-division</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65</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Wabtec to Acquire Dellner Couplers (nota de prensa)</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Wabtec</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18 mar 2025</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https://www.wabteccorp.com/newsroom/press-releases/wabtec-to-acquire-dellner-couplers</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66</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De Brauw advises Iveco Group on the recommended public offer by Tata Motors and the concurrent sale of its defence business, together valued at EUR 5.5bn</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De Brauw Blackstone Westbroek</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Prensa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31 jul 2025</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https://www.debrauw.com/matters/de-brauw-advises-iveco-group-on-the-recommended-public-offer-by-tata-motors-and-the-concurrent-sale-of-its-defence-business-together-valued-at-eur-5-5bn</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67</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Sidenor, Gobierno vasco, BBK y Vital cierran la compra del 29,7 % de Talgo por 156 millones de euros</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elDiario.es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Prensa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7 nov 2025</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https://www.eldiario.es/euskadi/sidenor-gobierno-vasco-bbk-vital-cierran-compra-30-talgo-156-millones-euros_1_12749561.amp.html</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68</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Iveco Group: cotización, capitalización y estimaciones (ratios de valoración)</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MarketScreener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6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https://www.marketscreener.com/quote/stock/IVECO-GROUP-N-V-131301260/valuation/</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69</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CAF wins Belgium’s SNCB AM30 train fleet (preferred bidder; calendario del prototipo y de la entrada en servicio)</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Railway Technology</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Prensa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10 mar 2025</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https://www.railway-technology.com/news/caf-belgiums-sncb-am30-train-fleet/</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70</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Rating (la sociedad no ha solicitado calificación crediticia)</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CAF</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https://www.cafmobility.com/accionistas-inversores/informacion-economico-financiera/rating/</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71</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CAF: 2025 en línea en términos generales (resultados frente a estimaciones y consenso)</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Renta 4 Banco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Analistas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27 feb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https://www.r4.com/articulos-y-analisis/valores/caf-2025-en-linea-en-terminos-generales</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72</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CAF: previo 1S26, solidez operativa (estimaciones de Renta 4 y del consenso)</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Renta 4 Banco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Analistas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21 jul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https://www.r4.com/articulos-y-analisis/valores/caf-previo-1s26-solidez-operativa</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73</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Implied Equity Risk Premiums by month (ERPbymonth.xlsx): prima implícita del S&amp;P 500, octubre de 2026</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Aswath Damodaran (NYU Stern)</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https://pages.stern.nyu.edu/~adamodar/pc/implprem/ERPbymonth.xlsx</w:t>
            </w:r>
          </w:p>
        </w:tc>
      </w:tr>
    </w:tbl>
    <w:p>
      <w:pPr>
        <w:spacing w:after="200" w:before="0"/>
      </w:pPr>
    </w:p>
    <w:p>
      <w:pPr>
        <w:pStyle w:val="Heading2"/>
      </w:pPr>
      <w:r>
        <w:t xml:space="preserve">Control de calidad del informe</w:t>
      </w:r>
    </w:p>
    <w:p>
      <w:pPr>
        <w:pStyle w:val="Nota"/>
        <w:spacing w:after="100"/>
      </w:pPr>
      <w:r>
        <w:t xml:space="preserve">Campos con dato: </w:t>
      </w:r>
      <w:r>
        <w:rPr>
          <w:b/>
          <w:bCs/>
        </w:rPr>
        <w:t xml:space="preserve">87,5 %</w:t>
      </w:r>
      <w:r>
        <w:t xml:space="preserve"> · Secciones con menos del 60 % de campos cubiertos: </w:t>
      </w:r>
      <w:r>
        <w:rPr>
          <w:b/>
          <w:bCs/>
        </w:rPr>
        <w:t xml:space="preserve">sentimiento</w:t>
      </w:r>
      <w:r>
        <w:t xml:space="preserve"> · Generado el 14 oct 2026.</w:t>
      </w:r>
    </w:p>
    <w:p>
      <w:pPr>
        <w:pStyle w:val="Nota"/>
        <w:spacing w:after="100"/>
      </w:pPr>
      <w:r>
        <w:t xml:space="preserve">Una sola línea cotizada (Bolsas de Madrid y Bilbao, mercado continuo; CAF.MC en Yahoo) y cuentas en EUR, NIIF-UE, ejercicio natural [1]. La cuenta va por naturaleza: el «coste de ventas» son aprovisionamientos ± variación de existencias, y el EBITDA es el que publica CAF (EBIT + amortización − deterioro y resultado por enajenación del inmovilizado), que difiere de EBIT + amortización en hasta 10,6 M según el año [1, 2, 3, 4, 5]. La serie empieza en 2018: Solaris entra en septiembre de 2018 (cuatro meses en la cuenta), EuroMaint en julio de 2019 y CAF Reichshoffen en agosto de 2022, así que el crecimiento de 2018-2023 no es orgánico [3, 5]. El circulante del motor (existencias + clientes con activos por contrato − proveedores con pasivos por contrato) no es la «inversión en circulante» de CAF, que además resta provisiones y otros pasivos: 405 M frente a ≈ 87 M en 2025 [1]. El precio es el cierre del 6-oct-2026 (78,30 EUR) [45]. Los comparables extranjeros se pasan a EUR al tipo del BCE del 6-oct-2026 [51]. No se han leído transcripciones de las conferencias (CAF no las publica) ni el informe de auditoría de 2025 [1]. El análisis se interrumpió el 6-oct por la noche y se retomó el 7-oct con la misma fecha de corte; nada posterior al 6-oct entra en las cifras.</w:t>
      </w:r>
    </w:p>
    <w:p>
      <w:pPr>
        <w:pStyle w:val="Nota"/>
        <w:spacing w:after="100"/>
      </w:pPr>
      <w:r>
        <w:t xml:space="preserve">Este documento es un análisis elaborado de forma automatizada a partir de fuentes públicas. No constituye una recomendación personalizada de inversión ni una oferta de compra o venta. Las cifras marcadas como estimación y los escenarios son hipótesis de trabajo y deben verificarse antes de tomar cualquier decisión.</w:t>
      </w:r>
    </w:p>
    <w:sectPr>
      <w:headerReference w:type="default" r:id="rId6"/>
      <w:headerReference w:type="first" r:id="rId7"/>
      <w:footerReference w:type="default" r:id="rId8"/>
      <w:footerReference w:type="first" r:id="rId9"/>
      <w:pgSz w:w="11906" w:h="16838" w:orient="portrait"/>
      <w:pgMar w:top="1134" w:right="1134" w:bottom="1134" w:left="1134" w:header="567" w:footer="567" w:gutter="0"/>
      <w:pgNumType/>
      <w:titlePg/>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tabs>
        <w:tab w:val="right" w:pos="9638"/>
      </w:tabs>
    </w:pPr>
    <w:r>
      <w:rPr>
        <w:color w:val="8A8984"/>
        <w:sz w:val="15"/>
        <w:szCs w:val="15"/>
      </w:rPr>
      <w:t xml:space="preserve">Datos a 6 oct 2026 · No constituye recomendación de inversión</w:t>
    </w:r>
    <w:r>
      <w:rPr>
        <w:color w:val="8A8984"/>
        <w:sz w:val="15"/>
        <w:szCs w:val="15"/>
      </w:rPr>
      <w:t xml:space="preserve">	</w:t>
      <w:fldChar w:fldCharType="begin"/>
      <w:instrText xml:space="preserve">PAGE</w:instrText>
      <w:fldChar w:fldCharType="separate"/>
      <w:fldChar w:fldCharType="end"/>
      <w:t xml:space="preserve"> / </w:t>
      <w:fldChar w:fldCharType="begin"/>
      <w:instrText xml:space="preserve">NUMPAGES</w:instrText>
      <w:fldChar w:fldCharType="separate"/>
      <w:fldChar w:fldCharType="end"/>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r>
      <w:rPr>
        <w:color w:val="8A8984"/>
        <w:sz w:val="15"/>
        <w:szCs w:val="15"/>
      </w:rPr>
      <w:t xml:space="preserve">No constituye recomendación de inversión.</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tabs>
        <w:tab w:val="right" w:pos="9638"/>
      </w:tabs>
    </w:pPr>
    <w:r>
      <w:rPr>
        <w:color w:val="8A8984"/>
        <w:sz w:val="16"/>
        <w:szCs w:val="16"/>
      </w:rPr>
      <w:t xml:space="preserve">Construcciones y Auxiliar de Ferrocarriles, S.A. (CAF)</w:t>
    </w:r>
    <w:r>
      <w:rPr>
        <w:color w:val="8A8984"/>
        <w:sz w:val="16"/>
        <w:szCs w:val="16"/>
      </w:rPr>
      <w:t xml:space="preserve">	Análisis de empresa cotizada</w:t>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abstractNum w:abstractNumId="2" w15:restartNumberingAfterBreak="0">
    <w:multiLevelType w:val="hybridMultilevel"/>
    <w:lvl w:ilvl="0" w:tentative="1">
      <w:start w:val="1"/>
      <w:numFmt w:val="bullet"/>
      <w:lvlText w:val="•"/>
      <w:lvlJc w:val="left"/>
      <w:pPr>
        <w:ind w:left="360" w:hanging="240"/>
      </w:pPr>
      <w:rPr>
        <w:color w:val="2A78D6"/>
      </w:r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docVars>
    <w:docVar w:name="graficos" w:val="eyJzaW50ZXNpcyI6eyJ0aXBvIjoicmFuZ28iLCJ0aXR1bG8iOiJWYWxvciBwb3IgYWNjacOzbiBzZWfDum4gY2FkYSBtw6l0b2RvICh7e21ldGEuZGl2aXNhfX0pIMK3IHByZWNpbyBhY3R1YWwge3tpZGVudGlmaWNhY2lvbi5wcmVjaW98Mn19IiwiZGF0b3MiOiJjYWxjLnNpbnRlc2lzLnJhbmdvcyIsImNhdGVnb3JpYSI6ImV0aXF1ZXRhIiwiY2FtcG9fbWluIjoibWluIiwiY2FtcG9fbWF4IjoibWF4IiwiZ3JpcyI6ImdyaXMiLCJmb3JtYXRvIjoie3tjYWxjLnNpbnRlc2lzLmZvcm1hdG9fZWplfX0iLCJhbHRvX2NtIjo4fSwic2VnbWVudG9zX2hpc3QiOnsidGlwbyI6ImNvbHVtbmFzX2FwaWxhZGFzIiwidGl0dWxvIjoiSW5ncmVzb3MgcG9yIHNlZ21lbnRvICh7e21ldGEuZGl2aXNhfX0sIG1pbGxvbmVzKSIsInBpdm90Ijp7Imxpc3RhIjoibmVnb2Npby5zZWdtZW50b3MiLCJub21icmUiOiJub21icmUiLCJoaXN0b3JpY28iOiJoaXN0b3JpY28iLCJwZXJpb2RvIjoicGVyaW9kbyIsInZhbG9yIjoiaW5ncmVzb3MifSwiZm9ybWF0byI6IiMsIyMwIiwiYWx0b19jbSI6Ny41fSwic2VnbWVudG9zX21peCI6eyJ0aXBvIjoiZG9udXQiLCJ0aXR1bG8iOiJQZXNvIGRlIGNhZGEgc2VnbWVudG8gZW4gbG9zIGluZ3Jlc29zICh7e2NhbGMuc2VnbWVudG9zX3BlcmlvZG99fSkiLCJkYXRvcyI6ImNhbGMuc2VnbWVudG9zX3VsdGltbyIsImNhdGVnb3JpYSI6Im5vbWJyZSIsInNlcmllcyI6W3siY2FtcG8iOiJwZXNvX3BjdCIsIm5vbWJyZSI6IiUgZGUgaW5ncmVzb3MifV0sImFsdG9fY20iOjYuNX0sImdlb2dyYWZpYXMiOnsidGlwbyI6ImJhcnJhcyIsInRpdHVsbyI6IkluZ3Jlc29zIHBvciBnZW9ncmFmw61hLCBzZWfDum4ge3tuZWdvY2lvLmdlb2dyYWZpYXNfY3JpdGVyaW99fSAoJSBkZWwgdG90YWwpIiwiZGF0b3MiOiJuZWdvY2lvLmdlb2dyYWZpYXMiLCJjYXRlZ29yaWEiOiJub21icmUiLCJzZXJpZXMiOlt7ImNhbXBvIjoicGVzb19wY3QiLCJub21icmUiOiIlIGRlIGluZ3Jlc29zIn1dLCJmb3JtYXRvIjoiMFwiJVwiIiwiZXRpcXVldGFzIjp0cnVlLCJhbHRvX2NtIjo2fSwic2VjdG9yX21lcmNhZG8iOnsidGlwbyI6ImNvbHVtbmFzIiwidGl0dWxvIjoiVGFtYcOxbyBkZWwgbWVyY2FkbyAoe3tzZWN0b3IudW5pZGFkX3NlcmllfX0pIMK3IMKrZcK7ID0gcHJldmlzacOzbiIsImRhdG9zIjoic2VjdG9yLnNlcmllIiwiY2F0ZWdvcmlhIjoiYW5pbyIsInNlcmllcyI6W3siY2FtcG8iOiJ0YW1hbm8iLCJub21icmUiOiJUYW1hw7FvIGRlbCBtZXJjYWRvIn1dLCJmb3JtYXRvIjoiIywjIzAiLCJldGlxdWV0YXMiOnRydWUsImFsdG9fY20iOjYuNX0sInBvcnRlciI6eyJ0aXBvIjoicmFkYXIiLCJ0aXR1bG8iOiJDaW5jbyBmdWVyemFzOiBpbnRlbnNpZGFkICgxID0gZmF2b3JhYmxlLCA1ID0gZGVzZmF2b3JhYmxlKSIsImRhdG9zIjoic2VjdG9yLnBvcnRlciIsImNhdGVnb3JpYSI6ImZ1ZXJ6YSIsInNlcmllcyI6W3siY2FtcG8iOiJpbnRlbnNpZGFkIiwibm9tYnJlIjoiSW50ZW5zaWRhZCJ9XSwibWluIjowLCJtYXgiOjUsImFsdG9fY20iOjcuNX0sImZvc28iOnsidGlwbyI6ImJhcnJhcyIsInRpdHVsbyI6IkZ1ZW50ZXMgZGUgdmVudGFqYSBjb21wZXRpdGl2YSAoMCA9IGluZXhpc3RlbnRlLCA1ID0gbXV5IGZ1ZXJ0ZSkiLCJkYXRvcyI6ImNvbXBldGVuY2lhLmZvc28uZnVlbnRlcyIsImNhdGVnb3JpYSI6ImZ1ZW50ZSIsInNlcmllcyI6W3siY2FtcG8iOiJwdW50dWFjaW9uIiwibm9tYnJlIjoiUHVudHVhY2nDs24ifV0sIm1pbiI6MCwibWF4Ijo1LCJmb3JtYXRvIjoiMCIsImV0aXF1ZXRhcyI6dHJ1ZSwiYWx0b19jbSI6NS41fSwiY29tcGV0aWRvcmVzX21hcmdlbiI6eyJ0aXBvIjoiYmFycmFzIiwidGl0dWxvIjoiTWFyZ2VuIEVCSVQ6IGxhIGVtcHJlc2EgZnJlbnRlIGEgc3VzIGNvbXBldGlkb3JlcyAoJSkiLCJkYXRvcyI6ImNhbGMuY29tcGV0aWRvcmVzX21hcmdlbiIsImNhdGVnb3JpYSI6Im5vbWJyZSIsInNlcmllcyI6W3siY2FtcG8iOiJtYXJnZW5fZWJpdF9wY3QiLCJub21icmUiOiJNYXJnZW4gRUJJVCJ9XSwiZm9ybWF0byI6IjAuMFwiJVwiIiwiZXRpcXVldGFzIjp0cnVlLCJyZXNhbHRhciI6MCwiYWx0b19jbSI6Ni41fSwiaW5ncmVzb3NfZWJpdGRhIjp7InRpcG8iOiJjb2x1bW5hcyIsInRpdHVsbyI6IkluZ3Jlc29zIHkgRUJJVERBICh7e21ldGEuZGl2aXNhfX0sIG1pbGxvbmVzKSDCtyDCq2XCuyA9IHByb3llY2Npw7NuIHByb3BpYSBkZWwgRENGIiwiZGF0b3MiOiJjYWxjLmN1ZW50YV95X3ByZXZpc2lvbiIsImNhdGVnb3JpYSI6InBlcmlvZG8iLCJzZXJpZXMiOlt7ImNhbXBvIjoiaW5ncmVzb3MiLCJub21icmUiOiJJbmdyZXNvcyJ9LHsiY2FtcG8iOiJlYml0ZGEiLCJub21icmUiOiJFQklUREEifV0sImZvcm1hdG8iOiIjLCMjMCJ9LCJtYXJnZW5lcyI6eyJ0aXBvIjoibGluZWFzIiwidGl0dWxvIjoiTcOhcmdlbmVzICglIGRlIGluZ3Jlc29zKSIsImRhdG9zIjoiY2FsYy5jdWVudGEiLCJjYXRlZ29yaWEiOiJwZXJpb2RvIiwic2VyaWVzIjpbeyJjYW1wbyI6Im1hcmdlbl9icnV0b19wY3QiLCJub21icmUiOiJCcnV0byJ9LHsiY2FtcG8iOiJtYXJnZW5fZWJpdGRhX3BjdCIsIm5vbWJyZSI6IkVCSVREQSJ9LHsiY2FtcG8iOiJtYXJnZW5fZWJpdF9wY3QiLCJub21icmUiOiJFQklUIn0seyJjYW1wbyI6Im1hcmdlbl9uZXRvX3BjdCIsIm5vbWJyZSI6Ik5ldG8ifV0sImZvcm1hdG8iOiIwXCIlXCIifSwidHJpbWVzdHJlcyI6eyJ0aXBvIjoiY29sdW1uYXMiLCJ0aXR1bG8iOiJDcmVjaW1pZW50byBpbnRlcmFudWFsIHBvciB0cmltZXN0cmUgKCUpIiwiZGF0b3MiOiJ0cmltZXN0cmVzLml0ZW1zIiwiY2F0ZWdvcmlhIjoicGVyaW9kbyIsInNlcmllcyI6W3siY2FtcG8iOiJjcmVjaW1pZW50b19wY3QiLCJub21icmUiOiJSZXBvcnRhZG8ifSx7ImNhbXBvIjoiY3JlY2ltaWVudG9fb3JnYW5pY29fcGN0Iiwibm9tYnJlIjoiT3Jnw6FuaWNvIn1dLCJmb3JtYXRvIjoiMC4wXCIlXCIiLCJhbHRvX2NtIjo2LjV9LCJkaWFzX2NpcmN1bGFudGUiOnsidGlwbyI6ImxpbmVhcyIsInRpdHVsbyI6IkNhcGl0YWwgY2lyY3VsYW50ZSBlbiBkw61hcyIsImRhdG9zIjoiY2FsYy5iYWxhbmNlIiwiY2F0ZWdvcmlhIjoicGVyaW9kbyIsInNlcmllcyI6W3siY2FtcG8iOiJkc28iLCJub21icmUiOiJEw61hcyBkZSBjb2JybyJ9LHsiY2FtcG8iOiJkaW8iLCJub21icmUiOiJEw61hcyBkZSBpbnZlbnRhcmlvIn0seyJjYW1wbyI6ImRwbyIsIm5vbWJyZSI6IkTDrWFzIGRlIHBhZ28ifV0sImZvcm1hdG8iOiIwIiwiYWx0b19jbSI6Ni41fSwiZmNmIjp7InRpcG8iOiJjb2x1bW5hcyIsInRpdHVsbyI6IkZsdWpvIGRlIGNhamEgbGlicmUgZnJlbnRlIGEgYmVuZWZpY2lvIG5ldG8gKHt7bWV0YS5kaXZpc2F9fSwgbWlsbG9uZXMpIiwiZGF0b3MiOiJjYWxjLmZsdWpvcyIsImNhdGVnb3JpYSI6InBlcmlvZG8iLCJzZXJpZXMiOlt7ImNhbXBvIjoiZmNmIiwibm9tYnJlIjoiRmx1am8gZGUgY2FqYSBsaWJyZSJ9LHsiY2FtcG8iOiJiZW5lZmljaW9fbmV0byIsIm5vbWJyZSI6IkJlbmVmaWNpbyBuZXRvIn1dLCJmb3JtYXRvIjoiIywjIzAifSwicm9pYyI6eyJ0aXBvIjoibGluZWFzIiwidGl0dWxvIjoiUk9JQyB5IFJPRSBmcmVudGUgYWwgY29zdGUgZGVsIGNhcGl0YWwgKCUpIiwiZGF0b3MiOiJjYWxjLnJvaWNfZnJlbnRlX3dhY2MiLCJjYXRlZ29yaWEiOiJwZXJpb2RvIiwic2VyaWVzIjpbeyJjYW1wbyI6InJvaWNfcGN0Iiwibm9tYnJlIjoiUk9JQyJ9LHsiY2FtcG8iOiJ3YWNjX3BjdCIsIm5vbWJyZSI6IldBQ0MgYWN0dWFsIn0seyJjYW1wbyI6InJvZV9wY3QiLCJub21icmUiOiJST0UifV0sImZvcm1hdG8iOiIwXCIlXCIifSwiYXBhbGFuY2FtaWVudG8iOnsidGlwbyI6ImNvbHVtbmFzIiwidGl0dWxvIjoiRGV1ZGEgbmV0YSAvIEVCSVREQSBhbCBjaWVycmUgZGUgY2FkYSBlamVyY2ljaW8gKHZlY2VzKSIsImRhdG9zIjoiY2FsYy5iYWxhbmNlIiwiY2F0ZWdvcmlhIjoicGVyaW9kbyIsInNlcmllcyI6W3siY2FtcG8iOiJkbl9lYml0ZGEiLCJub21icmUiOiJEZXVkYSBuZXRhIC8gRUJJVERBIn1dLCJmb3JtYXRvIjoiMC4wXCJ4XCIiLCJldGlxdWV0YXMiOnRydWUsImFsdG9fY20iOjZ9LCJ2ZW5jaW1pZW50b3MiOnsidGlwbyI6ImNvbHVtbmFzIiwidGl0dWxvIjoiVmVuY2ltaWVudG9zIGRlIGxhIGRldWRhIGJydXRhICh7e21ldGEuZGl2aXNhfX0sIG1pbGxvbmVzKSIsImRhdG9zIjoiYmFsYW5jZS52ZW5jaW1pZW50b3MiLCJjYXRlZ29yaWEiOiJhbmlvIiwic2VyaWVzIjpbeyJjYW1wbyI6ImltcG9ydGUiLCJub21icmUiOiJWZW5jaW1pZW50b3MifV0sImZvcm1hdG8iOiIjLCMjMCIsImV0aXF1ZXRhcyI6dHJ1ZSwiYWx0b19jbSI6Nn0sInVzb3NfY2FqYSI6eyJ0aXBvIjoiY29sdW1uYXNfYXBpbGFkYXMiLCJ0aXR1bG8iOiJVc29zIGRlIGxhIGNhamEgKHt7bWV0YS5kaXZpc2F9fSwgbWlsbG9uZXMpIiwiZGF0b3MiOiJjYWxjLmZsdWpvcyIsImNhdGVnb3JpYSI6InBlcmlvZG8iLCJzZXJpZXMiOlt7ImNhbXBvIjoiYWRxdWlzaWNpb25lcyIsIm5vbWJyZSI6IkFkcXVpc2ljaW9uZXMifSx7ImNhbXBvIjoiZGl2aWRlbmRvcyIsIm5vbWJyZSI6IkRpdmlkZW5kb3MifSx7ImNhbXBvIjoicmVjb21wcmFzIiwibm9tYnJlIjoiUmVjb21wcmFzIn1dLCJmb3JtYXRvIjoiIywjIzAifSwiY29uc2VqbyI6eyJ0aXBvIjoiZG9udXQiLCJ0aXR1bG8iOiJDb21wb3NpY2nDs24gZGVsIGNvbnNlam8gKG7Dum1lcm8gZGUgY29uc2VqZXJvcykiLCJkYXRvcyI6ImNhbGMuZ29iaWVybm8uY29tcG9zaWNpb24iLCJjYXRlZ29yaWEiOiJ0aXBvIiwic2VyaWVzIjpbeyJjYW1wbyI6Im51bSIsIm5vbWJyZSI6IkNvbnNlamVyb3MifV0sImZvcm1hdG8iOiIwIiwic3VtYTEwMCI6ZmFsc2UsImFsdG9fY20iOjZ9LCJhY2Npb25pc3RhcyI6eyJ0aXBvIjoiYmFycmFzIiwidGl0dWxvIjoiQWNjaW9uaXN0YXMgc2lnbmlmaWNhdGl2b3MgKCUgZGVsIGNhcGl0YWwpIiwiZGF0b3MiOiJnb2JpZXJuby5hY2Npb25pc3RhcyIsImNhdGVnb3JpYSI6Im5vbWJyZSIsInNlcmllcyI6W3siY2FtcG8iOiJwY3QiLCJub21icmUiOiIlIGRlbCBjYXBpdGFsIn1dLCJmb3JtYXRvIjoiMC4wXCIlXCIiLCJldGlxdWV0YXMiOnRydWUsImFsdG9fY20iOjYuNX0sImJvbHNhX2FudWFsIjp7InRpcG8iOiJjb2x1bW5hcyIsInRpdHVsbyI6IlJlbnRhYmlsaWRhZCB0b3RhbCBwb3IgYcOxbzogYWNjacOzbiBmcmVudGUgYSBzdSDDrW5kaWNlICglKSIsImRhdG9zIjoiYm9sc2EuYW51YWwiLCJjYXRlZ29yaWEiOiJhbmlvIiwic2VyaWVzIjpbeyJjYW1wbyI6ImFjY2lvbl9wY3QiLCJub21icmUiOiJBY2Npw7NuIn0seyJjYW1wbyI6ImluZGljZV9wY3QiLCJub21icmUiOiLDjW5kaWNlIn1dLCJmb3JtYXRvIjoiMFwiJVwiIiwiYWx0b19jbSI6N30sIm11bHRpcGxvc19oaXN0Ijp7InRpcG8iOiJsaW5lYXMiLCJ0aXR1bG8iOiJ7e2NhbGMubXVsdGlwbG9zX3RpdHVsb319OiBoaXN0b3JpYSB5IG1lZGlhbmEgKHZlY2VzKSIsImRhdG9zIjoiY2FsYy5tdWx0aXBsb3Nfc2VyaWUiLCJjYXRlZ29yaWEiOiJhbmlvIiwic2VyaWVzIjpbeyJjYW1wbyI6Im11bHRpcGxvIiwibm9tYnJlIjoiTcO6bHRpcGxvIn0seyJjYW1wbyI6Im1lZGlhIiwibm9tYnJlIjoiTWVkaWFuYSBkZWwgcGVyaW9kbyJ9XSwiZm9ybWF0byI6IjAuMFwieFwiIiwiYWx0b19jbSI6Ni41fSwiY29tcHNfZXYiOnsidGlwbyI6ImJhcnJhcyIsInRpdHVsbyI6IkVWL0VCSVREQSBkZSBsb3MgcHLDs3hpbW9zIDEyIG1lc2VzOiBlbXByZXNhIHkgY29tcGFyYWJsZXMgKHZlY2VzKSIsImRhdG9zIjoiY2FsYy5jb21wYXJhYmxlcy50YWJsYSIsImNhdGVnb3JpYSI6Im5vbWJyZSIsInNlcmllcyI6W3siY2FtcG8iOiJldl9lYml0ZGFfbnRtIiwibm9tYnJlIjoiRVYvRUJJVERBIE5UTSJ9XSwiZm9ybWF0byI6IjAuMFwieFwiIiwiZXRpcXVldGFzIjp0cnVlLCJyZXNhbHRhciI6MCwiYWx0b19jbSI6Ny41fSwiY29tcHNfbWFwYSI6eyJ0aXBvIjoiZGlzcGVyc2lvbiIsInRpdHVsbyI6IkNyZWNpbWllbnRvIGVzcGVyYWRvIGZyZW50ZSBhIG3Dumx0aXBsbyIsImRhdG9zIjoiY2FsYy5jb21wYXJhYmxlcy50YWJsYSIsImV0aXF1ZXRhIjoibm9tYnJlIiwieCI6eyJjYW1wbyI6ImNyZWNpbWllbnRvX3BjdCIsIm5vbWJyZSI6IkNyZWNpbWllbnRvIGRlIGluZ3Jlc29zIHByw7N4aW1vcyAxMiBtZXNlcyAoJSkiLCJmb3JtYXRvIjoiMFwiJVwiIn0sInkiOnsiY2FtcG8iOiJldl9lYml0ZGFfbnRtIiwibm9tYnJlIjoiRVYvRUJJVERBIE5UTSAoeCkiLCJmb3JtYXRvIjoiMC4wXCJ4XCIifSwiYWx0b19jbSI6OC41fSwidHJhbnNhY2Npb25lcyI6eyJ0aXBvIjoiYmFycmFzIiwidGl0dWxvIjoiRVYvRUJJVERBIHBhZ2FkbyBlbiB0cmFuc2FjY2lvbmVzIGRlbCBzZWN0b3IgKHZlY2VzKSIsImRhdG9zIjoidHJhbnNhY2Npb25lcy5vcGVyYWNpb25lcyIsImNhdGVnb3JpYSI6Im9iamV0aXZvIiwic2VyaWVzIjpbeyJjYW1wbyI6ImV2X2ViaXRkYSIsIm5vbWJyZSI6IkVWL0VCSVREQSJ9XSwiZm9ybWF0byI6IjAuMFwieFwiIiwiZXRpcXVldGFzIjp0cnVlLCJhbHRvX2NtIjo3fSwiZGNmX2ZjZmYiOnsidGlwbyI6ImNvbHVtbmFzIiwidGl0dWxvIjoiRmx1am8gZGUgY2FqYSBsaWJyZSBwYXJhIGxhIGVtcHJlc2EgcHJveWVjdGFkbyAoe3ttZXRhLmRpdmlzYX19LCBtaWxsb25lcykiLCJkYXRvcyI6ImNhbGMuZGNmLnByb3llY2Npb24iLCJjYXRlZ29yaWEiOiJwZXJpb2RvIiwic2VyaWVzIjpbeyJjYW1wbyI6ImZjZmYiLCJub21icmUiOiJGQ0ZGIn1dLCJmb3JtYXRvIjoiIywjIzAiLCJldGlxdWV0YXMiOnRydWUsImFsdG9fY20iOjZ9LCJkY2ZfY29tcG9zaWNpb24iOnsidGlwbyI6ImRvbnV0IiwidGl0dWxvIjoiRGUgZMOzbmRlIHNhbGUgZWwgdmFsb3IgZW1wcmVzYSBkZWwgRENGICh7e21ldGEuZGl2aXNhfX0sIG1pbGxvbmVzKSIsImRhdG9zIjoiY2FsYy5kY2YuY29tcG9zaWNpb24iLCJjYXRlZ29yaWEiOiJwYXJ0ZSIsInNlcmllcyI6W3siY2FtcG8iOiJ2YWxvciIsIm5vbWJyZSI6IlZhbG9yIGFjdHVhbCJ9XSwiZm9ybWF0byI6IiMsIyMwIiwic3VtYTEwMCI6ZmFsc2UsImFsdG9fY20iOjZ9LCJlc2NlbmFyaW9zIjp7InRpcG8iOiJjb2x1bW5hcyIsInRpdHVsbyI6IlZhbG9yIHBvciBhY2Npw7NuIHBvciBlc2NlbmFyaW8gKHt7bWV0YS5kaXZpc2F9fSkgwrcgcHJlY2lvIGFjdHVhbCB7e2lkZW50aWZpY2FjaW9uLnByZWNpb3wyfX0iLCJkYXRvcyI6ImNhbGMuZXNjZW5hcmlvcyIsImNhdGVnb3JpYSI6ImVzY2VuYXJpbyIsInNlcmllcyI6W3siY2FtcG8iOiJ2YWxvciIsIm5vbWJyZSI6IlZhbG9yIHBvciBhY2Npw7NuIn1dLCJmb3JtYXRvIjoiIywjIzAuMDAiLCJldGlxdWV0YXMiOnRydWUsImFsdG9fY20iOjZ9fQ=="/>
  </w:docVars>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1F2A3C"/>
        <w:sz w:val="20"/>
        <w:szCs w:val="20"/>
      </w:rPr>
    </w:rPrDefault>
    <w:pPrDefault>
      <w:pPr>
        <w:spacing w:line="264"/>
      </w:pPr>
    </w:pPrDefault>
  </w:docDefaults>
  <w:style w:type="paragraph" w:styleId="Normal" w:default="1">
    <w:name w:val="Normal"/>
    <w:qFormat/>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Title">
    <w:name w:val="Title"/>
    <w:basedOn w:val="Normal"/>
    <w:next w:val="Normal"/>
    <w:pPr>
      <w:spacing w:after="80"/>
    </w:pPr>
    <w:rPr>
      <w:rFonts w:ascii="Calibri" w:cs="Calibri" w:eastAsia="Calibri" w:hAnsi="Calibri"/>
      <w:b/>
      <w:bCs/>
      <w:color w:val="1F3A5F"/>
      <w:sz w:val="52"/>
      <w:szCs w:val="52"/>
    </w:rPr>
  </w:style>
  <w:style w:type="paragraph" w:styleId="Heading1">
    <w:name w:val="Heading 1"/>
    <w:basedOn w:val="Normal"/>
    <w:next w:val="Normal"/>
    <w:qFormat/>
    <w:pPr>
      <w:keepNext/>
      <w:pBdr>
        <w:bottom w:val="single" w:color="2A78D6" w:sz="6" w:space="4"/>
      </w:pBdr>
      <w:spacing w:after="60" w:before="360"/>
      <w:outlineLvl w:val="0"/>
    </w:pPr>
    <w:rPr>
      <w:rFonts w:ascii="Calibri" w:cs="Calibri" w:eastAsia="Calibri" w:hAnsi="Calibri"/>
      <w:b/>
      <w:bCs/>
      <w:color w:val="1F3A5F"/>
      <w:sz w:val="30"/>
      <w:szCs w:val="30"/>
    </w:rPr>
  </w:style>
  <w:style w:type="paragraph" w:styleId="Heading2">
    <w:name w:val="Heading 2"/>
    <w:basedOn w:val="Normal"/>
    <w:next w:val="Normal"/>
    <w:qFormat/>
    <w:pPr>
      <w:keepNext/>
      <w:spacing w:after="80" w:before="220"/>
      <w:outlineLvl w:val="1"/>
    </w:pPr>
    <w:rPr>
      <w:rFonts w:ascii="Calibri" w:cs="Calibri" w:eastAsia="Calibri" w:hAnsi="Calibri"/>
      <w:b/>
      <w:bCs/>
      <w:color w:val="1F3A5F"/>
      <w:sz w:val="23"/>
      <w:szCs w:val="23"/>
    </w:rPr>
  </w:style>
  <w:style w:type="paragraph" w:styleId="Parte">
    <w:name w:val="Parte"/>
    <w:basedOn w:val="Normal"/>
    <w:next w:val="Normal"/>
    <w:pPr>
      <w:keepNext/>
      <w:pBdr>
        <w:bottom w:val="single" w:color="2A78D6" w:sz="12" w:space="6"/>
      </w:pBdr>
      <w:spacing w:after="400" w:before="2400"/>
      <w:outlineLvl w:val="0"/>
    </w:pPr>
    <w:rPr>
      <w:rFonts w:ascii="Calibri" w:cs="Calibri" w:eastAsia="Calibri" w:hAnsi="Calibri"/>
      <w:b/>
      <w:bCs/>
      <w:color w:val="2A78D6"/>
      <w:sz w:val="40"/>
      <w:szCs w:val="40"/>
    </w:rPr>
  </w:style>
  <w:style w:type="paragraph" w:styleId="Aviso">
    <w:name w:val="Aviso"/>
    <w:basedOn w:val="Normal"/>
    <w:next w:val="Normal"/>
    <w:pPr>
      <w:pBdr>
        <w:left w:val="single" w:color="D9772E" w:sz="24" w:space="8"/>
      </w:pBdr>
      <w:spacing w:after="200" w:before="120"/>
      <w:ind w:left="200"/>
    </w:pPr>
    <w:rPr>
      <w:b/>
      <w:bCs/>
      <w:color w:val="A3470F"/>
      <w:sz w:val="19"/>
      <w:szCs w:val="19"/>
    </w:rPr>
  </w:style>
  <w:style w:type="paragraph" w:styleId="Confianza">
    <w:name w:val="Confianza"/>
    <w:basedOn w:val="Normal"/>
    <w:next w:val="Normal"/>
    <w:pPr>
      <w:keepNext/>
      <w:spacing w:after="160" w:before="0"/>
    </w:pPr>
    <w:rPr>
      <w:i/>
      <w:iCs/>
      <w:color w:val="8A8984"/>
      <w:sz w:val="16"/>
      <w:szCs w:val="16"/>
    </w:rPr>
  </w:style>
  <w:style w:type="paragraph" w:styleId="Nota">
    <w:name w:val="Nota"/>
    <w:basedOn w:val="Normal"/>
    <w:next w:val="Normal"/>
    <w:pPr>
      <w:spacing w:after="80"/>
    </w:pPr>
    <w:rPr>
      <w:color w:val="52514E"/>
      <w:sz w:val="16"/>
      <w:szCs w:val="16"/>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header" Target="header1.xml"/><Relationship Id="rId7" Type="http://schemas.openxmlformats.org/officeDocument/2006/relationships/header" Target="header2.xml"/><Relationship Id="rId8" Type="http://schemas.openxmlformats.org/officeDocument/2006/relationships/footer" Target="footer1.xml"/><Relationship Id="rId9" Type="http://schemas.openxmlformats.org/officeDocument/2006/relationships/footer" Target="footer2.xml"/><Relationship Id="rId10" Type="http://schemas.openxmlformats.org/officeDocument/2006/relationships/theme" Target="theme/theme1.xml"/><Relationship Id="rId11" Type="http://schemas.openxmlformats.org/officeDocument/2006/relationships/fontTable" Target="fontTable.xml"/><Relationship Id="rIdGrafico1" Type="http://schemas.openxmlformats.org/officeDocument/2006/relationships/chart" Target="charts/chart1.xml"/><Relationship Id="rIdGrafico2" Type="http://schemas.openxmlformats.org/officeDocument/2006/relationships/chart" Target="charts/chart2.xml"/><Relationship Id="rIdGrafico3" Type="http://schemas.openxmlformats.org/officeDocument/2006/relationships/chart" Target="charts/chart3.xml"/><Relationship Id="rIdGrafico4" Type="http://schemas.openxmlformats.org/officeDocument/2006/relationships/chart" Target="charts/chart4.xml"/><Relationship Id="rIdGrafico5" Type="http://schemas.openxmlformats.org/officeDocument/2006/relationships/chart" Target="charts/chart5.xml"/><Relationship Id="rIdGrafico6" Type="http://schemas.openxmlformats.org/officeDocument/2006/relationships/chart" Target="charts/chart6.xml"/><Relationship Id="rIdGrafico7" Type="http://schemas.openxmlformats.org/officeDocument/2006/relationships/chart" Target="charts/chart7.xml"/><Relationship Id="rIdGrafico8" Type="http://schemas.openxmlformats.org/officeDocument/2006/relationships/chart" Target="charts/chart8.xml"/><Relationship Id="rIdGrafico9" Type="http://schemas.openxmlformats.org/officeDocument/2006/relationships/chart" Target="charts/chart9.xml"/><Relationship Id="rIdGrafico10" Type="http://schemas.openxmlformats.org/officeDocument/2006/relationships/chart" Target="charts/chart10.xml"/><Relationship Id="rIdGrafico11" Type="http://schemas.openxmlformats.org/officeDocument/2006/relationships/chart" Target="charts/chart11.xml"/><Relationship Id="rIdGrafico12" Type="http://schemas.openxmlformats.org/officeDocument/2006/relationships/chart" Target="charts/chart12.xml"/><Relationship Id="rIdGrafico13" Type="http://schemas.openxmlformats.org/officeDocument/2006/relationships/chart" Target="charts/chart13.xml"/><Relationship Id="rIdGrafico14" Type="http://schemas.openxmlformats.org/officeDocument/2006/relationships/chart" Target="charts/chart14.xml"/><Relationship Id="rIdGrafico15" Type="http://schemas.openxmlformats.org/officeDocument/2006/relationships/chart" Target="charts/chart15.xml"/><Relationship Id="rIdGrafico16" Type="http://schemas.openxmlformats.org/officeDocument/2006/relationships/chart" Target="charts/chart16.xml"/><Relationship Id="rIdGrafico17" Type="http://schemas.openxmlformats.org/officeDocument/2006/relationships/chart" Target="charts/chart17.xml"/><Relationship Id="rIdGrafico18" Type="http://schemas.openxmlformats.org/officeDocument/2006/relationships/chart" Target="charts/chart18.xml"/><Relationship Id="rIdGrafico19" Type="http://schemas.openxmlformats.org/officeDocument/2006/relationships/chart" Target="charts/chart19.xml"/><Relationship Id="rIdGrafico20" Type="http://schemas.openxmlformats.org/officeDocument/2006/relationships/chart" Target="charts/chart20.xml"/><Relationship Id="rIdGrafico21" Type="http://schemas.openxmlformats.org/officeDocument/2006/relationships/chart" Target="charts/chart21.xml"/><Relationship Id="rIdGrafico22" Type="http://schemas.openxmlformats.org/officeDocument/2006/relationships/chart" Target="charts/chart22.xml"/><Relationship Id="rIdGrafico23" Type="http://schemas.openxmlformats.org/officeDocument/2006/relationships/chart" Target="charts/chart23.xml"/><Relationship Id="rIdGrafico24" Type="http://schemas.openxmlformats.org/officeDocument/2006/relationships/chart" Target="charts/chart24.xml"/><Relationship Id="rIdGrafico25" Type="http://schemas.openxmlformats.org/officeDocument/2006/relationships/chart" Target="charts/chart25.xml"/><Relationship Id="rIdGrafico26" Type="http://schemas.openxmlformats.org/officeDocument/2006/relationships/chart" Target="charts/chart26.xml"/><Relationship Id="rIdGrafico27" Type="http://schemas.openxmlformats.org/officeDocument/2006/relationships/chart" Target="charts/chart27.xml"/><Relationship Id="rIdGrafico28" Type="http://schemas.openxmlformats.org/officeDocument/2006/relationships/chart" Target="charts/chart28.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er2.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word/_rels/header2.xml.rels><?xml version="1.0" encoding="UTF-8"?><Relationships xmlns="http://schemas.openxmlformats.org/package/2006/relationships"/>
</file>

<file path=word/charts/_rels/chart1.xml.rels><?xml version="1.0" encoding="UTF-8" standalone="yes"?><Relationships xmlns="http://schemas.openxmlformats.org/package/2006/relationships"><Relationship Id="rId1" Type="http://schemas.openxmlformats.org/officeDocument/2006/relationships/package" Target="../embeddings/Hoja_grafico1.xlsx"/></Relationships>
</file>

<file path=word/charts/_rels/chart2.xml.rels><?xml version="1.0" encoding="UTF-8" standalone="yes"?><Relationships xmlns="http://schemas.openxmlformats.org/package/2006/relationships"><Relationship Id="rId1" Type="http://schemas.openxmlformats.org/officeDocument/2006/relationships/package" Target="../embeddings/Hoja_grafico2.xlsx"/></Relationships>
</file>

<file path=word/charts/_rels/chart3.xml.rels><?xml version="1.0" encoding="UTF-8" standalone="yes"?><Relationships xmlns="http://schemas.openxmlformats.org/package/2006/relationships"><Relationship Id="rId1" Type="http://schemas.openxmlformats.org/officeDocument/2006/relationships/package" Target="../embeddings/Hoja_grafico3.xlsx"/></Relationships>
</file>

<file path=word/charts/_rels/chart4.xml.rels><?xml version="1.0" encoding="UTF-8" standalone="yes"?><Relationships xmlns="http://schemas.openxmlformats.org/package/2006/relationships"><Relationship Id="rId1" Type="http://schemas.openxmlformats.org/officeDocument/2006/relationships/package" Target="../embeddings/Hoja_grafico4.xlsx"/></Relationships>
</file>

<file path=word/charts/_rels/chart5.xml.rels><?xml version="1.0" encoding="UTF-8" standalone="yes"?><Relationships xmlns="http://schemas.openxmlformats.org/package/2006/relationships"><Relationship Id="rId1" Type="http://schemas.openxmlformats.org/officeDocument/2006/relationships/package" Target="../embeddings/Hoja_grafico5.xlsx"/></Relationships>
</file>

<file path=word/charts/_rels/chart6.xml.rels><?xml version="1.0" encoding="UTF-8" standalone="yes"?><Relationships xmlns="http://schemas.openxmlformats.org/package/2006/relationships"><Relationship Id="rId1" Type="http://schemas.openxmlformats.org/officeDocument/2006/relationships/package" Target="../embeddings/Hoja_grafico6.xlsx"/></Relationships>
</file>

<file path=word/charts/_rels/chart7.xml.rels><?xml version="1.0" encoding="UTF-8" standalone="yes"?><Relationships xmlns="http://schemas.openxmlformats.org/package/2006/relationships"><Relationship Id="rId1" Type="http://schemas.openxmlformats.org/officeDocument/2006/relationships/package" Target="../embeddings/Hoja_grafico7.xlsx"/></Relationships>
</file>

<file path=word/charts/_rels/chart8.xml.rels><?xml version="1.0" encoding="UTF-8" standalone="yes"?><Relationships xmlns="http://schemas.openxmlformats.org/package/2006/relationships"><Relationship Id="rId1" Type="http://schemas.openxmlformats.org/officeDocument/2006/relationships/package" Target="../embeddings/Hoja_grafico8.xlsx"/></Relationships>
</file>

<file path=word/charts/_rels/chart9.xml.rels><?xml version="1.0" encoding="UTF-8" standalone="yes"?><Relationships xmlns="http://schemas.openxmlformats.org/package/2006/relationships"><Relationship Id="rId1" Type="http://schemas.openxmlformats.org/officeDocument/2006/relationships/package" Target="../embeddings/Hoja_grafico9.xlsx"/></Relationships>
</file>

<file path=word/charts/_rels/chart10.xml.rels><?xml version="1.0" encoding="UTF-8" standalone="yes"?><Relationships xmlns="http://schemas.openxmlformats.org/package/2006/relationships"><Relationship Id="rId1" Type="http://schemas.openxmlformats.org/officeDocument/2006/relationships/package" Target="../embeddings/Hoja_grafico10.xlsx"/></Relationships>
</file>

<file path=word/charts/_rels/chart11.xml.rels><?xml version="1.0" encoding="UTF-8" standalone="yes"?><Relationships xmlns="http://schemas.openxmlformats.org/package/2006/relationships"><Relationship Id="rId1" Type="http://schemas.openxmlformats.org/officeDocument/2006/relationships/package" Target="../embeddings/Hoja_grafico11.xlsx"/></Relationships>
</file>

<file path=word/charts/_rels/chart12.xml.rels><?xml version="1.0" encoding="UTF-8" standalone="yes"?><Relationships xmlns="http://schemas.openxmlformats.org/package/2006/relationships"><Relationship Id="rId1" Type="http://schemas.openxmlformats.org/officeDocument/2006/relationships/package" Target="../embeddings/Hoja_grafico12.xlsx"/></Relationships>
</file>

<file path=word/charts/_rels/chart13.xml.rels><?xml version="1.0" encoding="UTF-8" standalone="yes"?><Relationships xmlns="http://schemas.openxmlformats.org/package/2006/relationships"><Relationship Id="rId1" Type="http://schemas.openxmlformats.org/officeDocument/2006/relationships/package" Target="../embeddings/Hoja_grafico13.xlsx"/></Relationships>
</file>

<file path=word/charts/_rels/chart14.xml.rels><?xml version="1.0" encoding="UTF-8" standalone="yes"?><Relationships xmlns="http://schemas.openxmlformats.org/package/2006/relationships"><Relationship Id="rId1" Type="http://schemas.openxmlformats.org/officeDocument/2006/relationships/package" Target="../embeddings/Hoja_grafico14.xlsx"/></Relationships>
</file>

<file path=word/charts/_rels/chart15.xml.rels><?xml version="1.0" encoding="UTF-8" standalone="yes"?><Relationships xmlns="http://schemas.openxmlformats.org/package/2006/relationships"><Relationship Id="rId1" Type="http://schemas.openxmlformats.org/officeDocument/2006/relationships/package" Target="../embeddings/Hoja_grafico15.xlsx"/></Relationships>
</file>

<file path=word/charts/_rels/chart16.xml.rels><?xml version="1.0" encoding="UTF-8" standalone="yes"?><Relationships xmlns="http://schemas.openxmlformats.org/package/2006/relationships"><Relationship Id="rId1" Type="http://schemas.openxmlformats.org/officeDocument/2006/relationships/package" Target="../embeddings/Hoja_grafico16.xlsx"/></Relationships>
</file>

<file path=word/charts/_rels/chart17.xml.rels><?xml version="1.0" encoding="UTF-8" standalone="yes"?><Relationships xmlns="http://schemas.openxmlformats.org/package/2006/relationships"><Relationship Id="rId1" Type="http://schemas.openxmlformats.org/officeDocument/2006/relationships/package" Target="../embeddings/Hoja_grafico17.xlsx"/></Relationships>
</file>

<file path=word/charts/_rels/chart18.xml.rels><?xml version="1.0" encoding="UTF-8" standalone="yes"?><Relationships xmlns="http://schemas.openxmlformats.org/package/2006/relationships"><Relationship Id="rId1" Type="http://schemas.openxmlformats.org/officeDocument/2006/relationships/package" Target="../embeddings/Hoja_grafico18.xlsx"/></Relationships>
</file>

<file path=word/charts/_rels/chart19.xml.rels><?xml version="1.0" encoding="UTF-8" standalone="yes"?><Relationships xmlns="http://schemas.openxmlformats.org/package/2006/relationships"><Relationship Id="rId1" Type="http://schemas.openxmlformats.org/officeDocument/2006/relationships/package" Target="../embeddings/Hoja_grafico19.xlsx"/></Relationships>
</file>

<file path=word/charts/_rels/chart20.xml.rels><?xml version="1.0" encoding="UTF-8" standalone="yes"?><Relationships xmlns="http://schemas.openxmlformats.org/package/2006/relationships"><Relationship Id="rId1" Type="http://schemas.openxmlformats.org/officeDocument/2006/relationships/package" Target="../embeddings/Hoja_grafico20.xlsx"/></Relationships>
</file>

<file path=word/charts/_rels/chart21.xml.rels><?xml version="1.0" encoding="UTF-8" standalone="yes"?><Relationships xmlns="http://schemas.openxmlformats.org/package/2006/relationships"><Relationship Id="rId1" Type="http://schemas.openxmlformats.org/officeDocument/2006/relationships/package" Target="../embeddings/Hoja_grafico21.xlsx"/></Relationships>
</file>

<file path=word/charts/_rels/chart22.xml.rels><?xml version="1.0" encoding="UTF-8" standalone="yes"?><Relationships xmlns="http://schemas.openxmlformats.org/package/2006/relationships"><Relationship Id="rId1" Type="http://schemas.openxmlformats.org/officeDocument/2006/relationships/package" Target="../embeddings/Hoja_grafico22.xlsx"/></Relationships>
</file>

<file path=word/charts/_rels/chart23.xml.rels><?xml version="1.0" encoding="UTF-8" standalone="yes"?><Relationships xmlns="http://schemas.openxmlformats.org/package/2006/relationships"><Relationship Id="rId1" Type="http://schemas.openxmlformats.org/officeDocument/2006/relationships/package" Target="../embeddings/Hoja_grafico23.xlsx"/></Relationships>
</file>

<file path=word/charts/_rels/chart24.xml.rels><?xml version="1.0" encoding="UTF-8" standalone="yes"?><Relationships xmlns="http://schemas.openxmlformats.org/package/2006/relationships"><Relationship Id="rId1" Type="http://schemas.openxmlformats.org/officeDocument/2006/relationships/package" Target="../embeddings/Hoja_grafico24.xlsx"/></Relationships>
</file>

<file path=word/charts/_rels/chart25.xml.rels><?xml version="1.0" encoding="UTF-8" standalone="yes"?><Relationships xmlns="http://schemas.openxmlformats.org/package/2006/relationships"><Relationship Id="rId1" Type="http://schemas.openxmlformats.org/officeDocument/2006/relationships/package" Target="../embeddings/Hoja_grafico25.xlsx"/></Relationships>
</file>

<file path=word/charts/_rels/chart26.xml.rels><?xml version="1.0" encoding="UTF-8" standalone="yes"?><Relationships xmlns="http://schemas.openxmlformats.org/package/2006/relationships"><Relationship Id="rId1" Type="http://schemas.openxmlformats.org/officeDocument/2006/relationships/package" Target="../embeddings/Hoja_grafico26.xlsx"/></Relationships>
</file>

<file path=word/charts/_rels/chart27.xml.rels><?xml version="1.0" encoding="UTF-8" standalone="yes"?><Relationships xmlns="http://schemas.openxmlformats.org/package/2006/relationships"><Relationship Id="rId1" Type="http://schemas.openxmlformats.org/officeDocument/2006/relationships/package" Target="../embeddings/Hoja_grafico27.xlsx"/></Relationships>
</file>

<file path=word/charts/_rels/chart28.xml.rels><?xml version="1.0" encoding="UTF-8" standalone="yes"?><Relationships xmlns="http://schemas.openxmlformats.org/package/2006/relationships"><Relationship Id="rId1" Type="http://schemas.openxmlformats.org/officeDocument/2006/relationships/package" Target="../embeddings/Hoja_grafico28.xlsx"/></Relationships>
</file>

<file path=word/charts/chart1.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Valor por acción según cada método (EUR) · precio actual 78,30</a:t>
            </a:r>
          </a:p>
        </c:rich>
      </c:tx>
      <c:overlay val="0"/>
    </c:title>
    <c:autoTitleDeleted val="0"/>
    <c:plotArea>
      <c:layout/>
      <c:barChart>
        <c:barDir val="bar"/>
        <c:grouping val="stacked"/>
        <c:varyColors val="0"/>
        <c:ser>
          <c:idx val="0"/>
          <c:order val="0"/>
          <c:tx>
            <c:strRef>
              <c:f>Hoja1!$B$1</c:f>
              <c:strCache>
                <c:ptCount val="1"/>
                <c:pt idx="0">
                  <c:v>Desde</c:v>
                </c:pt>
              </c:strCache>
            </c:strRef>
          </c:tx>
          <c:spPr>
            <a:noFill/>
            <a:ln>
              <a:noFill/>
            </a:ln>
          </c:spPr>
          <c:invertIfNegative val="0"/>
          <c:cat>
            <c:strRef>
              <c:f>Hoja1!$A$2:$A$10</c:f>
              <c:strCache>
                <c:ptCount val="9"/>
                <c:pt idx="0">
                  <c:v>Cotización 52 semanas (49,90 – 79,70)</c:v>
                </c:pt>
                <c:pt idx="1">
                  <c:v>Precio objetivo de los analistas (55,40 – 80,00)</c:v>
                </c:pt>
                <c:pt idx="2">
                  <c:v>Comparables: EV/EBITDA NTM (62,15 – 114,46)</c:v>
                </c:pt>
                <c:pt idx="3">
                  <c:v>Comparables: PER NTM (78,84 – 118,26)</c:v>
                </c:pt>
                <c:pt idx="4">
                  <c:v>DCF (WACC y g ± 0,5) (69,80 – 97,83)</c:v>
                </c:pt>
                <c:pt idx="5">
                  <c:v>Escenarios (bajista – alcista) (39,18 – 116,74)</c:v>
                </c:pt>
                <c:pt idx="6">
                  <c:v>Suma de partes (54,89 – 79,44)</c:v>
                </c:pt>
                <c:pt idx="7">
                  <c:v>DCF con la prima implícita del mercado (4,2 %)</c:v>
                </c:pt>
                <c:pt idx="8">
                  <c:v>Precio actual (78,30)</c:v>
                </c:pt>
              </c:strCache>
            </c:strRef>
          </c:cat>
          <c:val>
            <c:numRef>
              <c:f>Hoja1!$B$2:$B$10</c:f>
              <c:numCache>
                <c:formatCode>#,##0</c:formatCode>
                <c:ptCount val="9"/>
                <c:pt idx="0">
                  <c:v>49.9</c:v>
                </c:pt>
                <c:pt idx="1">
                  <c:v>55.4</c:v>
                </c:pt>
                <c:pt idx="2">
                  <c:v>62.15</c:v>
                </c:pt>
                <c:pt idx="3">
                  <c:v>78.84</c:v>
                </c:pt>
                <c:pt idx="4">
                  <c:v>69.8</c:v>
                </c:pt>
                <c:pt idx="5">
                  <c:v>39.18</c:v>
                </c:pt>
                <c:pt idx="6">
                  <c:v>54.89</c:v>
                </c:pt>
                <c:pt idx="7">
                  <c:v>88.82</c:v>
                </c:pt>
                <c:pt idx="8">
                  <c:v>77.91</c:v>
                </c:pt>
              </c:numCache>
            </c:numRef>
          </c:val>
        </c:ser>
        <c:ser>
          <c:idx val="1"/>
          <c:order val="1"/>
          <c:tx>
            <c:strRef>
              <c:f>Hoja1!$C$1</c:f>
              <c:strCache>
                <c:ptCount val="1"/>
                <c:pt idx="0">
                  <c:v>Rango</c:v>
                </c:pt>
              </c:strCache>
            </c:strRef>
          </c:tx>
          <c:spPr>
            <a:solidFill>
              <a:srgbClr val="2A78D6"/>
            </a:solidFill>
            <a:ln w="12700">
              <a:noFill/>
            </a:ln>
          </c:spPr>
          <c:invertIfNegative val="0"/>
          <c:dPt>
            <c:idx val="0"/>
            <c:invertIfNegative val="0"/>
            <c:bubble3D val="0"/>
            <c:spPr>
              <a:solidFill>
                <a:srgbClr val="C9C8C2"/>
              </a:solidFill>
            </c:spPr>
          </c:dPt>
          <c:dPt>
            <c:idx val="1"/>
            <c:invertIfNegative val="0"/>
            <c:bubble3D val="0"/>
            <c:spPr>
              <a:solidFill>
                <a:srgbClr val="C9C8C2"/>
              </a:solidFill>
            </c:spPr>
          </c:dPt>
          <c:dPt>
            <c:idx val="8"/>
            <c:invertIfNegative val="0"/>
            <c:bubble3D val="0"/>
            <c:spPr>
              <a:solidFill>
                <a:srgbClr val="C9C8C2"/>
              </a:solidFill>
            </c:spPr>
          </c:dPt>
          <c:cat>
            <c:strRef>
              <c:f>Hoja1!$A$2:$A$10</c:f>
              <c:strCache>
                <c:ptCount val="9"/>
                <c:pt idx="0">
                  <c:v>Cotización 52 semanas (49,90 – 79,70)</c:v>
                </c:pt>
                <c:pt idx="1">
                  <c:v>Precio objetivo de los analistas (55,40 – 80,00)</c:v>
                </c:pt>
                <c:pt idx="2">
                  <c:v>Comparables: EV/EBITDA NTM (62,15 – 114,46)</c:v>
                </c:pt>
                <c:pt idx="3">
                  <c:v>Comparables: PER NTM (78,84 – 118,26)</c:v>
                </c:pt>
                <c:pt idx="4">
                  <c:v>DCF (WACC y g ± 0,5) (69,80 – 97,83)</c:v>
                </c:pt>
                <c:pt idx="5">
                  <c:v>Escenarios (bajista – alcista) (39,18 – 116,74)</c:v>
                </c:pt>
                <c:pt idx="6">
                  <c:v>Suma de partes (54,89 – 79,44)</c:v>
                </c:pt>
                <c:pt idx="7">
                  <c:v>DCF con la prima implícita del mercado (4,2 %)</c:v>
                </c:pt>
                <c:pt idx="8">
                  <c:v>Precio actual (78,30)</c:v>
                </c:pt>
              </c:strCache>
            </c:strRef>
          </c:cat>
          <c:val>
            <c:numRef>
              <c:f>Hoja1!$C$2:$C$10</c:f>
              <c:numCache>
                <c:formatCode>#,##0</c:formatCode>
                <c:ptCount val="9"/>
                <c:pt idx="0">
                  <c:v>29.800000000000004</c:v>
                </c:pt>
                <c:pt idx="1">
                  <c:v>24.6</c:v>
                </c:pt>
                <c:pt idx="2">
                  <c:v>52.309999999999995</c:v>
                </c:pt>
                <c:pt idx="3">
                  <c:v>39.42</c:v>
                </c:pt>
                <c:pt idx="4">
                  <c:v>28.03</c:v>
                </c:pt>
                <c:pt idx="5">
                  <c:v>77.56</c:v>
                </c:pt>
                <c:pt idx="6">
                  <c:v>24.549999999999997</c:v>
                </c:pt>
                <c:pt idx="7">
                  <c:v>23.370000000000005</c:v>
                </c:pt>
                <c:pt idx="8">
                  <c:v>0.7800000000000011</c:v>
                </c:pt>
              </c:numCache>
            </c:numRef>
          </c:val>
        </c:ser>
        <c:gapWidth val="60"/>
        <c:overlap val="100"/>
        <c:axId val="10"/>
        <c:axId val="20"/>
      </c:barChart>
      <c:catAx>
        <c:axId val="10"/>
        <c:scaling>
          <c:orientation val="maxMin"/>
        </c:scaling>
        <c:delete val="0"/>
        <c:axPos val="l"/>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min val="30"/>
        </c:scaling>
        <c:delete val="0"/>
        <c:axPos val="b"/>
        <c:majorGridlines>
          <c:spPr>
            <a:ln w="6350">
              <a:solidFill>
                <a:srgbClr val="E4E3DF"/>
              </a:solidFill>
            </a:ln>
          </c:spPr>
        </c:majorGridlines>
        <c:numFmt formatCode="#,##0" sourceLinked="0"/>
        <c:majorTickMark val="none"/>
        <c:minorTickMark val="none"/>
        <c:tickLblPos val="nextTo"/>
        <c:spPr>
          <a:ln>
            <a:noFill/>
          </a:ln>
        </c:spPr>
        <c:txPr>
          <a:bodyPr/>
          <a:lstStyle/>
          <a:p>
            <a:pPr>
              <a:defRPr sz="850">
                <a:solidFill>
                  <a:srgbClr val="52514E"/>
                </a:solidFill>
              </a:defRPr>
            </a:pPr>
            <a:endParaRPr lang="es-ES"/>
          </a:p>
        </c:txPr>
        <c:crossAx val="10"/>
        <c:crosses val="max"/>
        <c:crossBetween val="between"/>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2.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Ingresos por segmento (EUR, millones)</a:t>
            </a:r>
          </a:p>
        </c:rich>
      </c:tx>
      <c:overlay val="0"/>
    </c:title>
    <c:autoTitleDeleted val="0"/>
    <c:plotArea>
      <c:layout/>
      <c:barChart>
        <c:barDir val="col"/>
        <c:grouping val="stacked"/>
        <c:varyColors val="0"/>
        <c:ser>
          <c:idx val="0"/>
          <c:order val="0"/>
          <c:tx>
            <c:strRef>
              <c:f>Hoja1!$B$1</c:f>
              <c:strCache>
                <c:ptCount val="1"/>
                <c:pt idx="0">
                  <c:v>Ferroviario</c:v>
                </c:pt>
              </c:strCache>
            </c:strRef>
          </c:tx>
          <c:spPr>
            <a:solidFill>
              <a:srgbClr val="2A78D6"/>
            </a:solidFill>
            <a:ln w="12700">
              <a:solidFill>
                <a:srgbClr val="FFFFFF"/>
              </a:solidFill>
            </a:ln>
          </c:spPr>
          <c:invertIfNegative val="0"/>
          <c:cat>
            <c:strRef>
              <c:f>Hoja1!$A$2:$A$9</c:f>
              <c:strCache>
                <c:ptCount val="8"/>
                <c:pt idx="0">
                  <c:v>2018</c:v>
                </c:pt>
                <c:pt idx="1">
                  <c:v>2019</c:v>
                </c:pt>
                <c:pt idx="2">
                  <c:v>2020</c:v>
                </c:pt>
                <c:pt idx="3">
                  <c:v>2021</c:v>
                </c:pt>
                <c:pt idx="4">
                  <c:v>2022</c:v>
                </c:pt>
                <c:pt idx="5">
                  <c:v>2023</c:v>
                </c:pt>
                <c:pt idx="6">
                  <c:v>2024</c:v>
                </c:pt>
                <c:pt idx="7">
                  <c:v>2025</c:v>
                </c:pt>
              </c:strCache>
            </c:strRef>
          </c:cat>
          <c:val>
            <c:numRef>
              <c:f>Hoja1!$B$2:$B$9</c:f>
              <c:numCache>
                <c:formatCode>#,##0</c:formatCode>
                <c:ptCount val="8"/>
                <c:pt idx="0">
                  <c:v>1887.731</c:v>
                </c:pt>
                <c:pt idx="1">
                  <c:v>1947.55</c:v>
                </c:pt>
                <c:pt idx="2">
                  <c:v>2037.174</c:v>
                </c:pt>
                <c:pt idx="3">
                  <c:v>2221.832</c:v>
                </c:pt>
                <c:pt idx="4">
                  <c:v>2469.758</c:v>
                </c:pt>
                <c:pt idx="5">
                  <c:v>3005.911</c:v>
                </c:pt>
                <c:pt idx="6">
                  <c:v>3284.68</c:v>
                </c:pt>
                <c:pt idx="7">
                  <c:v>3303.771</c:v>
                </c:pt>
              </c:numCache>
            </c:numRef>
          </c:val>
        </c:ser>
        <c:ser>
          <c:idx val="1"/>
          <c:order val="1"/>
          <c:tx>
            <c:strRef>
              <c:f>Hoja1!$C$1</c:f>
              <c:strCache>
                <c:ptCount val="1"/>
                <c:pt idx="0">
                  <c:v>Autobuses (Solaris)</c:v>
                </c:pt>
              </c:strCache>
            </c:strRef>
          </c:tx>
          <c:spPr>
            <a:solidFill>
              <a:srgbClr val="EB6834"/>
            </a:solidFill>
            <a:ln w="12700">
              <a:solidFill>
                <a:srgbClr val="FFFFFF"/>
              </a:solidFill>
            </a:ln>
          </c:spPr>
          <c:invertIfNegative val="0"/>
          <c:cat>
            <c:strRef>
              <c:f>Hoja1!$A$2:$A$9</c:f>
              <c:strCache>
                <c:ptCount val="8"/>
                <c:pt idx="0">
                  <c:v>2018</c:v>
                </c:pt>
                <c:pt idx="1">
                  <c:v>2019</c:v>
                </c:pt>
                <c:pt idx="2">
                  <c:v>2020</c:v>
                </c:pt>
                <c:pt idx="3">
                  <c:v>2021</c:v>
                </c:pt>
                <c:pt idx="4">
                  <c:v>2022</c:v>
                </c:pt>
                <c:pt idx="5">
                  <c:v>2023</c:v>
                </c:pt>
                <c:pt idx="6">
                  <c:v>2024</c:v>
                </c:pt>
                <c:pt idx="7">
                  <c:v>2025</c:v>
                </c:pt>
              </c:strCache>
            </c:strRef>
          </c:cat>
          <c:val>
            <c:numRef>
              <c:f>Hoja1!$C$2:$C$9</c:f>
              <c:numCache>
                <c:formatCode>#,##0</c:formatCode>
                <c:ptCount val="8"/>
                <c:pt idx="0">
                  <c:v>160.688</c:v>
                </c:pt>
                <c:pt idx="1">
                  <c:v>650.105</c:v>
                </c:pt>
                <c:pt idx="2">
                  <c:v>725.298</c:v>
                </c:pt>
                <c:pt idx="3">
                  <c:v>720.853</c:v>
                </c:pt>
                <c:pt idx="4">
                  <c:v>695.712</c:v>
                </c:pt>
                <c:pt idx="5">
                  <c:v>819.374</c:v>
                </c:pt>
                <c:pt idx="6">
                  <c:v>926.863</c:v>
                </c:pt>
                <c:pt idx="7">
                  <c:v>1182.763</c:v>
                </c:pt>
              </c:numCache>
            </c:numRef>
          </c:val>
        </c:ser>
        <c:gapWidth val="60"/>
        <c:overlap val="100"/>
        <c:axId val="10"/>
        <c:axId val="20"/>
      </c:bar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legend>
      <c:legendPos val="b"/>
      <c:overlay val="0"/>
      <c:txPr>
        <a:bodyPr/>
        <a:lstStyle/>
        <a:p>
          <a:pPr>
            <a:defRPr sz="850">
              <a:solidFill>
                <a:srgbClr val="52514E"/>
              </a:solidFill>
            </a:defRPr>
          </a:pPr>
          <a:endParaRPr lang="es-ES"/>
        </a:p>
      </c:txPr>
    </c:legend>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3.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Peso de cada segmento en los ingresos (2025)</a:t>
            </a:r>
          </a:p>
        </c:rich>
      </c:tx>
      <c:overlay val="0"/>
    </c:title>
    <c:autoTitleDeleted val="0"/>
    <c:plotArea>
      <c:layout/>
      <c:doughnutChart>
        <c:varyColors val="1"/>
        <c:ser>
          <c:idx val="0"/>
          <c:order val="0"/>
          <c:tx>
            <c:strRef>
              <c:f>Hoja1!$B$1</c:f>
              <c:strCache>
                <c:ptCount val="1"/>
                <c:pt idx="0">
                  <c:v>% de ingresos</c:v>
                </c:pt>
              </c:strCache>
            </c:strRef>
          </c:tx>
          <c:dPt>
            <c:idx val="0"/>
            <c:bubble3D val="0"/>
            <c:spPr>
              <a:solidFill>
                <a:srgbClr val="2A78D6"/>
              </a:solidFill>
              <a:ln w="19050">
                <a:solidFill>
                  <a:srgbClr val="FFFFFF"/>
                </a:solidFill>
              </a:ln>
            </c:spPr>
          </c:dPt>
          <c:dPt>
            <c:idx val="1"/>
            <c:bubble3D val="0"/>
            <c:spPr>
              <a:solidFill>
                <a:srgbClr val="EB6834"/>
              </a:solidFill>
              <a:ln w="19050">
                <a:solidFill>
                  <a:srgbClr val="FFFFFF"/>
                </a:solidFill>
              </a:ln>
            </c:spPr>
          </c:dPt>
          <c:dLbls>
            <c:numFmt formatCode="0.0&quot;%&quot;" sourceLinked="0"/>
            <c:spPr>
              <a:noFill/>
              <a:ln>
                <a:noFill/>
              </a:ln>
            </c:spPr>
            <c:txPr>
              <a:bodyPr/>
              <a:lstStyle/>
              <a:p>
                <a:pPr>
                  <a:defRPr sz="800">
                    <a:solidFill>
                      <a:srgbClr val="1F2A3C"/>
                    </a:solidFill>
                  </a:defRPr>
                </a:pPr>
                <a:endParaRPr lang="es-ES"/>
              </a:p>
            </c:txPr>
            <c:showLegendKey val="0"/>
            <c:showVal val="1"/>
            <c:showCatName val="0"/>
            <c:showSerName val="0"/>
            <c:showPercent val="0"/>
            <c:showBubbleSize val="0"/>
            <c:showLeaderLines val="1"/>
          </c:dLbls>
          <c:cat>
            <c:strRef>
              <c:f>Hoja1!$A$2:$A$3</c:f>
              <c:strCache>
                <c:ptCount val="2"/>
                <c:pt idx="0">
                  <c:v>Ferroviario</c:v>
                </c:pt>
                <c:pt idx="1">
                  <c:v>Autobuses (Solaris)</c:v>
                </c:pt>
              </c:strCache>
            </c:strRef>
          </c:cat>
          <c:val>
            <c:numRef>
              <c:f>Hoja1!$B$2:$B$3</c:f>
              <c:numCache>
                <c:formatCode>General</c:formatCode>
                <c:ptCount val="2"/>
                <c:pt idx="0">
                  <c:v>73.6</c:v>
                </c:pt>
                <c:pt idx="1">
                  <c:v>26.4</c:v>
                </c:pt>
              </c:numCache>
            </c:numRef>
          </c:val>
        </c:ser>
        <c:firstSliceAng val="0"/>
        <c:holeSize val="55"/>
      </c:doughnutChart>
    </c:plotArea>
    <c:legend>
      <c:legendPos val="r"/>
      <c:overlay val="0"/>
      <c:txPr>
        <a:bodyPr/>
        <a:lstStyle/>
        <a:p>
          <a:pPr>
            <a:defRPr sz="850">
              <a:solidFill>
                <a:srgbClr val="52514E"/>
              </a:solidFill>
            </a:defRPr>
          </a:pPr>
          <a:endParaRPr lang="es-ES"/>
        </a:p>
      </c:txPr>
    </c:legend>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4.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Ingresos por geografía, según destino (% del total)</a:t>
            </a:r>
          </a:p>
        </c:rich>
      </c:tx>
      <c:overlay val="0"/>
    </c:title>
    <c:autoTitleDeleted val="0"/>
    <c:plotArea>
      <c:layout/>
      <c:barChart>
        <c:barDir val="bar"/>
        <c:grouping val="clustered"/>
        <c:varyColors val="0"/>
        <c:ser>
          <c:idx val="0"/>
          <c:order val="0"/>
          <c:tx>
            <c:strRef>
              <c:f>Hoja1!$B$1</c:f>
              <c:strCache>
                <c:ptCount val="1"/>
                <c:pt idx="0">
                  <c:v>% de ingresos</c:v>
                </c:pt>
              </c:strCache>
            </c:strRef>
          </c:tx>
          <c:spPr>
            <a:solidFill>
              <a:srgbClr val="2A78D6"/>
            </a:solidFill>
            <a:ln w="9525">
              <a:noFill/>
            </a:ln>
          </c:spPr>
          <c:invertIfNegative val="0"/>
          <c:dLbls>
            <c:numFmt formatCode="0&quot;%&quot;" sourceLinked="0"/>
            <c:spPr>
              <a:noFill/>
              <a:ln>
                <a:noFill/>
              </a:ln>
            </c:spPr>
            <c:txPr>
              <a:bodyPr/>
              <a:lstStyle/>
              <a:p>
                <a:pPr>
                  <a:defRPr sz="800">
                    <a:solidFill>
                      <a:srgbClr val="52514E"/>
                    </a:solidFill>
                  </a:defRPr>
                </a:pPr>
                <a:endParaRPr lang="es-ES"/>
              </a:p>
            </c:txPr>
            <c:dLblPos val="outEnd"/>
            <c:showLegendKey val="0"/>
            <c:showVal val="1"/>
            <c:showCatName val="0"/>
            <c:showSerName val="0"/>
            <c:showPercent val="0"/>
            <c:showBubbleSize val="0"/>
          </c:dLbls>
          <c:cat>
            <c:strRef>
              <c:f>Hoja1!$A$2:$A$9</c:f>
              <c:strCache>
                <c:ptCount val="8"/>
                <c:pt idx="0">
                  <c:v>España</c:v>
                </c:pt>
                <c:pt idx="1">
                  <c:v>Italia</c:v>
                </c:pt>
                <c:pt idx="2">
                  <c:v>Francia</c:v>
                </c:pt>
                <c:pt idx="3">
                  <c:v>Países nórdicos</c:v>
                </c:pt>
                <c:pt idx="4">
                  <c:v>Alemania</c:v>
                </c:pt>
                <c:pt idx="5">
                  <c:v>Resto de Europa (Reino Unido 5,7; Polonia 5,7; Benelux 4,7; otros 6,1)</c:v>
                </c:pt>
                <c:pt idx="6">
                  <c:v>América</c:v>
                </c:pt>
                <c:pt idx="7">
                  <c:v>APAC y resto del mundo</c:v>
                </c:pt>
              </c:strCache>
            </c:strRef>
          </c:cat>
          <c:val>
            <c:numRef>
              <c:f>Hoja1!$B$2:$B$9</c:f>
              <c:numCache>
                <c:formatCode>0"%"</c:formatCode>
                <c:ptCount val="8"/>
                <c:pt idx="0">
                  <c:v>11.68</c:v>
                </c:pt>
                <c:pt idx="1">
                  <c:v>10.6</c:v>
                </c:pt>
                <c:pt idx="2">
                  <c:v>9.76</c:v>
                </c:pt>
                <c:pt idx="3">
                  <c:v>9.25</c:v>
                </c:pt>
                <c:pt idx="4">
                  <c:v>7.17</c:v>
                </c:pt>
                <c:pt idx="5">
                  <c:v>22.14</c:v>
                </c:pt>
                <c:pt idx="6">
                  <c:v>10.88</c:v>
                </c:pt>
                <c:pt idx="7">
                  <c:v>18.52</c:v>
                </c:pt>
              </c:numCache>
            </c:numRef>
          </c:val>
        </c:ser>
        <c:gapWidth val="70"/>
        <c:overlap val="-10"/>
        <c:axId val="10"/>
        <c:axId val="20"/>
      </c:barChart>
      <c:catAx>
        <c:axId val="10"/>
        <c:scaling>
          <c:orientation val="maxMin"/>
        </c:scaling>
        <c:delete val="0"/>
        <c:axPos val="l"/>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b"/>
        <c:majorGridlines>
          <c:spPr>
            <a:ln w="6350">
              <a:solidFill>
                <a:srgbClr val="E4E3DF"/>
              </a:solidFill>
            </a:ln>
          </c:spPr>
        </c:majorGridlines>
        <c:numFmt formatCode="0&quot;%&quot;" sourceLinked="0"/>
        <c:majorTickMark val="none"/>
        <c:minorTickMark val="none"/>
        <c:tickLblPos val="nextTo"/>
        <c:spPr>
          <a:ln>
            <a:noFill/>
          </a:ln>
        </c:spPr>
        <c:txPr>
          <a:bodyPr/>
          <a:lstStyle/>
          <a:p>
            <a:pPr>
              <a:defRPr sz="850">
                <a:solidFill>
                  <a:srgbClr val="52514E"/>
                </a:solidFill>
              </a:defRPr>
            </a:pPr>
            <a:endParaRPr lang="es-ES"/>
          </a:p>
        </c:txPr>
        <c:crossAx val="10"/>
        <c:crosses val="max"/>
        <c:crossBetween val="between"/>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5.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Tamaño del mercado (millones de EUR al año (media trienal del WRMS; el año es el central del trienio)) · «e» = previsión</a:t>
            </a:r>
          </a:p>
        </c:rich>
      </c:tx>
      <c:overlay val="0"/>
    </c:title>
    <c:autoTitleDeleted val="0"/>
    <c:plotArea>
      <c:layout/>
      <c:barChart>
        <c:barDir val="col"/>
        <c:grouping val="clustered"/>
        <c:varyColors val="0"/>
        <c:ser>
          <c:idx val="0"/>
          <c:order val="0"/>
          <c:tx>
            <c:strRef>
              <c:f>Hoja1!$B$1</c:f>
              <c:strCache>
                <c:ptCount val="1"/>
                <c:pt idx="0">
                  <c:v>Tamaño del mercado</c:v>
                </c:pt>
              </c:strCache>
            </c:strRef>
          </c:tx>
          <c:spPr>
            <a:solidFill>
              <a:srgbClr val="2A78D6"/>
            </a:solidFill>
            <a:ln w="9525">
              <a:noFill/>
            </a:ln>
          </c:spPr>
          <c:invertIfNegative val="0"/>
          <c:dLbls>
            <c:numFmt formatCode="#,##0" sourceLinked="0"/>
            <c:spPr>
              <a:noFill/>
              <a:ln>
                <a:noFill/>
              </a:ln>
            </c:spPr>
            <c:txPr>
              <a:bodyPr/>
              <a:lstStyle/>
              <a:p>
                <a:pPr>
                  <a:defRPr sz="800">
                    <a:solidFill>
                      <a:srgbClr val="52514E"/>
                    </a:solidFill>
                  </a:defRPr>
                </a:pPr>
                <a:endParaRPr lang="es-ES"/>
              </a:p>
            </c:txPr>
            <c:dLblPos val="outEnd"/>
            <c:showLegendKey val="0"/>
            <c:showVal val="1"/>
            <c:showCatName val="0"/>
            <c:showSerName val="0"/>
            <c:showPercent val="0"/>
            <c:showBubbleSize val="0"/>
          </c:dLbls>
          <c:cat>
            <c:strRef>
              <c:f>Hoja1!$A$2:$A$5</c:f>
              <c:strCache>
                <c:ptCount val="4"/>
                <c:pt idx="0">
                  <c:v>2020</c:v>
                </c:pt>
                <c:pt idx="1">
                  <c:v>2022</c:v>
                </c:pt>
                <c:pt idx="2">
                  <c:v>2024</c:v>
                </c:pt>
                <c:pt idx="3">
                  <c:v>2030e</c:v>
                </c:pt>
              </c:strCache>
            </c:strRef>
          </c:cat>
          <c:val>
            <c:numRef>
              <c:f>Hoja1!$B$2:$B$5</c:f>
              <c:numCache>
                <c:formatCode>#,##0</c:formatCode>
                <c:ptCount val="4"/>
                <c:pt idx="0">
                  <c:v>176500</c:v>
                </c:pt>
                <c:pt idx="1">
                  <c:v>201800</c:v>
                </c:pt>
                <c:pt idx="2">
                  <c:v>220600</c:v>
                </c:pt>
                <c:pt idx="3">
                  <c:v>267000</c:v>
                </c:pt>
              </c:numCache>
            </c:numRef>
          </c:val>
        </c:ser>
        <c:gapWidth val="70"/>
        <c:overlap val="-10"/>
        <c:axId val="10"/>
        <c:axId val="20"/>
      </c:bar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6.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Cinco fuerzas: intensidad (1 = favorable, 5 = desfavorable)</a:t>
            </a:r>
          </a:p>
        </c:rich>
      </c:tx>
      <c:overlay val="0"/>
    </c:title>
    <c:autoTitleDeleted val="0"/>
    <c:plotArea>
      <c:layout/>
      <c:radarChart>
        <c:radarStyle val="marker"/>
        <c:varyColors val="0"/>
        <c:ser>
          <c:idx val="0"/>
          <c:order val="0"/>
          <c:tx>
            <c:strRef>
              <c:f>Hoja1!$B$1</c:f>
              <c:strCache>
                <c:ptCount val="1"/>
                <c:pt idx="0">
                  <c:v>Intensidad</c:v>
                </c:pt>
              </c:strCache>
            </c:strRef>
          </c:tx>
          <c:spPr>
            <a:ln w="25400">
              <a:solidFill>
                <a:srgbClr val="2A78D6"/>
              </a:solidFill>
            </a:ln>
          </c:spPr>
          <c:marker>
            <c:symbol val="circle"/>
            <c:size val="6"/>
            <c:spPr>
              <a:solidFill>
                <a:srgbClr val="2A78D6"/>
              </a:solidFill>
            </c:spPr>
          </c:marker>
          <c:cat>
            <c:strRef>
              <c:f>Hoja1!$A$2:$A$6</c:f>
              <c:strCache>
                <c:ptCount val="5"/>
                <c:pt idx="0">
                  <c:v>Rivalidad</c:v>
                </c:pt>
                <c:pt idx="1">
                  <c:v>Poder de los clientes</c:v>
                </c:pt>
                <c:pt idx="2">
                  <c:v>Poder de los proveedores</c:v>
                </c:pt>
                <c:pt idx="3">
                  <c:v>Amenaza de entrada</c:v>
                </c:pt>
                <c:pt idx="4">
                  <c:v>Amenaza de sustitutos</c:v>
                </c:pt>
              </c:strCache>
            </c:strRef>
          </c:cat>
          <c:val>
            <c:numRef>
              <c:f>Hoja1!$B$2:$B$6</c:f>
              <c:numCache>
                <c:formatCode>General</c:formatCode>
                <c:ptCount val="5"/>
                <c:pt idx="0">
                  <c:v>4</c:v>
                </c:pt>
                <c:pt idx="1">
                  <c:v>4</c:v>
                </c:pt>
                <c:pt idx="2">
                  <c:v>3</c:v>
                </c:pt>
                <c:pt idx="3">
                  <c:v>3</c:v>
                </c:pt>
                <c:pt idx="4">
                  <c:v>2</c:v>
                </c:pt>
              </c:numCache>
            </c:numRef>
          </c:val>
        </c:ser>
        <c:axId val="10"/>
        <c:axId val="20"/>
      </c:radarChart>
      <c:catAx>
        <c:axId val="10"/>
        <c:scaling>
          <c:orientation val="minMax"/>
        </c:scaling>
        <c:delete val="0"/>
        <c:axPos val="b"/>
        <c:majorGridlines>
          <c:spPr>
            <a:ln w="6350">
              <a:solidFill>
                <a:srgbClr val="E4E3DF"/>
              </a:solidFill>
            </a:ln>
          </c:spPr>
        </c:majorGridlines>
        <c:numFmt formatCode="General" sourceLinked="0"/>
        <c:majorTickMark val="none"/>
        <c:minorTickMark val="none"/>
        <c:tickLblPos val="nextTo"/>
        <c:spPr>
          <a:ln w="6350">
            <a:solidFill>
              <a:srgbClr val="E4E3DF"/>
            </a:solidFill>
          </a:ln>
        </c:spPr>
        <c:txPr>
          <a:bodyPr/>
          <a:lstStyle/>
          <a:p>
            <a:pPr>
              <a:defRPr sz="850">
                <a:solidFill>
                  <a:srgbClr val="1F2A3C"/>
                </a:solidFill>
              </a:defRPr>
            </a:pPr>
            <a:endParaRPr lang="es-ES"/>
          </a:p>
        </c:txPr>
        <c:crossAx val="20"/>
        <c:crosses val="autoZero"/>
        <c:auto val="1"/>
        <c:lblAlgn val="ctr"/>
        <c:lblOffset val="100"/>
        <c:noMultiLvlLbl val="0"/>
      </c:catAx>
      <c:valAx>
        <c:axId val="20"/>
        <c:scaling>
          <c:orientation val="minMax"/>
          <c:max val="5"/>
          <c:min val="0"/>
        </c:scaling>
        <c:delete val="0"/>
        <c:axPos val="l"/>
        <c:majorGridlines>
          <c:spPr>
            <a:ln w="6350">
              <a:solidFill>
                <a:srgbClr val="E4E3DF"/>
              </a:solidFill>
            </a:ln>
          </c:spPr>
        </c:majorGridlines>
        <c:numFmt formatCode="0" sourceLinked="0"/>
        <c:majorTickMark val="none"/>
        <c:minorTickMark val="none"/>
        <c:tickLblPos val="nextTo"/>
        <c:spPr>
          <a:ln>
            <a:noFill/>
          </a:ln>
        </c:spPr>
        <c:txPr>
          <a:bodyPr/>
          <a:lstStyle/>
          <a:p>
            <a:pPr>
              <a:defRPr sz="750">
                <a:solidFill>
                  <a:srgbClr val="52514E"/>
                </a:solidFill>
              </a:defRPr>
            </a:pPr>
            <a:endParaRPr lang="es-ES"/>
          </a:p>
        </c:txPr>
        <c:crossAx val="10"/>
        <c:crosses val="autoZero"/>
        <c:crossBetween val="between"/>
        <c:majorUnit val="1"/>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7.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Margen EBIT: la empresa frente a sus competidores (%)</a:t>
            </a:r>
          </a:p>
        </c:rich>
      </c:tx>
      <c:overlay val="0"/>
    </c:title>
    <c:autoTitleDeleted val="0"/>
    <c:plotArea>
      <c:layout/>
      <c:barChart>
        <c:barDir val="bar"/>
        <c:grouping val="clustered"/>
        <c:varyColors val="0"/>
        <c:ser>
          <c:idx val="0"/>
          <c:order val="0"/>
          <c:tx>
            <c:strRef>
              <c:f>Hoja1!$B$1</c:f>
              <c:strCache>
                <c:ptCount val="1"/>
                <c:pt idx="0">
                  <c:v>Margen EBIT</c:v>
                </c:pt>
              </c:strCache>
            </c:strRef>
          </c:tx>
          <c:spPr>
            <a:solidFill>
              <a:srgbClr val="2A78D6"/>
            </a:solidFill>
            <a:ln w="9525">
              <a:noFill/>
            </a:ln>
          </c:spPr>
          <c:invertIfNegative val="0"/>
          <c:dPt>
            <c:idx val="1"/>
            <c:invertIfNegative val="0"/>
            <c:bubble3D val="0"/>
            <c:spPr>
              <a:solidFill>
                <a:srgbClr val="C9C8C2"/>
              </a:solidFill>
            </c:spPr>
          </c:dPt>
          <c:dPt>
            <c:idx val="2"/>
            <c:invertIfNegative val="0"/>
            <c:bubble3D val="0"/>
            <c:spPr>
              <a:solidFill>
                <a:srgbClr val="C9C8C2"/>
              </a:solidFill>
            </c:spPr>
          </c:dPt>
          <c:dPt>
            <c:idx val="3"/>
            <c:invertIfNegative val="0"/>
            <c:bubble3D val="0"/>
            <c:spPr>
              <a:solidFill>
                <a:srgbClr val="C9C8C2"/>
              </a:solidFill>
            </c:spPr>
          </c:dPt>
          <c:dPt>
            <c:idx val="4"/>
            <c:invertIfNegative val="0"/>
            <c:bubble3D val="0"/>
            <c:spPr>
              <a:solidFill>
                <a:srgbClr val="C9C8C2"/>
              </a:solidFill>
            </c:spPr>
          </c:dPt>
          <c:dPt>
            <c:idx val="5"/>
            <c:invertIfNegative val="0"/>
            <c:bubble3D val="0"/>
            <c:spPr>
              <a:solidFill>
                <a:srgbClr val="C9C8C2"/>
              </a:solidFill>
            </c:spPr>
          </c:dPt>
          <c:dPt>
            <c:idx val="6"/>
            <c:invertIfNegative val="0"/>
            <c:bubble3D val="0"/>
            <c:spPr>
              <a:solidFill>
                <a:srgbClr val="C9C8C2"/>
              </a:solidFill>
            </c:spPr>
          </c:dPt>
          <c:dPt>
            <c:idx val="7"/>
            <c:invertIfNegative val="0"/>
            <c:bubble3D val="0"/>
            <c:spPr>
              <a:solidFill>
                <a:srgbClr val="C9C8C2"/>
              </a:solidFill>
            </c:spPr>
          </c:dPt>
          <c:dPt>
            <c:idx val="8"/>
            <c:invertIfNegative val="0"/>
            <c:bubble3D val="0"/>
            <c:spPr>
              <a:solidFill>
                <a:srgbClr val="C9C8C2"/>
              </a:solidFill>
            </c:spPr>
          </c:dPt>
          <c:dLbls>
            <c:numFmt formatCode="0.0&quot;%&quot;" sourceLinked="0"/>
            <c:spPr>
              <a:noFill/>
              <a:ln>
                <a:noFill/>
              </a:ln>
            </c:spPr>
            <c:txPr>
              <a:bodyPr/>
              <a:lstStyle/>
              <a:p>
                <a:pPr>
                  <a:defRPr sz="800">
                    <a:solidFill>
                      <a:srgbClr val="52514E"/>
                    </a:solidFill>
                  </a:defRPr>
                </a:pPr>
                <a:endParaRPr lang="es-ES"/>
              </a:p>
            </c:txPr>
            <c:dLblPos val="outEnd"/>
            <c:showLegendKey val="0"/>
            <c:showVal val="1"/>
            <c:showCatName val="0"/>
            <c:showSerName val="0"/>
            <c:showPercent val="0"/>
            <c:showBubbleSize val="0"/>
          </c:dLbls>
          <c:cat>
            <c:strRef>
              <c:f>Hoja1!$A$2:$A$10</c:f>
              <c:strCache>
                <c:ptCount val="9"/>
                <c:pt idx="0">
                  <c:v>CAF</c:v>
                </c:pt>
                <c:pt idx="1">
                  <c:v>Alstom</c:v>
                </c:pt>
                <c:pt idx="2">
                  <c:v>Siemens Mobility</c:v>
                </c:pt>
                <c:pt idx="3">
                  <c:v>Hitachi Rail</c:v>
                </c:pt>
                <c:pt idx="4">
                  <c:v>Stadler Rail</c:v>
                </c:pt>
                <c:pt idx="5">
                  <c:v>Talgo</c:v>
                </c:pt>
                <c:pt idx="6">
                  <c:v>Daimler Buses (Mercedes-Benz, Setra)</c:v>
                </c:pt>
                <c:pt idx="7">
                  <c:v>Volvo Buses</c:v>
                </c:pt>
                <c:pt idx="8">
                  <c:v>Yutong Bus</c:v>
                </c:pt>
              </c:strCache>
            </c:strRef>
          </c:cat>
          <c:val>
            <c:numRef>
              <c:f>Hoja1!$B$2:$B$10</c:f>
              <c:numCache>
                <c:formatCode>0.0"%"</c:formatCode>
                <c:ptCount val="9"/>
                <c:pt idx="0">
                  <c:v>5.5</c:v>
                </c:pt>
                <c:pt idx="1">
                  <c:v>6.1</c:v>
                </c:pt>
                <c:pt idx="2">
                  <c:v>8.8</c:v>
                </c:pt>
                <c:pt idx="3">
                  <c:v>8.2</c:v>
                </c:pt>
                <c:pt idx="4">
                  <c:v>4.4</c:v>
                </c:pt>
                <c:pt idx="6">
                  <c:v>10</c:v>
                </c:pt>
                <c:pt idx="7">
                  <c:v>8.7</c:v>
                </c:pt>
              </c:numCache>
            </c:numRef>
          </c:val>
        </c:ser>
        <c:gapWidth val="70"/>
        <c:overlap val="-10"/>
        <c:axId val="10"/>
        <c:axId val="20"/>
      </c:barChart>
      <c:catAx>
        <c:axId val="10"/>
        <c:scaling>
          <c:orientation val="maxMin"/>
        </c:scaling>
        <c:delete val="0"/>
        <c:axPos val="l"/>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b"/>
        <c:majorGridlines>
          <c:spPr>
            <a:ln w="6350">
              <a:solidFill>
                <a:srgbClr val="E4E3DF"/>
              </a:solidFill>
            </a:ln>
          </c:spPr>
        </c:majorGridlines>
        <c:numFmt formatCode="0.0&quot;%&quot;" sourceLinked="0"/>
        <c:majorTickMark val="none"/>
        <c:minorTickMark val="none"/>
        <c:tickLblPos val="nextTo"/>
        <c:spPr>
          <a:ln>
            <a:noFill/>
          </a:ln>
        </c:spPr>
        <c:txPr>
          <a:bodyPr/>
          <a:lstStyle/>
          <a:p>
            <a:pPr>
              <a:defRPr sz="850">
                <a:solidFill>
                  <a:srgbClr val="52514E"/>
                </a:solidFill>
              </a:defRPr>
            </a:pPr>
            <a:endParaRPr lang="es-ES"/>
          </a:p>
        </c:txPr>
        <c:crossAx val="10"/>
        <c:crosses val="max"/>
        <c:crossBetween val="between"/>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8.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Fuentes de ventaja competitiva (0 = inexistente, 5 = muy fuerte)</a:t>
            </a:r>
          </a:p>
        </c:rich>
      </c:tx>
      <c:overlay val="0"/>
    </c:title>
    <c:autoTitleDeleted val="0"/>
    <c:plotArea>
      <c:layout/>
      <c:barChart>
        <c:barDir val="bar"/>
        <c:grouping val="clustered"/>
        <c:varyColors val="0"/>
        <c:ser>
          <c:idx val="0"/>
          <c:order val="0"/>
          <c:tx>
            <c:strRef>
              <c:f>Hoja1!$B$1</c:f>
              <c:strCache>
                <c:ptCount val="1"/>
                <c:pt idx="0">
                  <c:v>Puntuación</c:v>
                </c:pt>
              </c:strCache>
            </c:strRef>
          </c:tx>
          <c:spPr>
            <a:solidFill>
              <a:srgbClr val="2A78D6"/>
            </a:solidFill>
            <a:ln w="9525">
              <a:noFill/>
            </a:ln>
          </c:spPr>
          <c:invertIfNegative val="0"/>
          <c:dLbls>
            <c:numFmt formatCode="0" sourceLinked="0"/>
            <c:spPr>
              <a:noFill/>
              <a:ln>
                <a:noFill/>
              </a:ln>
            </c:spPr>
            <c:txPr>
              <a:bodyPr/>
              <a:lstStyle/>
              <a:p>
                <a:pPr>
                  <a:defRPr sz="800">
                    <a:solidFill>
                      <a:srgbClr val="52514E"/>
                    </a:solidFill>
                  </a:defRPr>
                </a:pPr>
                <a:endParaRPr lang="es-ES"/>
              </a:p>
            </c:txPr>
            <c:dLblPos val="outEnd"/>
            <c:showLegendKey val="0"/>
            <c:showVal val="1"/>
            <c:showCatName val="0"/>
            <c:showSerName val="0"/>
            <c:showPercent val="0"/>
            <c:showBubbleSize val="0"/>
          </c:dLbls>
          <c:cat>
            <c:strRef>
              <c:f>Hoja1!$A$2:$A$6</c:f>
              <c:strCache>
                <c:ptCount val="5"/>
                <c:pt idx="0">
                  <c:v>Efectos de red</c:v>
                </c:pt>
                <c:pt idx="1">
                  <c:v>Costes de cambio</c:v>
                </c:pt>
                <c:pt idx="2">
                  <c:v>Intangibles (marca, patentes, licencias)</c:v>
                </c:pt>
                <c:pt idx="3">
                  <c:v>Ventaja en costes</c:v>
                </c:pt>
                <c:pt idx="4">
                  <c:v>Escala eficiente</c:v>
                </c:pt>
              </c:strCache>
            </c:strRef>
          </c:cat>
          <c:val>
            <c:numRef>
              <c:f>Hoja1!$B$2:$B$6</c:f>
              <c:numCache>
                <c:formatCode>0</c:formatCode>
                <c:ptCount val="5"/>
                <c:pt idx="0">
                  <c:v>1</c:v>
                </c:pt>
                <c:pt idx="1">
                  <c:v>3</c:v>
                </c:pt>
                <c:pt idx="2">
                  <c:v>3</c:v>
                </c:pt>
                <c:pt idx="3">
                  <c:v>2</c:v>
                </c:pt>
                <c:pt idx="4">
                  <c:v>2</c:v>
                </c:pt>
              </c:numCache>
            </c:numRef>
          </c:val>
        </c:ser>
        <c:gapWidth val="70"/>
        <c:overlap val="-10"/>
        <c:axId val="10"/>
        <c:axId val="20"/>
      </c:barChart>
      <c:catAx>
        <c:axId val="10"/>
        <c:scaling>
          <c:orientation val="maxMin"/>
        </c:scaling>
        <c:delete val="0"/>
        <c:axPos val="l"/>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max val="5"/>
          <c:min val="0"/>
        </c:scaling>
        <c:delete val="0"/>
        <c:axPos val="b"/>
        <c:majorGridlines>
          <c:spPr>
            <a:ln w="6350">
              <a:solidFill>
                <a:srgbClr val="E4E3DF"/>
              </a:solidFill>
            </a:ln>
          </c:spPr>
        </c:majorGridlines>
        <c:numFmt formatCode="0" sourceLinked="0"/>
        <c:majorTickMark val="none"/>
        <c:minorTickMark val="none"/>
        <c:tickLblPos val="nextTo"/>
        <c:spPr>
          <a:ln>
            <a:noFill/>
          </a:ln>
        </c:spPr>
        <c:txPr>
          <a:bodyPr/>
          <a:lstStyle/>
          <a:p>
            <a:pPr>
              <a:defRPr sz="850">
                <a:solidFill>
                  <a:srgbClr val="52514E"/>
                </a:solidFill>
              </a:defRPr>
            </a:pPr>
            <a:endParaRPr lang="es-ES"/>
          </a:p>
        </c:txPr>
        <c:crossAx val="10"/>
        <c:crosses val="max"/>
        <c:crossBetween val="between"/>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9.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Ingresos y EBITDA (EUR, millones) · «e» = proyección propia del DCF</a:t>
            </a:r>
          </a:p>
        </c:rich>
      </c:tx>
      <c:overlay val="0"/>
    </c:title>
    <c:autoTitleDeleted val="0"/>
    <c:plotArea>
      <c:layout/>
      <c:barChart>
        <c:barDir val="col"/>
        <c:grouping val="clustered"/>
        <c:varyColors val="0"/>
        <c:ser>
          <c:idx val="0"/>
          <c:order val="0"/>
          <c:tx>
            <c:strRef>
              <c:f>Hoja1!$B$1</c:f>
              <c:strCache>
                <c:ptCount val="1"/>
                <c:pt idx="0">
                  <c:v>Ingresos</c:v>
                </c:pt>
              </c:strCache>
            </c:strRef>
          </c:tx>
          <c:spPr>
            <a:solidFill>
              <a:srgbClr val="2A78D6"/>
            </a:solidFill>
            <a:ln w="9525">
              <a:noFill/>
            </a:ln>
          </c:spPr>
          <c:invertIfNegative val="0"/>
          <c:cat>
            <c:strRef>
              <c:f>Hoja1!$A$2:$A$19</c:f>
              <c:strCache>
                <c:ptCount val="18"/>
                <c:pt idx="0">
                  <c:v>2018</c:v>
                </c:pt>
                <c:pt idx="1">
                  <c:v>2019</c:v>
                </c:pt>
                <c:pt idx="2">
                  <c:v>2020</c:v>
                </c:pt>
                <c:pt idx="3">
                  <c:v>2021</c:v>
                </c:pt>
                <c:pt idx="4">
                  <c:v>2022</c:v>
                </c:pt>
                <c:pt idx="5">
                  <c:v>2023</c:v>
                </c:pt>
                <c:pt idx="6">
                  <c:v>2024</c:v>
                </c:pt>
                <c:pt idx="7">
                  <c:v>2025</c:v>
                </c:pt>
                <c:pt idx="8">
                  <c:v>2026e</c:v>
                </c:pt>
                <c:pt idx="9">
                  <c:v>2027e</c:v>
                </c:pt>
                <c:pt idx="10">
                  <c:v>2028e</c:v>
                </c:pt>
                <c:pt idx="11">
                  <c:v>2029e</c:v>
                </c:pt>
                <c:pt idx="12">
                  <c:v>2030e</c:v>
                </c:pt>
                <c:pt idx="13">
                  <c:v>2031e</c:v>
                </c:pt>
                <c:pt idx="14">
                  <c:v>2032e</c:v>
                </c:pt>
                <c:pt idx="15">
                  <c:v>2033e</c:v>
                </c:pt>
                <c:pt idx="16">
                  <c:v>2034e</c:v>
                </c:pt>
                <c:pt idx="17">
                  <c:v>2035e</c:v>
                </c:pt>
              </c:strCache>
            </c:strRef>
          </c:cat>
          <c:val>
            <c:numRef>
              <c:f>Hoja1!$B$2:$B$19</c:f>
              <c:numCache>
                <c:formatCode>#,##0</c:formatCode>
                <c:ptCount val="18"/>
                <c:pt idx="0">
                  <c:v>2048.419</c:v>
                </c:pt>
                <c:pt idx="1">
                  <c:v>2597.655</c:v>
                </c:pt>
                <c:pt idx="2">
                  <c:v>2762.472</c:v>
                </c:pt>
                <c:pt idx="3">
                  <c:v>2942.685</c:v>
                </c:pt>
                <c:pt idx="4">
                  <c:v>3165.47</c:v>
                </c:pt>
                <c:pt idx="5">
                  <c:v>3825.285</c:v>
                </c:pt>
                <c:pt idx="6">
                  <c:v>4211.543</c:v>
                </c:pt>
                <c:pt idx="7">
                  <c:v>4486.534</c:v>
                </c:pt>
                <c:pt idx="8">
                  <c:v>4935</c:v>
                </c:pt>
                <c:pt idx="9">
                  <c:v>5305</c:v>
                </c:pt>
                <c:pt idx="10">
                  <c:v>5677</c:v>
                </c:pt>
                <c:pt idx="11">
                  <c:v>5989</c:v>
                </c:pt>
                <c:pt idx="12">
                  <c:v>6258</c:v>
                </c:pt>
                <c:pt idx="13">
                  <c:v>6509</c:v>
                </c:pt>
                <c:pt idx="14">
                  <c:v>6737</c:v>
                </c:pt>
                <c:pt idx="15">
                  <c:v>6939</c:v>
                </c:pt>
                <c:pt idx="16">
                  <c:v>7112</c:v>
                </c:pt>
                <c:pt idx="17">
                  <c:v>7290</c:v>
                </c:pt>
              </c:numCache>
            </c:numRef>
          </c:val>
        </c:ser>
        <c:ser>
          <c:idx val="1"/>
          <c:order val="1"/>
          <c:tx>
            <c:strRef>
              <c:f>Hoja1!$C$1</c:f>
              <c:strCache>
                <c:ptCount val="1"/>
                <c:pt idx="0">
                  <c:v>EBITDA</c:v>
                </c:pt>
              </c:strCache>
            </c:strRef>
          </c:tx>
          <c:spPr>
            <a:solidFill>
              <a:srgbClr val="EB6834"/>
            </a:solidFill>
            <a:ln w="9525">
              <a:noFill/>
            </a:ln>
          </c:spPr>
          <c:invertIfNegative val="0"/>
          <c:cat>
            <c:strRef>
              <c:f>Hoja1!$A$2:$A$19</c:f>
              <c:strCache>
                <c:ptCount val="18"/>
                <c:pt idx="0">
                  <c:v>2018</c:v>
                </c:pt>
                <c:pt idx="1">
                  <c:v>2019</c:v>
                </c:pt>
                <c:pt idx="2">
                  <c:v>2020</c:v>
                </c:pt>
                <c:pt idx="3">
                  <c:v>2021</c:v>
                </c:pt>
                <c:pt idx="4">
                  <c:v>2022</c:v>
                </c:pt>
                <c:pt idx="5">
                  <c:v>2023</c:v>
                </c:pt>
                <c:pt idx="6">
                  <c:v>2024</c:v>
                </c:pt>
                <c:pt idx="7">
                  <c:v>2025</c:v>
                </c:pt>
                <c:pt idx="8">
                  <c:v>2026e</c:v>
                </c:pt>
                <c:pt idx="9">
                  <c:v>2027e</c:v>
                </c:pt>
                <c:pt idx="10">
                  <c:v>2028e</c:v>
                </c:pt>
                <c:pt idx="11">
                  <c:v>2029e</c:v>
                </c:pt>
                <c:pt idx="12">
                  <c:v>2030e</c:v>
                </c:pt>
                <c:pt idx="13">
                  <c:v>2031e</c:v>
                </c:pt>
                <c:pt idx="14">
                  <c:v>2032e</c:v>
                </c:pt>
                <c:pt idx="15">
                  <c:v>2033e</c:v>
                </c:pt>
                <c:pt idx="16">
                  <c:v>2034e</c:v>
                </c:pt>
                <c:pt idx="17">
                  <c:v>2035e</c:v>
                </c:pt>
              </c:strCache>
            </c:strRef>
          </c:cat>
          <c:val>
            <c:numRef>
              <c:f>Hoja1!$C$2:$C$19</c:f>
              <c:numCache>
                <c:formatCode>#,##0</c:formatCode>
                <c:ptCount val="18"/>
                <c:pt idx="0">
                  <c:v>201.478</c:v>
                </c:pt>
                <c:pt idx="1">
                  <c:v>205.826</c:v>
                </c:pt>
                <c:pt idx="2">
                  <c:v>201.49</c:v>
                </c:pt>
                <c:pt idx="3">
                  <c:v>254.804</c:v>
                </c:pt>
                <c:pt idx="4">
                  <c:v>232.181</c:v>
                </c:pt>
                <c:pt idx="5">
                  <c:v>285.675</c:v>
                </c:pt>
                <c:pt idx="6">
                  <c:v>324.987</c:v>
                </c:pt>
                <c:pt idx="7">
                  <c:v>349.524</c:v>
                </c:pt>
                <c:pt idx="8">
                  <c:v>415</c:v>
                </c:pt>
                <c:pt idx="9">
                  <c:v>446</c:v>
                </c:pt>
                <c:pt idx="10">
                  <c:v>477</c:v>
                </c:pt>
                <c:pt idx="11">
                  <c:v>503</c:v>
                </c:pt>
                <c:pt idx="12">
                  <c:v>526</c:v>
                </c:pt>
                <c:pt idx="13">
                  <c:v>547</c:v>
                </c:pt>
                <c:pt idx="14">
                  <c:v>566</c:v>
                </c:pt>
                <c:pt idx="15">
                  <c:v>583</c:v>
                </c:pt>
                <c:pt idx="16">
                  <c:v>597</c:v>
                </c:pt>
                <c:pt idx="17">
                  <c:v>612</c:v>
                </c:pt>
              </c:numCache>
            </c:numRef>
          </c:val>
        </c:ser>
        <c:gapWidth val="70"/>
        <c:overlap val="-10"/>
        <c:axId val="10"/>
        <c:axId val="20"/>
      </c:bar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legend>
      <c:legendPos val="b"/>
      <c:overlay val="0"/>
      <c:txPr>
        <a:bodyPr/>
        <a:lstStyle/>
        <a:p>
          <a:pPr>
            <a:defRPr sz="850">
              <a:solidFill>
                <a:srgbClr val="52514E"/>
              </a:solidFill>
            </a:defRPr>
          </a:pPr>
          <a:endParaRPr lang="es-ES"/>
        </a:p>
      </c:txPr>
    </c:legend>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10.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Márgenes (% de ingresos)</a:t>
            </a:r>
          </a:p>
        </c:rich>
      </c:tx>
      <c:overlay val="0"/>
    </c:title>
    <c:autoTitleDeleted val="0"/>
    <c:plotArea>
      <c:layout/>
      <c:lineChart>
        <c:grouping val="standard"/>
        <c:varyColors val="0"/>
        <c:ser>
          <c:idx val="0"/>
          <c:order val="0"/>
          <c:tx>
            <c:strRef>
              <c:f>Hoja1!$B$1</c:f>
              <c:strCache>
                <c:ptCount val="1"/>
                <c:pt idx="0">
                  <c:v>Bruto</c:v>
                </c:pt>
              </c:strCache>
            </c:strRef>
          </c:tx>
          <c:spPr>
            <a:ln w="25400" cap="rnd">
              <a:solidFill>
                <a:srgbClr val="2A78D6"/>
              </a:solidFill>
              <a:round/>
            </a:ln>
          </c:spPr>
          <c:marker>
            <c:symbol val="circle"/>
            <c:size val="6"/>
            <c:spPr>
              <a:solidFill>
                <a:srgbClr val="2A78D6"/>
              </a:solidFill>
              <a:ln w="9525">
                <a:solidFill>
                  <a:srgbClr val="FFFFFF"/>
                </a:solidFill>
              </a:ln>
            </c:spPr>
          </c:marker>
          <c:cat>
            <c:strRef>
              <c:f>Hoja1!$A$2:$A$9</c:f>
              <c:strCache>
                <c:ptCount val="8"/>
                <c:pt idx="0">
                  <c:v>2018</c:v>
                </c:pt>
                <c:pt idx="1">
                  <c:v>2019</c:v>
                </c:pt>
                <c:pt idx="2">
                  <c:v>2020</c:v>
                </c:pt>
                <c:pt idx="3">
                  <c:v>2021</c:v>
                </c:pt>
                <c:pt idx="4">
                  <c:v>2022</c:v>
                </c:pt>
                <c:pt idx="5">
                  <c:v>2023</c:v>
                </c:pt>
                <c:pt idx="6">
                  <c:v>2024</c:v>
                </c:pt>
                <c:pt idx="7">
                  <c:v>2025</c:v>
                </c:pt>
              </c:strCache>
            </c:strRef>
          </c:cat>
          <c:val>
            <c:numRef>
              <c:f>Hoja1!$B$2:$B$9</c:f>
              <c:numCache>
                <c:formatCode>0"%"</c:formatCode>
                <c:ptCount val="8"/>
                <c:pt idx="0">
                  <c:v>50.4</c:v>
                </c:pt>
                <c:pt idx="1">
                  <c:v>47.2</c:v>
                </c:pt>
                <c:pt idx="2">
                  <c:v>45</c:v>
                </c:pt>
                <c:pt idx="3">
                  <c:v>46</c:v>
                </c:pt>
                <c:pt idx="4">
                  <c:v>45.3</c:v>
                </c:pt>
                <c:pt idx="5">
                  <c:v>43.1</c:v>
                </c:pt>
                <c:pt idx="6">
                  <c:v>45.2</c:v>
                </c:pt>
                <c:pt idx="7">
                  <c:v>46.7</c:v>
                </c:pt>
              </c:numCache>
            </c:numRef>
          </c:val>
          <c:smooth val="0"/>
        </c:ser>
        <c:ser>
          <c:idx val="1"/>
          <c:order val="1"/>
          <c:tx>
            <c:strRef>
              <c:f>Hoja1!$C$1</c:f>
              <c:strCache>
                <c:ptCount val="1"/>
                <c:pt idx="0">
                  <c:v>EBITDA</c:v>
                </c:pt>
              </c:strCache>
            </c:strRef>
          </c:tx>
          <c:spPr>
            <a:ln w="25400" cap="rnd">
              <a:solidFill>
                <a:srgbClr val="EB6834"/>
              </a:solidFill>
              <a:round/>
            </a:ln>
          </c:spPr>
          <c:marker>
            <c:symbol val="circle"/>
            <c:size val="6"/>
            <c:spPr>
              <a:solidFill>
                <a:srgbClr val="EB6834"/>
              </a:solidFill>
              <a:ln w="9525">
                <a:solidFill>
                  <a:srgbClr val="FFFFFF"/>
                </a:solidFill>
              </a:ln>
            </c:spPr>
          </c:marker>
          <c:cat>
            <c:strRef>
              <c:f>Hoja1!$A$2:$A$9</c:f>
              <c:strCache>
                <c:ptCount val="8"/>
                <c:pt idx="0">
                  <c:v>2018</c:v>
                </c:pt>
                <c:pt idx="1">
                  <c:v>2019</c:v>
                </c:pt>
                <c:pt idx="2">
                  <c:v>2020</c:v>
                </c:pt>
                <c:pt idx="3">
                  <c:v>2021</c:v>
                </c:pt>
                <c:pt idx="4">
                  <c:v>2022</c:v>
                </c:pt>
                <c:pt idx="5">
                  <c:v>2023</c:v>
                </c:pt>
                <c:pt idx="6">
                  <c:v>2024</c:v>
                </c:pt>
                <c:pt idx="7">
                  <c:v>2025</c:v>
                </c:pt>
              </c:strCache>
            </c:strRef>
          </c:cat>
          <c:val>
            <c:numRef>
              <c:f>Hoja1!$C$2:$C$9</c:f>
              <c:numCache>
                <c:formatCode>0"%"</c:formatCode>
                <c:ptCount val="8"/>
                <c:pt idx="0">
                  <c:v>9.8</c:v>
                </c:pt>
                <c:pt idx="1">
                  <c:v>7.9</c:v>
                </c:pt>
                <c:pt idx="2">
                  <c:v>7.3</c:v>
                </c:pt>
                <c:pt idx="3">
                  <c:v>8.7</c:v>
                </c:pt>
                <c:pt idx="4">
                  <c:v>7.3</c:v>
                </c:pt>
                <c:pt idx="5">
                  <c:v>7.5</c:v>
                </c:pt>
                <c:pt idx="6">
                  <c:v>7.7</c:v>
                </c:pt>
                <c:pt idx="7">
                  <c:v>7.8</c:v>
                </c:pt>
              </c:numCache>
            </c:numRef>
          </c:val>
          <c:smooth val="0"/>
        </c:ser>
        <c:ser>
          <c:idx val="2"/>
          <c:order val="2"/>
          <c:tx>
            <c:strRef>
              <c:f>Hoja1!$D$1</c:f>
              <c:strCache>
                <c:ptCount val="1"/>
                <c:pt idx="0">
                  <c:v>EBIT</c:v>
                </c:pt>
              </c:strCache>
            </c:strRef>
          </c:tx>
          <c:spPr>
            <a:ln w="25400" cap="rnd">
              <a:solidFill>
                <a:srgbClr val="1BAF7A"/>
              </a:solidFill>
              <a:round/>
            </a:ln>
          </c:spPr>
          <c:marker>
            <c:symbol val="circle"/>
            <c:size val="6"/>
            <c:spPr>
              <a:solidFill>
                <a:srgbClr val="1BAF7A"/>
              </a:solidFill>
              <a:ln w="9525">
                <a:solidFill>
                  <a:srgbClr val="FFFFFF"/>
                </a:solidFill>
              </a:ln>
            </c:spPr>
          </c:marker>
          <c:cat>
            <c:strRef>
              <c:f>Hoja1!$A$2:$A$9</c:f>
              <c:strCache>
                <c:ptCount val="8"/>
                <c:pt idx="0">
                  <c:v>2018</c:v>
                </c:pt>
                <c:pt idx="1">
                  <c:v>2019</c:v>
                </c:pt>
                <c:pt idx="2">
                  <c:v>2020</c:v>
                </c:pt>
                <c:pt idx="3">
                  <c:v>2021</c:v>
                </c:pt>
                <c:pt idx="4">
                  <c:v>2022</c:v>
                </c:pt>
                <c:pt idx="5">
                  <c:v>2023</c:v>
                </c:pt>
                <c:pt idx="6">
                  <c:v>2024</c:v>
                </c:pt>
                <c:pt idx="7">
                  <c:v>2025</c:v>
                </c:pt>
              </c:strCache>
            </c:strRef>
          </c:cat>
          <c:val>
            <c:numRef>
              <c:f>Hoja1!$D$2:$D$9</c:f>
              <c:numCache>
                <c:formatCode>0"%"</c:formatCode>
                <c:ptCount val="8"/>
                <c:pt idx="0">
                  <c:v>7</c:v>
                </c:pt>
                <c:pt idx="1">
                  <c:v>4.8</c:v>
                </c:pt>
                <c:pt idx="2">
                  <c:v>4.4</c:v>
                </c:pt>
                <c:pt idx="3">
                  <c:v>5.6</c:v>
                </c:pt>
                <c:pt idx="4">
                  <c:v>4.4</c:v>
                </c:pt>
                <c:pt idx="5">
                  <c:v>4.7</c:v>
                </c:pt>
                <c:pt idx="6">
                  <c:v>5.1</c:v>
                </c:pt>
                <c:pt idx="7">
                  <c:v>5.5</c:v>
                </c:pt>
              </c:numCache>
            </c:numRef>
          </c:val>
          <c:smooth val="0"/>
        </c:ser>
        <c:ser>
          <c:idx val="3"/>
          <c:order val="3"/>
          <c:tx>
            <c:strRef>
              <c:f>Hoja1!$E$1</c:f>
              <c:strCache>
                <c:ptCount val="1"/>
                <c:pt idx="0">
                  <c:v>Neto</c:v>
                </c:pt>
              </c:strCache>
            </c:strRef>
          </c:tx>
          <c:spPr>
            <a:ln w="25400" cap="rnd">
              <a:solidFill>
                <a:srgbClr val="EDA100"/>
              </a:solidFill>
              <a:round/>
            </a:ln>
          </c:spPr>
          <c:marker>
            <c:symbol val="circle"/>
            <c:size val="6"/>
            <c:spPr>
              <a:solidFill>
                <a:srgbClr val="EDA100"/>
              </a:solidFill>
              <a:ln w="9525">
                <a:solidFill>
                  <a:srgbClr val="FFFFFF"/>
                </a:solidFill>
              </a:ln>
            </c:spPr>
          </c:marker>
          <c:cat>
            <c:strRef>
              <c:f>Hoja1!$A$2:$A$9</c:f>
              <c:strCache>
                <c:ptCount val="8"/>
                <c:pt idx="0">
                  <c:v>2018</c:v>
                </c:pt>
                <c:pt idx="1">
                  <c:v>2019</c:v>
                </c:pt>
                <c:pt idx="2">
                  <c:v>2020</c:v>
                </c:pt>
                <c:pt idx="3">
                  <c:v>2021</c:v>
                </c:pt>
                <c:pt idx="4">
                  <c:v>2022</c:v>
                </c:pt>
                <c:pt idx="5">
                  <c:v>2023</c:v>
                </c:pt>
                <c:pt idx="6">
                  <c:v>2024</c:v>
                </c:pt>
                <c:pt idx="7">
                  <c:v>2025</c:v>
                </c:pt>
              </c:strCache>
            </c:strRef>
          </c:cat>
          <c:val>
            <c:numRef>
              <c:f>Hoja1!$E$2:$E$9</c:f>
              <c:numCache>
                <c:formatCode>0"%"</c:formatCode>
                <c:ptCount val="8"/>
                <c:pt idx="0">
                  <c:v>2.1</c:v>
                </c:pt>
                <c:pt idx="1">
                  <c:v>1</c:v>
                </c:pt>
                <c:pt idx="2">
                  <c:v>0.3</c:v>
                </c:pt>
                <c:pt idx="3">
                  <c:v>2.9</c:v>
                </c:pt>
                <c:pt idx="4">
                  <c:v>1.6</c:v>
                </c:pt>
                <c:pt idx="5">
                  <c:v>2.3</c:v>
                </c:pt>
                <c:pt idx="6">
                  <c:v>2.5</c:v>
                </c:pt>
                <c:pt idx="7">
                  <c:v>3.3</c:v>
                </c:pt>
              </c:numCache>
            </c:numRef>
          </c:val>
          <c:smooth val="0"/>
        </c:ser>
        <c:marker val="1"/>
        <c:axId val="10"/>
        <c:axId val="20"/>
      </c:line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quot;%&quot;"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legend>
      <c:legendPos val="b"/>
      <c:overlay val="0"/>
      <c:txPr>
        <a:bodyPr/>
        <a:lstStyle/>
        <a:p>
          <a:pPr>
            <a:defRPr sz="850">
              <a:solidFill>
                <a:srgbClr val="52514E"/>
              </a:solidFill>
            </a:defRPr>
          </a:pPr>
          <a:endParaRPr lang="es-ES"/>
        </a:p>
      </c:txPr>
    </c:legend>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11.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Crecimiento interanual por trimestre (%)</a:t>
            </a:r>
          </a:p>
        </c:rich>
      </c:tx>
      <c:overlay val="0"/>
    </c:title>
    <c:autoTitleDeleted val="0"/>
    <c:plotArea>
      <c:layout/>
      <c:barChart>
        <c:barDir val="col"/>
        <c:grouping val="clustered"/>
        <c:varyColors val="0"/>
        <c:ser>
          <c:idx val="0"/>
          <c:order val="0"/>
          <c:tx>
            <c:strRef>
              <c:f>Hoja1!$B$1</c:f>
              <c:strCache>
                <c:ptCount val="1"/>
                <c:pt idx="0">
                  <c:v>Reportado</c:v>
                </c:pt>
              </c:strCache>
            </c:strRef>
          </c:tx>
          <c:spPr>
            <a:solidFill>
              <a:srgbClr val="2A78D6"/>
            </a:solidFill>
            <a:ln w="9525">
              <a:noFill/>
            </a:ln>
          </c:spPr>
          <c:invertIfNegative val="0"/>
          <c:cat>
            <c:strRef>
              <c:f>Hoja1!$A$2:$A$6</c:f>
              <c:strCache>
                <c:ptCount val="5"/>
                <c:pt idx="0">
                  <c:v>1S24</c:v>
                </c:pt>
                <c:pt idx="1">
                  <c:v>2S24</c:v>
                </c:pt>
                <c:pt idx="2">
                  <c:v>1S25</c:v>
                </c:pt>
                <c:pt idx="3">
                  <c:v>2S25</c:v>
                </c:pt>
                <c:pt idx="4">
                  <c:v>1S26</c:v>
                </c:pt>
              </c:strCache>
            </c:strRef>
          </c:cat>
          <c:val>
            <c:numRef>
              <c:f>Hoja1!$B$2:$B$6</c:f>
              <c:numCache>
                <c:formatCode>0.0"%"</c:formatCode>
                <c:ptCount val="5"/>
                <c:pt idx="0">
                  <c:v>10.9</c:v>
                </c:pt>
                <c:pt idx="1">
                  <c:v>9.4</c:v>
                </c:pt>
                <c:pt idx="2">
                  <c:v>4.5</c:v>
                </c:pt>
                <c:pt idx="3">
                  <c:v>8.5</c:v>
                </c:pt>
                <c:pt idx="4">
                  <c:v>16.3</c:v>
                </c:pt>
              </c:numCache>
            </c:numRef>
          </c:val>
        </c:ser>
        <c:gapWidth val="70"/>
        <c:overlap val="-10"/>
        <c:axId val="10"/>
        <c:axId val="20"/>
      </c:bar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0&quot;%&quot;"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12.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Capital circulante en días</a:t>
            </a:r>
          </a:p>
        </c:rich>
      </c:tx>
      <c:overlay val="0"/>
    </c:title>
    <c:autoTitleDeleted val="0"/>
    <c:plotArea>
      <c:layout/>
      <c:lineChart>
        <c:grouping val="standard"/>
        <c:varyColors val="0"/>
        <c:ser>
          <c:idx val="0"/>
          <c:order val="0"/>
          <c:tx>
            <c:strRef>
              <c:f>Hoja1!$B$1</c:f>
              <c:strCache>
                <c:ptCount val="1"/>
                <c:pt idx="0">
                  <c:v>Días de cobro</c:v>
                </c:pt>
              </c:strCache>
            </c:strRef>
          </c:tx>
          <c:spPr>
            <a:ln w="25400" cap="rnd">
              <a:solidFill>
                <a:srgbClr val="2A78D6"/>
              </a:solidFill>
              <a:round/>
            </a:ln>
          </c:spPr>
          <c:marker>
            <c:symbol val="circle"/>
            <c:size val="6"/>
            <c:spPr>
              <a:solidFill>
                <a:srgbClr val="2A78D6"/>
              </a:solidFill>
              <a:ln w="9525">
                <a:solidFill>
                  <a:srgbClr val="FFFFFF"/>
                </a:solidFill>
              </a:ln>
            </c:spPr>
          </c:marker>
          <c:cat>
            <c:strRef>
              <c:f>Hoja1!$A$2:$A$9</c:f>
              <c:strCache>
                <c:ptCount val="8"/>
                <c:pt idx="0">
                  <c:v>2018</c:v>
                </c:pt>
                <c:pt idx="1">
                  <c:v>2019</c:v>
                </c:pt>
                <c:pt idx="2">
                  <c:v>2020</c:v>
                </c:pt>
                <c:pt idx="3">
                  <c:v>2021</c:v>
                </c:pt>
                <c:pt idx="4">
                  <c:v>2022</c:v>
                </c:pt>
                <c:pt idx="5">
                  <c:v>2023</c:v>
                </c:pt>
                <c:pt idx="6">
                  <c:v>2024</c:v>
                </c:pt>
                <c:pt idx="7">
                  <c:v>2025</c:v>
                </c:pt>
              </c:strCache>
            </c:strRef>
          </c:cat>
          <c:val>
            <c:numRef>
              <c:f>Hoja1!$B$2:$B$9</c:f>
              <c:numCache>
                <c:formatCode>0</c:formatCode>
                <c:ptCount val="8"/>
                <c:pt idx="0">
                  <c:v>234</c:v>
                </c:pt>
                <c:pt idx="1">
                  <c:v>193</c:v>
                </c:pt>
                <c:pt idx="2">
                  <c:v>179</c:v>
                </c:pt>
                <c:pt idx="3">
                  <c:v>187</c:v>
                </c:pt>
                <c:pt idx="4">
                  <c:v>220</c:v>
                </c:pt>
                <c:pt idx="5">
                  <c:v>211</c:v>
                </c:pt>
                <c:pt idx="6">
                  <c:v>196</c:v>
                </c:pt>
                <c:pt idx="7">
                  <c:v>202</c:v>
                </c:pt>
              </c:numCache>
            </c:numRef>
          </c:val>
          <c:smooth val="0"/>
        </c:ser>
        <c:ser>
          <c:idx val="1"/>
          <c:order val="1"/>
          <c:tx>
            <c:strRef>
              <c:f>Hoja1!$C$1</c:f>
              <c:strCache>
                <c:ptCount val="1"/>
                <c:pt idx="0">
                  <c:v>Días de inventario</c:v>
                </c:pt>
              </c:strCache>
            </c:strRef>
          </c:tx>
          <c:spPr>
            <a:ln w="25400" cap="rnd">
              <a:solidFill>
                <a:srgbClr val="EB6834"/>
              </a:solidFill>
              <a:round/>
            </a:ln>
          </c:spPr>
          <c:marker>
            <c:symbol val="circle"/>
            <c:size val="6"/>
            <c:spPr>
              <a:solidFill>
                <a:srgbClr val="EB6834"/>
              </a:solidFill>
              <a:ln w="9525">
                <a:solidFill>
                  <a:srgbClr val="FFFFFF"/>
                </a:solidFill>
              </a:ln>
            </c:spPr>
          </c:marker>
          <c:cat>
            <c:strRef>
              <c:f>Hoja1!$A$2:$A$9</c:f>
              <c:strCache>
                <c:ptCount val="8"/>
                <c:pt idx="0">
                  <c:v>2018</c:v>
                </c:pt>
                <c:pt idx="1">
                  <c:v>2019</c:v>
                </c:pt>
                <c:pt idx="2">
                  <c:v>2020</c:v>
                </c:pt>
                <c:pt idx="3">
                  <c:v>2021</c:v>
                </c:pt>
                <c:pt idx="4">
                  <c:v>2022</c:v>
                </c:pt>
                <c:pt idx="5">
                  <c:v>2023</c:v>
                </c:pt>
                <c:pt idx="6">
                  <c:v>2024</c:v>
                </c:pt>
                <c:pt idx="7">
                  <c:v>2025</c:v>
                </c:pt>
              </c:strCache>
            </c:strRef>
          </c:cat>
          <c:val>
            <c:numRef>
              <c:f>Hoja1!$C$2:$C$9</c:f>
              <c:numCache>
                <c:formatCode>0</c:formatCode>
                <c:ptCount val="8"/>
                <c:pt idx="0">
                  <c:v>74</c:v>
                </c:pt>
                <c:pt idx="1">
                  <c:v>74</c:v>
                </c:pt>
                <c:pt idx="2">
                  <c:v>69</c:v>
                </c:pt>
                <c:pt idx="3">
                  <c:v>66</c:v>
                </c:pt>
                <c:pt idx="4">
                  <c:v>73</c:v>
                </c:pt>
                <c:pt idx="5">
                  <c:v>49</c:v>
                </c:pt>
                <c:pt idx="6">
                  <c:v>60</c:v>
                </c:pt>
                <c:pt idx="7">
                  <c:v>62</c:v>
                </c:pt>
              </c:numCache>
            </c:numRef>
          </c:val>
          <c:smooth val="0"/>
        </c:ser>
        <c:ser>
          <c:idx val="2"/>
          <c:order val="2"/>
          <c:tx>
            <c:strRef>
              <c:f>Hoja1!$D$1</c:f>
              <c:strCache>
                <c:ptCount val="1"/>
                <c:pt idx="0">
                  <c:v>Días de pago</c:v>
                </c:pt>
              </c:strCache>
            </c:strRef>
          </c:tx>
          <c:spPr>
            <a:ln w="25400" cap="rnd">
              <a:solidFill>
                <a:srgbClr val="1BAF7A"/>
              </a:solidFill>
              <a:round/>
            </a:ln>
          </c:spPr>
          <c:marker>
            <c:symbol val="circle"/>
            <c:size val="6"/>
            <c:spPr>
              <a:solidFill>
                <a:srgbClr val="1BAF7A"/>
              </a:solidFill>
              <a:ln w="9525">
                <a:solidFill>
                  <a:srgbClr val="FFFFFF"/>
                </a:solidFill>
              </a:ln>
            </c:spPr>
          </c:marker>
          <c:cat>
            <c:strRef>
              <c:f>Hoja1!$A$2:$A$9</c:f>
              <c:strCache>
                <c:ptCount val="8"/>
                <c:pt idx="0">
                  <c:v>2018</c:v>
                </c:pt>
                <c:pt idx="1">
                  <c:v>2019</c:v>
                </c:pt>
                <c:pt idx="2">
                  <c:v>2020</c:v>
                </c:pt>
                <c:pt idx="3">
                  <c:v>2021</c:v>
                </c:pt>
                <c:pt idx="4">
                  <c:v>2022</c:v>
                </c:pt>
                <c:pt idx="5">
                  <c:v>2023</c:v>
                </c:pt>
                <c:pt idx="6">
                  <c:v>2024</c:v>
                </c:pt>
                <c:pt idx="7">
                  <c:v>2025</c:v>
                </c:pt>
              </c:strCache>
            </c:strRef>
          </c:cat>
          <c:val>
            <c:numRef>
              <c:f>Hoja1!$D$2:$D$9</c:f>
              <c:numCache>
                <c:formatCode>0</c:formatCode>
                <c:ptCount val="8"/>
                <c:pt idx="0">
                  <c:v>312</c:v>
                </c:pt>
                <c:pt idx="1">
                  <c:v>263</c:v>
                </c:pt>
                <c:pt idx="2">
                  <c:v>240</c:v>
                </c:pt>
                <c:pt idx="3">
                  <c:v>233</c:v>
                </c:pt>
                <c:pt idx="4">
                  <c:v>293</c:v>
                </c:pt>
                <c:pt idx="5">
                  <c:v>246</c:v>
                </c:pt>
                <c:pt idx="6">
                  <c:v>241</c:v>
                </c:pt>
                <c:pt idx="7">
                  <c:v>245</c:v>
                </c:pt>
              </c:numCache>
            </c:numRef>
          </c:val>
          <c:smooth val="0"/>
        </c:ser>
        <c:marker val="1"/>
        <c:axId val="10"/>
        <c:axId val="20"/>
      </c:line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legend>
      <c:legendPos val="b"/>
      <c:overlay val="0"/>
      <c:txPr>
        <a:bodyPr/>
        <a:lstStyle/>
        <a:p>
          <a:pPr>
            <a:defRPr sz="850">
              <a:solidFill>
                <a:srgbClr val="52514E"/>
              </a:solidFill>
            </a:defRPr>
          </a:pPr>
          <a:endParaRPr lang="es-ES"/>
        </a:p>
      </c:txPr>
    </c:legend>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13.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Flujo de caja libre frente a beneficio neto (EUR, millones)</a:t>
            </a:r>
          </a:p>
        </c:rich>
      </c:tx>
      <c:overlay val="0"/>
    </c:title>
    <c:autoTitleDeleted val="0"/>
    <c:plotArea>
      <c:layout/>
      <c:barChart>
        <c:barDir val="col"/>
        <c:grouping val="clustered"/>
        <c:varyColors val="0"/>
        <c:ser>
          <c:idx val="0"/>
          <c:order val="0"/>
          <c:tx>
            <c:strRef>
              <c:f>Hoja1!$B$1</c:f>
              <c:strCache>
                <c:ptCount val="1"/>
                <c:pt idx="0">
                  <c:v>Flujo de caja libre</c:v>
                </c:pt>
              </c:strCache>
            </c:strRef>
          </c:tx>
          <c:spPr>
            <a:solidFill>
              <a:srgbClr val="2A78D6"/>
            </a:solidFill>
            <a:ln w="9525">
              <a:noFill/>
            </a:ln>
          </c:spPr>
          <c:invertIfNegative val="0"/>
          <c:cat>
            <c:strRef>
              <c:f>Hoja1!$A$2:$A$9</c:f>
              <c:strCache>
                <c:ptCount val="8"/>
                <c:pt idx="0">
                  <c:v>2018</c:v>
                </c:pt>
                <c:pt idx="1">
                  <c:v>2019</c:v>
                </c:pt>
                <c:pt idx="2">
                  <c:v>2020</c:v>
                </c:pt>
                <c:pt idx="3">
                  <c:v>2021</c:v>
                </c:pt>
                <c:pt idx="4">
                  <c:v>2022</c:v>
                </c:pt>
                <c:pt idx="5">
                  <c:v>2023</c:v>
                </c:pt>
                <c:pt idx="6">
                  <c:v>2024</c:v>
                </c:pt>
                <c:pt idx="7">
                  <c:v>2025</c:v>
                </c:pt>
              </c:strCache>
            </c:strRef>
          </c:cat>
          <c:val>
            <c:numRef>
              <c:f>Hoja1!$B$2:$B$9</c:f>
              <c:numCache>
                <c:formatCode>#,##0</c:formatCode>
                <c:ptCount val="8"/>
                <c:pt idx="0">
                  <c:v>234.19900000000007</c:v>
                </c:pt>
                <c:pt idx="1">
                  <c:v>-23.72500000000001</c:v>
                </c:pt>
                <c:pt idx="2">
                  <c:v>50.411000000000016</c:v>
                </c:pt>
                <c:pt idx="3">
                  <c:v>47.11600000000001</c:v>
                </c:pt>
                <c:pt idx="4">
                  <c:v>-39.51100000000001</c:v>
                </c:pt>
                <c:pt idx="5">
                  <c:v>-52.461999999999996</c:v>
                </c:pt>
                <c:pt idx="6">
                  <c:v>16.914</c:v>
                </c:pt>
                <c:pt idx="7">
                  <c:v>4.604000000000013</c:v>
                </c:pt>
              </c:numCache>
            </c:numRef>
          </c:val>
        </c:ser>
        <c:ser>
          <c:idx val="1"/>
          <c:order val="1"/>
          <c:tx>
            <c:strRef>
              <c:f>Hoja1!$C$1</c:f>
              <c:strCache>
                <c:ptCount val="1"/>
                <c:pt idx="0">
                  <c:v>Beneficio neto</c:v>
                </c:pt>
              </c:strCache>
            </c:strRef>
          </c:tx>
          <c:spPr>
            <a:solidFill>
              <a:srgbClr val="EB6834"/>
            </a:solidFill>
            <a:ln w="9525">
              <a:noFill/>
            </a:ln>
          </c:spPr>
          <c:invertIfNegative val="0"/>
          <c:cat>
            <c:strRef>
              <c:f>Hoja1!$A$2:$A$9</c:f>
              <c:strCache>
                <c:ptCount val="8"/>
                <c:pt idx="0">
                  <c:v>2018</c:v>
                </c:pt>
                <c:pt idx="1">
                  <c:v>2019</c:v>
                </c:pt>
                <c:pt idx="2">
                  <c:v>2020</c:v>
                </c:pt>
                <c:pt idx="3">
                  <c:v>2021</c:v>
                </c:pt>
                <c:pt idx="4">
                  <c:v>2022</c:v>
                </c:pt>
                <c:pt idx="5">
                  <c:v>2023</c:v>
                </c:pt>
                <c:pt idx="6">
                  <c:v>2024</c:v>
                </c:pt>
                <c:pt idx="7">
                  <c:v>2025</c:v>
                </c:pt>
              </c:strCache>
            </c:strRef>
          </c:cat>
          <c:val>
            <c:numRef>
              <c:f>Hoja1!$C$2:$C$9</c:f>
              <c:numCache>
                <c:formatCode>#,##0</c:formatCode>
                <c:ptCount val="8"/>
                <c:pt idx="0">
                  <c:v>43.462</c:v>
                </c:pt>
                <c:pt idx="1">
                  <c:v>24.745</c:v>
                </c:pt>
                <c:pt idx="2">
                  <c:v>9.012</c:v>
                </c:pt>
                <c:pt idx="3">
                  <c:v>85.92</c:v>
                </c:pt>
                <c:pt idx="4">
                  <c:v>52.188</c:v>
                </c:pt>
                <c:pt idx="5">
                  <c:v>89.158</c:v>
                </c:pt>
                <c:pt idx="6">
                  <c:v>103.255</c:v>
                </c:pt>
                <c:pt idx="7">
                  <c:v>146.259</c:v>
                </c:pt>
              </c:numCache>
            </c:numRef>
          </c:val>
        </c:ser>
        <c:gapWidth val="70"/>
        <c:overlap val="-10"/>
        <c:axId val="10"/>
        <c:axId val="20"/>
      </c:bar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legend>
      <c:legendPos val="b"/>
      <c:overlay val="0"/>
      <c:txPr>
        <a:bodyPr/>
        <a:lstStyle/>
        <a:p>
          <a:pPr>
            <a:defRPr sz="850">
              <a:solidFill>
                <a:srgbClr val="52514E"/>
              </a:solidFill>
            </a:defRPr>
          </a:pPr>
          <a:endParaRPr lang="es-ES"/>
        </a:p>
      </c:txPr>
    </c:legend>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14.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ROIC y ROE frente al coste del capital (%)</a:t>
            </a:r>
          </a:p>
        </c:rich>
      </c:tx>
      <c:overlay val="0"/>
    </c:title>
    <c:autoTitleDeleted val="0"/>
    <c:plotArea>
      <c:layout/>
      <c:lineChart>
        <c:grouping val="standard"/>
        <c:varyColors val="0"/>
        <c:ser>
          <c:idx val="0"/>
          <c:order val="0"/>
          <c:tx>
            <c:strRef>
              <c:f>Hoja1!$B$1</c:f>
              <c:strCache>
                <c:ptCount val="1"/>
                <c:pt idx="0">
                  <c:v>ROIC</c:v>
                </c:pt>
              </c:strCache>
            </c:strRef>
          </c:tx>
          <c:spPr>
            <a:ln w="25400" cap="rnd">
              <a:solidFill>
                <a:srgbClr val="2A78D6"/>
              </a:solidFill>
              <a:round/>
            </a:ln>
          </c:spPr>
          <c:marker>
            <c:symbol val="circle"/>
            <c:size val="6"/>
            <c:spPr>
              <a:solidFill>
                <a:srgbClr val="2A78D6"/>
              </a:solidFill>
              <a:ln w="9525">
                <a:solidFill>
                  <a:srgbClr val="FFFFFF"/>
                </a:solidFill>
              </a:ln>
            </c:spPr>
          </c:marker>
          <c:cat>
            <c:strRef>
              <c:f>Hoja1!$A$2:$A$9</c:f>
              <c:strCache>
                <c:ptCount val="8"/>
                <c:pt idx="0">
                  <c:v>2018</c:v>
                </c:pt>
                <c:pt idx="1">
                  <c:v>2019</c:v>
                </c:pt>
                <c:pt idx="2">
                  <c:v>2020</c:v>
                </c:pt>
                <c:pt idx="3">
                  <c:v>2021</c:v>
                </c:pt>
                <c:pt idx="4">
                  <c:v>2022</c:v>
                </c:pt>
                <c:pt idx="5">
                  <c:v>2023</c:v>
                </c:pt>
                <c:pt idx="6">
                  <c:v>2024</c:v>
                </c:pt>
                <c:pt idx="7">
                  <c:v>2025</c:v>
                </c:pt>
              </c:strCache>
            </c:strRef>
          </c:cat>
          <c:val>
            <c:numRef>
              <c:f>Hoja1!$B$2:$B$9</c:f>
              <c:numCache>
                <c:formatCode>0"%"</c:formatCode>
                <c:ptCount val="8"/>
                <c:pt idx="0">
                  <c:v>7.3</c:v>
                </c:pt>
                <c:pt idx="1">
                  <c:v>6</c:v>
                </c:pt>
                <c:pt idx="2">
                  <c:v>5.9</c:v>
                </c:pt>
                <c:pt idx="3">
                  <c:v>9.7</c:v>
                </c:pt>
                <c:pt idx="4">
                  <c:v>6.7</c:v>
                </c:pt>
                <c:pt idx="5">
                  <c:v>9</c:v>
                </c:pt>
                <c:pt idx="6">
                  <c:v>11.2</c:v>
                </c:pt>
                <c:pt idx="7">
                  <c:v>13.6</c:v>
                </c:pt>
              </c:numCache>
            </c:numRef>
          </c:val>
          <c:smooth val="0"/>
        </c:ser>
        <c:ser>
          <c:idx val="1"/>
          <c:order val="1"/>
          <c:tx>
            <c:strRef>
              <c:f>Hoja1!$C$1</c:f>
              <c:strCache>
                <c:ptCount val="1"/>
                <c:pt idx="0">
                  <c:v>WACC actual</c:v>
                </c:pt>
              </c:strCache>
            </c:strRef>
          </c:tx>
          <c:spPr>
            <a:ln w="25400" cap="rnd">
              <a:solidFill>
                <a:srgbClr val="EB6834"/>
              </a:solidFill>
              <a:round/>
            </a:ln>
          </c:spPr>
          <c:marker>
            <c:symbol val="circle"/>
            <c:size val="6"/>
            <c:spPr>
              <a:solidFill>
                <a:srgbClr val="EB6834"/>
              </a:solidFill>
              <a:ln w="9525">
                <a:solidFill>
                  <a:srgbClr val="FFFFFF"/>
                </a:solidFill>
              </a:ln>
            </c:spPr>
          </c:marker>
          <c:cat>
            <c:strRef>
              <c:f>Hoja1!$A$2:$A$9</c:f>
              <c:strCache>
                <c:ptCount val="8"/>
                <c:pt idx="0">
                  <c:v>2018</c:v>
                </c:pt>
                <c:pt idx="1">
                  <c:v>2019</c:v>
                </c:pt>
                <c:pt idx="2">
                  <c:v>2020</c:v>
                </c:pt>
                <c:pt idx="3">
                  <c:v>2021</c:v>
                </c:pt>
                <c:pt idx="4">
                  <c:v>2022</c:v>
                </c:pt>
                <c:pt idx="5">
                  <c:v>2023</c:v>
                </c:pt>
                <c:pt idx="6">
                  <c:v>2024</c:v>
                </c:pt>
                <c:pt idx="7">
                  <c:v>2025</c:v>
                </c:pt>
              </c:strCache>
            </c:strRef>
          </c:cat>
          <c:val>
            <c:numRef>
              <c:f>Hoja1!$C$2:$C$9</c:f>
              <c:numCache>
                <c:formatCode>0"%"</c:formatCode>
                <c:ptCount val="8"/>
                <c:pt idx="0">
                  <c:v>8.1</c:v>
                </c:pt>
                <c:pt idx="1">
                  <c:v>8.1</c:v>
                </c:pt>
                <c:pt idx="2">
                  <c:v>8.1</c:v>
                </c:pt>
                <c:pt idx="3">
                  <c:v>8.1</c:v>
                </c:pt>
                <c:pt idx="4">
                  <c:v>8.1</c:v>
                </c:pt>
                <c:pt idx="5">
                  <c:v>8.1</c:v>
                </c:pt>
                <c:pt idx="6">
                  <c:v>8.1</c:v>
                </c:pt>
                <c:pt idx="7">
                  <c:v>8.1</c:v>
                </c:pt>
              </c:numCache>
            </c:numRef>
          </c:val>
          <c:smooth val="0"/>
        </c:ser>
        <c:ser>
          <c:idx val="2"/>
          <c:order val="2"/>
          <c:tx>
            <c:strRef>
              <c:f>Hoja1!$D$1</c:f>
              <c:strCache>
                <c:ptCount val="1"/>
                <c:pt idx="0">
                  <c:v>ROE</c:v>
                </c:pt>
              </c:strCache>
            </c:strRef>
          </c:tx>
          <c:spPr>
            <a:ln w="25400" cap="rnd">
              <a:solidFill>
                <a:srgbClr val="1BAF7A"/>
              </a:solidFill>
              <a:round/>
            </a:ln>
          </c:spPr>
          <c:marker>
            <c:symbol val="circle"/>
            <c:size val="6"/>
            <c:spPr>
              <a:solidFill>
                <a:srgbClr val="1BAF7A"/>
              </a:solidFill>
              <a:ln w="9525">
                <a:solidFill>
                  <a:srgbClr val="FFFFFF"/>
                </a:solidFill>
              </a:ln>
            </c:spPr>
          </c:marker>
          <c:cat>
            <c:strRef>
              <c:f>Hoja1!$A$2:$A$9</c:f>
              <c:strCache>
                <c:ptCount val="8"/>
                <c:pt idx="0">
                  <c:v>2018</c:v>
                </c:pt>
                <c:pt idx="1">
                  <c:v>2019</c:v>
                </c:pt>
                <c:pt idx="2">
                  <c:v>2020</c:v>
                </c:pt>
                <c:pt idx="3">
                  <c:v>2021</c:v>
                </c:pt>
                <c:pt idx="4">
                  <c:v>2022</c:v>
                </c:pt>
                <c:pt idx="5">
                  <c:v>2023</c:v>
                </c:pt>
                <c:pt idx="6">
                  <c:v>2024</c:v>
                </c:pt>
                <c:pt idx="7">
                  <c:v>2025</c:v>
                </c:pt>
              </c:strCache>
            </c:strRef>
          </c:cat>
          <c:val>
            <c:numRef>
              <c:f>Hoja1!$D$2:$D$9</c:f>
              <c:numCache>
                <c:formatCode>0"%"</c:formatCode>
                <c:ptCount val="8"/>
                <c:pt idx="0">
                  <c:v>5.8</c:v>
                </c:pt>
                <c:pt idx="1">
                  <c:v>3.3</c:v>
                </c:pt>
                <c:pt idx="2">
                  <c:v>1.3</c:v>
                </c:pt>
                <c:pt idx="3">
                  <c:v>12.6</c:v>
                </c:pt>
                <c:pt idx="4">
                  <c:v>6.9</c:v>
                </c:pt>
                <c:pt idx="5">
                  <c:v>10.9</c:v>
                </c:pt>
                <c:pt idx="6">
                  <c:v>11.9</c:v>
                </c:pt>
                <c:pt idx="7">
                  <c:v>15.7</c:v>
                </c:pt>
              </c:numCache>
            </c:numRef>
          </c:val>
          <c:smooth val="0"/>
        </c:ser>
        <c:marker val="1"/>
        <c:axId val="10"/>
        <c:axId val="20"/>
      </c:line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quot;%&quot;"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legend>
      <c:legendPos val="b"/>
      <c:overlay val="0"/>
      <c:txPr>
        <a:bodyPr/>
        <a:lstStyle/>
        <a:p>
          <a:pPr>
            <a:defRPr sz="850">
              <a:solidFill>
                <a:srgbClr val="52514E"/>
              </a:solidFill>
            </a:defRPr>
          </a:pPr>
          <a:endParaRPr lang="es-ES"/>
        </a:p>
      </c:txPr>
    </c:legend>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15.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Deuda neta / EBITDA al cierre de cada ejercicio (veces)</a:t>
            </a:r>
          </a:p>
        </c:rich>
      </c:tx>
      <c:overlay val="0"/>
    </c:title>
    <c:autoTitleDeleted val="0"/>
    <c:plotArea>
      <c:layout/>
      <c:barChart>
        <c:barDir val="col"/>
        <c:grouping val="clustered"/>
        <c:varyColors val="0"/>
        <c:ser>
          <c:idx val="0"/>
          <c:order val="0"/>
          <c:tx>
            <c:strRef>
              <c:f>Hoja1!$B$1</c:f>
              <c:strCache>
                <c:ptCount val="1"/>
                <c:pt idx="0">
                  <c:v>Deuda neta / EBITDA</c:v>
                </c:pt>
              </c:strCache>
            </c:strRef>
          </c:tx>
          <c:spPr>
            <a:solidFill>
              <a:srgbClr val="2A78D6"/>
            </a:solidFill>
            <a:ln w="9525">
              <a:noFill/>
            </a:ln>
          </c:spPr>
          <c:invertIfNegative val="0"/>
          <c:dLbls>
            <c:numFmt formatCode="0.0&quot;x&quot;" sourceLinked="0"/>
            <c:spPr>
              <a:noFill/>
              <a:ln>
                <a:noFill/>
              </a:ln>
            </c:spPr>
            <c:txPr>
              <a:bodyPr/>
              <a:lstStyle/>
              <a:p>
                <a:pPr>
                  <a:defRPr sz="800">
                    <a:solidFill>
                      <a:srgbClr val="52514E"/>
                    </a:solidFill>
                  </a:defRPr>
                </a:pPr>
                <a:endParaRPr lang="es-ES"/>
              </a:p>
            </c:txPr>
            <c:dLblPos val="outEnd"/>
            <c:showLegendKey val="0"/>
            <c:showVal val="1"/>
            <c:showCatName val="0"/>
            <c:showSerName val="0"/>
            <c:showPercent val="0"/>
            <c:showBubbleSize val="0"/>
          </c:dLbls>
          <c:cat>
            <c:strRef>
              <c:f>Hoja1!$A$2:$A$9</c:f>
              <c:strCache>
                <c:ptCount val="8"/>
                <c:pt idx="0">
                  <c:v>2018</c:v>
                </c:pt>
                <c:pt idx="1">
                  <c:v>2019</c:v>
                </c:pt>
                <c:pt idx="2">
                  <c:v>2020</c:v>
                </c:pt>
                <c:pt idx="3">
                  <c:v>2021</c:v>
                </c:pt>
                <c:pt idx="4">
                  <c:v>2022</c:v>
                </c:pt>
                <c:pt idx="5">
                  <c:v>2023</c:v>
                </c:pt>
                <c:pt idx="6">
                  <c:v>2024</c:v>
                </c:pt>
                <c:pt idx="7">
                  <c:v>2025</c:v>
                </c:pt>
              </c:strCache>
            </c:strRef>
          </c:cat>
          <c:val>
            <c:numRef>
              <c:f>Hoja1!$B$2:$B$9</c:f>
              <c:numCache>
                <c:formatCode>0.0"x"</c:formatCode>
                <c:ptCount val="8"/>
                <c:pt idx="0">
                  <c:v>2.09</c:v>
                </c:pt>
                <c:pt idx="1">
                  <c:v>2.9</c:v>
                </c:pt>
                <c:pt idx="2">
                  <c:v>2.37</c:v>
                </c:pt>
                <c:pt idx="3">
                  <c:v>1.85</c:v>
                </c:pt>
                <c:pt idx="4">
                  <c:v>2.11</c:v>
                </c:pt>
                <c:pt idx="5">
                  <c:v>1.63</c:v>
                </c:pt>
                <c:pt idx="6">
                  <c:v>1.07</c:v>
                </c:pt>
                <c:pt idx="7">
                  <c:v>0.87</c:v>
                </c:pt>
              </c:numCache>
            </c:numRef>
          </c:val>
        </c:ser>
        <c:gapWidth val="70"/>
        <c:overlap val="-10"/>
        <c:axId val="10"/>
        <c:axId val="20"/>
      </c:bar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0&quot;x&quot;"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16.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Vencimientos de la deuda bruta (EUR, millones)</a:t>
            </a:r>
          </a:p>
        </c:rich>
      </c:tx>
      <c:overlay val="0"/>
    </c:title>
    <c:autoTitleDeleted val="0"/>
    <c:plotArea>
      <c:layout/>
      <c:barChart>
        <c:barDir val="col"/>
        <c:grouping val="clustered"/>
        <c:varyColors val="0"/>
        <c:ser>
          <c:idx val="0"/>
          <c:order val="0"/>
          <c:tx>
            <c:strRef>
              <c:f>Hoja1!$B$1</c:f>
              <c:strCache>
                <c:ptCount val="1"/>
                <c:pt idx="0">
                  <c:v>Vencimientos</c:v>
                </c:pt>
              </c:strCache>
            </c:strRef>
          </c:tx>
          <c:spPr>
            <a:solidFill>
              <a:srgbClr val="2A78D6"/>
            </a:solidFill>
            <a:ln w="9525">
              <a:noFill/>
            </a:ln>
          </c:spPr>
          <c:invertIfNegative val="0"/>
          <c:dLbls>
            <c:numFmt formatCode="#,##0" sourceLinked="0"/>
            <c:spPr>
              <a:noFill/>
              <a:ln>
                <a:noFill/>
              </a:ln>
            </c:spPr>
            <c:txPr>
              <a:bodyPr/>
              <a:lstStyle/>
              <a:p>
                <a:pPr>
                  <a:defRPr sz="800">
                    <a:solidFill>
                      <a:srgbClr val="52514E"/>
                    </a:solidFill>
                  </a:defRPr>
                </a:pPr>
                <a:endParaRPr lang="es-ES"/>
              </a:p>
            </c:txPr>
            <c:dLblPos val="outEnd"/>
            <c:showLegendKey val="0"/>
            <c:showVal val="1"/>
            <c:showCatName val="0"/>
            <c:showSerName val="0"/>
            <c:showPercent val="0"/>
            <c:showBubbleSize val="0"/>
          </c:dLbls>
          <c:cat>
            <c:strRef>
              <c:f>Hoja1!$A$2:$A$7</c:f>
              <c:strCache>
                <c:ptCount val="6"/>
                <c:pt idx="0">
                  <c:v>2026</c:v>
                </c:pt>
                <c:pt idx="1">
                  <c:v>2027</c:v>
                </c:pt>
                <c:pt idx="2">
                  <c:v>2028</c:v>
                </c:pt>
                <c:pt idx="3">
                  <c:v>2029</c:v>
                </c:pt>
                <c:pt idx="4">
                  <c:v>2030</c:v>
                </c:pt>
                <c:pt idx="5">
                  <c:v>2031+</c:v>
                </c:pt>
              </c:strCache>
            </c:strRef>
          </c:cat>
          <c:val>
            <c:numRef>
              <c:f>Hoja1!$B$2:$B$7</c:f>
              <c:numCache>
                <c:formatCode>#,##0</c:formatCode>
                <c:ptCount val="6"/>
                <c:pt idx="0">
                  <c:v>178.174</c:v>
                </c:pt>
                <c:pt idx="1">
                  <c:v>295.595</c:v>
                </c:pt>
                <c:pt idx="2">
                  <c:v>41.782</c:v>
                </c:pt>
                <c:pt idx="3">
                  <c:v>68.65</c:v>
                </c:pt>
                <c:pt idx="4">
                  <c:v>71.685</c:v>
                </c:pt>
                <c:pt idx="5">
                  <c:v>136.667</c:v>
                </c:pt>
              </c:numCache>
            </c:numRef>
          </c:val>
        </c:ser>
        <c:gapWidth val="70"/>
        <c:overlap val="-10"/>
        <c:axId val="10"/>
        <c:axId val="20"/>
      </c:bar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17.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Usos de la caja (EUR, millones)</a:t>
            </a:r>
          </a:p>
        </c:rich>
      </c:tx>
      <c:overlay val="0"/>
    </c:title>
    <c:autoTitleDeleted val="0"/>
    <c:plotArea>
      <c:layout/>
      <c:barChart>
        <c:barDir val="col"/>
        <c:grouping val="stacked"/>
        <c:varyColors val="0"/>
        <c:ser>
          <c:idx val="0"/>
          <c:order val="0"/>
          <c:tx>
            <c:strRef>
              <c:f>Hoja1!$B$1</c:f>
              <c:strCache>
                <c:ptCount val="1"/>
                <c:pt idx="0">
                  <c:v>Adquisiciones</c:v>
                </c:pt>
              </c:strCache>
            </c:strRef>
          </c:tx>
          <c:spPr>
            <a:solidFill>
              <a:srgbClr val="2A78D6"/>
            </a:solidFill>
            <a:ln w="12700">
              <a:solidFill>
                <a:srgbClr val="FFFFFF"/>
              </a:solidFill>
            </a:ln>
          </c:spPr>
          <c:invertIfNegative val="0"/>
          <c:cat>
            <c:strRef>
              <c:f>Hoja1!$A$2:$A$9</c:f>
              <c:strCache>
                <c:ptCount val="8"/>
                <c:pt idx="0">
                  <c:v>2018</c:v>
                </c:pt>
                <c:pt idx="1">
                  <c:v>2019</c:v>
                </c:pt>
                <c:pt idx="2">
                  <c:v>2020</c:v>
                </c:pt>
                <c:pt idx="3">
                  <c:v>2021</c:v>
                </c:pt>
                <c:pt idx="4">
                  <c:v>2022</c:v>
                </c:pt>
                <c:pt idx="5">
                  <c:v>2023</c:v>
                </c:pt>
                <c:pt idx="6">
                  <c:v>2024</c:v>
                </c:pt>
                <c:pt idx="7">
                  <c:v>2025</c:v>
                </c:pt>
              </c:strCache>
            </c:strRef>
          </c:cat>
          <c:val>
            <c:numRef>
              <c:f>Hoja1!$B$2:$B$9</c:f>
              <c:numCache>
                <c:formatCode>#,##0</c:formatCode>
                <c:ptCount val="8"/>
                <c:pt idx="0">
                  <c:v>171.664</c:v>
                </c:pt>
                <c:pt idx="1">
                  <c:v>51.035</c:v>
                </c:pt>
                <c:pt idx="2">
                  <c:v>0</c:v>
                </c:pt>
                <c:pt idx="3">
                  <c:v>9.527</c:v>
                </c:pt>
                <c:pt idx="4">
                  <c:v>0</c:v>
                </c:pt>
                <c:pt idx="5">
                  <c:v>0</c:v>
                </c:pt>
                <c:pt idx="6">
                  <c:v>0.441</c:v>
                </c:pt>
                <c:pt idx="7">
                  <c:v>0.635</c:v>
                </c:pt>
              </c:numCache>
            </c:numRef>
          </c:val>
        </c:ser>
        <c:ser>
          <c:idx val="1"/>
          <c:order val="1"/>
          <c:tx>
            <c:strRef>
              <c:f>Hoja1!$C$1</c:f>
              <c:strCache>
                <c:ptCount val="1"/>
                <c:pt idx="0">
                  <c:v>Dividendos</c:v>
                </c:pt>
              </c:strCache>
            </c:strRef>
          </c:tx>
          <c:spPr>
            <a:solidFill>
              <a:srgbClr val="EB6834"/>
            </a:solidFill>
            <a:ln w="12700">
              <a:solidFill>
                <a:srgbClr val="FFFFFF"/>
              </a:solidFill>
            </a:ln>
          </c:spPr>
          <c:invertIfNegative val="0"/>
          <c:cat>
            <c:strRef>
              <c:f>Hoja1!$A$2:$A$9</c:f>
              <c:strCache>
                <c:ptCount val="8"/>
                <c:pt idx="0">
                  <c:v>2018</c:v>
                </c:pt>
                <c:pt idx="1">
                  <c:v>2019</c:v>
                </c:pt>
                <c:pt idx="2">
                  <c:v>2020</c:v>
                </c:pt>
                <c:pt idx="3">
                  <c:v>2021</c:v>
                </c:pt>
                <c:pt idx="4">
                  <c:v>2022</c:v>
                </c:pt>
                <c:pt idx="5">
                  <c:v>2023</c:v>
                </c:pt>
                <c:pt idx="6">
                  <c:v>2024</c:v>
                </c:pt>
                <c:pt idx="7">
                  <c:v>2025</c:v>
                </c:pt>
              </c:strCache>
            </c:strRef>
          </c:cat>
          <c:val>
            <c:numRef>
              <c:f>Hoja1!$C$2:$C$9</c:f>
              <c:numCache>
                <c:formatCode>#,##0</c:formatCode>
                <c:ptCount val="8"/>
                <c:pt idx="0">
                  <c:v>24.18</c:v>
                </c:pt>
                <c:pt idx="1">
                  <c:v>27.552</c:v>
                </c:pt>
                <c:pt idx="2">
                  <c:v>0.821</c:v>
                </c:pt>
                <c:pt idx="3">
                  <c:v>29.086</c:v>
                </c:pt>
                <c:pt idx="4">
                  <c:v>36.23</c:v>
                </c:pt>
                <c:pt idx="5">
                  <c:v>32.586</c:v>
                </c:pt>
                <c:pt idx="6">
                  <c:v>41.509</c:v>
                </c:pt>
                <c:pt idx="7">
                  <c:v>50.09</c:v>
                </c:pt>
              </c:numCache>
            </c:numRef>
          </c:val>
        </c:ser>
        <c:ser>
          <c:idx val="2"/>
          <c:order val="2"/>
          <c:tx>
            <c:strRef>
              <c:f>Hoja1!$D$1</c:f>
              <c:strCache>
                <c:ptCount val="1"/>
                <c:pt idx="0">
                  <c:v>Recompras</c:v>
                </c:pt>
              </c:strCache>
            </c:strRef>
          </c:tx>
          <c:spPr>
            <a:solidFill>
              <a:srgbClr val="1BAF7A"/>
            </a:solidFill>
            <a:ln w="12700">
              <a:solidFill>
                <a:srgbClr val="FFFFFF"/>
              </a:solidFill>
            </a:ln>
          </c:spPr>
          <c:invertIfNegative val="0"/>
          <c:cat>
            <c:strRef>
              <c:f>Hoja1!$A$2:$A$9</c:f>
              <c:strCache>
                <c:ptCount val="8"/>
                <c:pt idx="0">
                  <c:v>2018</c:v>
                </c:pt>
                <c:pt idx="1">
                  <c:v>2019</c:v>
                </c:pt>
                <c:pt idx="2">
                  <c:v>2020</c:v>
                </c:pt>
                <c:pt idx="3">
                  <c:v>2021</c:v>
                </c:pt>
                <c:pt idx="4">
                  <c:v>2022</c:v>
                </c:pt>
                <c:pt idx="5">
                  <c:v>2023</c:v>
                </c:pt>
                <c:pt idx="6">
                  <c:v>2024</c:v>
                </c:pt>
                <c:pt idx="7">
                  <c:v>2025</c:v>
                </c:pt>
              </c:strCache>
            </c:strRef>
          </c:cat>
          <c:val>
            <c:numRef>
              <c:f>Hoja1!$D$2:$D$9</c:f>
              <c:numCache>
                <c:formatCode>#,##0</c:formatCode>
                <c:ptCount val="8"/>
                <c:pt idx="0">
                  <c:v>0</c:v>
                </c:pt>
                <c:pt idx="1">
                  <c:v>0</c:v>
                </c:pt>
                <c:pt idx="2">
                  <c:v>0</c:v>
                </c:pt>
                <c:pt idx="3">
                  <c:v>0</c:v>
                </c:pt>
                <c:pt idx="4">
                  <c:v>1.384</c:v>
                </c:pt>
                <c:pt idx="5">
                  <c:v>0</c:v>
                </c:pt>
                <c:pt idx="6">
                  <c:v>0</c:v>
                </c:pt>
                <c:pt idx="7">
                  <c:v>0</c:v>
                </c:pt>
              </c:numCache>
            </c:numRef>
          </c:val>
        </c:ser>
        <c:gapWidth val="60"/>
        <c:overlap val="100"/>
        <c:axId val="10"/>
        <c:axId val="20"/>
      </c:bar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legend>
      <c:legendPos val="b"/>
      <c:overlay val="0"/>
      <c:txPr>
        <a:bodyPr/>
        <a:lstStyle/>
        <a:p>
          <a:pPr>
            <a:defRPr sz="850">
              <a:solidFill>
                <a:srgbClr val="52514E"/>
              </a:solidFill>
            </a:defRPr>
          </a:pPr>
          <a:endParaRPr lang="es-ES"/>
        </a:p>
      </c:txPr>
    </c:legend>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18.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Composición del consejo (número de consejeros)</a:t>
            </a:r>
          </a:p>
        </c:rich>
      </c:tx>
      <c:overlay val="0"/>
    </c:title>
    <c:autoTitleDeleted val="0"/>
    <c:plotArea>
      <c:layout/>
      <c:doughnutChart>
        <c:varyColors val="1"/>
        <c:ser>
          <c:idx val="0"/>
          <c:order val="0"/>
          <c:tx>
            <c:strRef>
              <c:f>Hoja1!$B$1</c:f>
              <c:strCache>
                <c:ptCount val="1"/>
                <c:pt idx="0">
                  <c:v>Consejeros</c:v>
                </c:pt>
              </c:strCache>
            </c:strRef>
          </c:tx>
          <c:dPt>
            <c:idx val="0"/>
            <c:bubble3D val="0"/>
            <c:spPr>
              <a:solidFill>
                <a:srgbClr val="2A78D6"/>
              </a:solidFill>
              <a:ln w="19050">
                <a:solidFill>
                  <a:srgbClr val="FFFFFF"/>
                </a:solidFill>
              </a:ln>
            </c:spPr>
          </c:dPt>
          <c:dPt>
            <c:idx val="1"/>
            <c:bubble3D val="0"/>
            <c:spPr>
              <a:solidFill>
                <a:srgbClr val="EB6834"/>
              </a:solidFill>
              <a:ln w="19050">
                <a:solidFill>
                  <a:srgbClr val="FFFFFF"/>
                </a:solidFill>
              </a:ln>
            </c:spPr>
          </c:dPt>
          <c:dPt>
            <c:idx val="2"/>
            <c:bubble3D val="0"/>
            <c:spPr>
              <a:solidFill>
                <a:srgbClr val="1BAF7A"/>
              </a:solidFill>
              <a:ln w="19050">
                <a:solidFill>
                  <a:srgbClr val="FFFFFF"/>
                </a:solidFill>
              </a:ln>
            </c:spPr>
          </c:dPt>
          <c:dPt>
            <c:idx val="3"/>
            <c:bubble3D val="0"/>
            <c:spPr>
              <a:solidFill>
                <a:srgbClr val="EDA100"/>
              </a:solidFill>
              <a:ln w="19050">
                <a:solidFill>
                  <a:srgbClr val="FFFFFF"/>
                </a:solidFill>
              </a:ln>
            </c:spPr>
          </c:dPt>
          <c:dLbls>
            <c:numFmt formatCode="0" sourceLinked="0"/>
            <c:spPr>
              <a:noFill/>
              <a:ln>
                <a:noFill/>
              </a:ln>
            </c:spPr>
            <c:txPr>
              <a:bodyPr/>
              <a:lstStyle/>
              <a:p>
                <a:pPr>
                  <a:defRPr sz="800">
                    <a:solidFill>
                      <a:srgbClr val="1F2A3C"/>
                    </a:solidFill>
                  </a:defRPr>
                </a:pPr>
                <a:endParaRPr lang="es-ES"/>
              </a:p>
            </c:txPr>
            <c:showLegendKey val="0"/>
            <c:showVal val="1"/>
            <c:showCatName val="0"/>
            <c:showSerName val="0"/>
            <c:showPercent val="0"/>
            <c:showBubbleSize val="0"/>
            <c:showLeaderLines val="1"/>
          </c:dLbls>
          <c:cat>
            <c:strRef>
              <c:f>Hoja1!$A$2:$A$5</c:f>
              <c:strCache>
                <c:ptCount val="4"/>
                <c:pt idx="0">
                  <c:v>Otro externo</c:v>
                </c:pt>
                <c:pt idx="1">
                  <c:v>Ejecutivo</c:v>
                </c:pt>
                <c:pt idx="2">
                  <c:v>Dominical</c:v>
                </c:pt>
                <c:pt idx="3">
                  <c:v>Independiente</c:v>
                </c:pt>
              </c:strCache>
            </c:strRef>
          </c:cat>
          <c:val>
            <c:numRef>
              <c:f>Hoja1!$B$2:$B$5</c:f>
              <c:numCache>
                <c:formatCode>0</c:formatCode>
                <c:ptCount val="4"/>
                <c:pt idx="0">
                  <c:v>3</c:v>
                </c:pt>
                <c:pt idx="1">
                  <c:v>2</c:v>
                </c:pt>
                <c:pt idx="2">
                  <c:v>2</c:v>
                </c:pt>
                <c:pt idx="3">
                  <c:v>3</c:v>
                </c:pt>
              </c:numCache>
            </c:numRef>
          </c:val>
        </c:ser>
        <c:firstSliceAng val="0"/>
        <c:holeSize val="55"/>
      </c:doughnutChart>
    </c:plotArea>
    <c:legend>
      <c:legendPos val="r"/>
      <c:overlay val="0"/>
      <c:txPr>
        <a:bodyPr/>
        <a:lstStyle/>
        <a:p>
          <a:pPr>
            <a:defRPr sz="850">
              <a:solidFill>
                <a:srgbClr val="52514E"/>
              </a:solidFill>
            </a:defRPr>
          </a:pPr>
          <a:endParaRPr lang="es-ES"/>
        </a:p>
      </c:txPr>
    </c:legend>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19.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Accionistas significativos (% del capital)</a:t>
            </a:r>
          </a:p>
        </c:rich>
      </c:tx>
      <c:overlay val="0"/>
    </c:title>
    <c:autoTitleDeleted val="0"/>
    <c:plotArea>
      <c:layout/>
      <c:barChart>
        <c:barDir val="bar"/>
        <c:grouping val="clustered"/>
        <c:varyColors val="0"/>
        <c:ser>
          <c:idx val="0"/>
          <c:order val="0"/>
          <c:tx>
            <c:strRef>
              <c:f>Hoja1!$B$1</c:f>
              <c:strCache>
                <c:ptCount val="1"/>
                <c:pt idx="0">
                  <c:v>% del capital</c:v>
                </c:pt>
              </c:strCache>
            </c:strRef>
          </c:tx>
          <c:spPr>
            <a:solidFill>
              <a:srgbClr val="2A78D6"/>
            </a:solidFill>
            <a:ln w="9525">
              <a:noFill/>
            </a:ln>
          </c:spPr>
          <c:invertIfNegative val="0"/>
          <c:dLbls>
            <c:numFmt formatCode="0.0&quot;%&quot;" sourceLinked="0"/>
            <c:spPr>
              <a:noFill/>
              <a:ln>
                <a:noFill/>
              </a:ln>
            </c:spPr>
            <c:txPr>
              <a:bodyPr/>
              <a:lstStyle/>
              <a:p>
                <a:pPr>
                  <a:defRPr sz="800">
                    <a:solidFill>
                      <a:srgbClr val="52514E"/>
                    </a:solidFill>
                  </a:defRPr>
                </a:pPr>
                <a:endParaRPr lang="es-ES"/>
              </a:p>
            </c:txPr>
            <c:dLblPos val="outEnd"/>
            <c:showLegendKey val="0"/>
            <c:showVal val="1"/>
            <c:showCatName val="0"/>
            <c:showSerName val="0"/>
            <c:showPercent val="0"/>
            <c:showBubbleSize val="0"/>
          </c:dLbls>
          <c:cat>
            <c:strRef>
              <c:f>Hoja1!$A$2:$A$9</c:f>
              <c:strCache>
                <c:ptCount val="8"/>
                <c:pt idx="0">
                  <c:v>Cartera Social, S.A. (sociedad de los empleados de CAF)</c:v>
                </c:pt>
                <c:pt idx="1">
                  <c:v>Bilbao Bizkaia Kutxa Fundación Bancaria (Kutxabank)</c:v>
                </c:pt>
                <c:pt idx="2">
                  <c:v>Fundació Privada Daniel Bravo Andreu (vía Danimar 1990, S.L.)</c:v>
                </c:pt>
                <c:pt idx="3">
                  <c:v>Indumenta Pueri, S.L. (vía Global Portfolio Investments, S.L.)</c:v>
                </c:pt>
                <c:pt idx="4">
                  <c:v>Instituto Vasco de Finanzas (vía Finkatze Kapitala Finkatuz, S.A.U.)</c:v>
                </c:pt>
                <c:pt idx="5">
                  <c:v>Independance AM</c:v>
                </c:pt>
                <c:pt idx="6">
                  <c:v>Autocartera (contrato de liquidez con Kutxabank Investment)</c:v>
                </c:pt>
                <c:pt idx="7">
                  <c:v>Consejeros (en conjunto)</c:v>
                </c:pt>
              </c:strCache>
            </c:strRef>
          </c:cat>
          <c:val>
            <c:numRef>
              <c:f>Hoja1!$B$2:$B$9</c:f>
              <c:numCache>
                <c:formatCode>0.0"%"</c:formatCode>
                <c:ptCount val="8"/>
                <c:pt idx="0">
                  <c:v>23.12</c:v>
                </c:pt>
                <c:pt idx="1">
                  <c:v>13.23</c:v>
                </c:pt>
                <c:pt idx="2">
                  <c:v>5.23</c:v>
                </c:pt>
                <c:pt idx="3">
                  <c:v>5.02</c:v>
                </c:pt>
                <c:pt idx="4">
                  <c:v>3</c:v>
                </c:pt>
                <c:pt idx="5">
                  <c:v>3.27</c:v>
                </c:pt>
                <c:pt idx="6">
                  <c:v>0.09</c:v>
                </c:pt>
                <c:pt idx="7">
                  <c:v>0.096</c:v>
                </c:pt>
              </c:numCache>
            </c:numRef>
          </c:val>
        </c:ser>
        <c:gapWidth val="70"/>
        <c:overlap val="-10"/>
        <c:axId val="10"/>
        <c:axId val="20"/>
      </c:barChart>
      <c:catAx>
        <c:axId val="10"/>
        <c:scaling>
          <c:orientation val="maxMin"/>
        </c:scaling>
        <c:delete val="0"/>
        <c:axPos val="l"/>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b"/>
        <c:majorGridlines>
          <c:spPr>
            <a:ln w="6350">
              <a:solidFill>
                <a:srgbClr val="E4E3DF"/>
              </a:solidFill>
            </a:ln>
          </c:spPr>
        </c:majorGridlines>
        <c:numFmt formatCode="0.0&quot;%&quot;" sourceLinked="0"/>
        <c:majorTickMark val="none"/>
        <c:minorTickMark val="none"/>
        <c:tickLblPos val="nextTo"/>
        <c:spPr>
          <a:ln>
            <a:noFill/>
          </a:ln>
        </c:spPr>
        <c:txPr>
          <a:bodyPr/>
          <a:lstStyle/>
          <a:p>
            <a:pPr>
              <a:defRPr sz="850">
                <a:solidFill>
                  <a:srgbClr val="52514E"/>
                </a:solidFill>
              </a:defRPr>
            </a:pPr>
            <a:endParaRPr lang="es-ES"/>
          </a:p>
        </c:txPr>
        <c:crossAx val="10"/>
        <c:crosses val="max"/>
        <c:crossBetween val="between"/>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20.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Rentabilidad total por año: acción frente a su índice (%)</a:t>
            </a:r>
          </a:p>
        </c:rich>
      </c:tx>
      <c:overlay val="0"/>
    </c:title>
    <c:autoTitleDeleted val="0"/>
    <c:plotArea>
      <c:layout/>
      <c:barChart>
        <c:barDir val="col"/>
        <c:grouping val="clustered"/>
        <c:varyColors val="0"/>
        <c:ser>
          <c:idx val="0"/>
          <c:order val="0"/>
          <c:tx>
            <c:strRef>
              <c:f>Hoja1!$B$1</c:f>
              <c:strCache>
                <c:ptCount val="1"/>
                <c:pt idx="0">
                  <c:v>Acción</c:v>
                </c:pt>
              </c:strCache>
            </c:strRef>
          </c:tx>
          <c:spPr>
            <a:solidFill>
              <a:srgbClr val="2A78D6"/>
            </a:solidFill>
            <a:ln w="9525">
              <a:noFill/>
            </a:ln>
          </c:spPr>
          <c:invertIfNegative val="0"/>
          <c:cat>
            <c:strRef>
              <c:f>Hoja1!$A$2:$A$11</c:f>
              <c:strCache>
                <c:ptCount val="10"/>
                <c:pt idx="0">
                  <c:v>2016</c:v>
                </c:pt>
                <c:pt idx="1">
                  <c:v>2017</c:v>
                </c:pt>
                <c:pt idx="2">
                  <c:v>2018</c:v>
                </c:pt>
                <c:pt idx="3">
                  <c:v>2019</c:v>
                </c:pt>
                <c:pt idx="4">
                  <c:v>2020</c:v>
                </c:pt>
                <c:pt idx="5">
                  <c:v>2021</c:v>
                </c:pt>
                <c:pt idx="6">
                  <c:v>2022</c:v>
                </c:pt>
                <c:pt idx="7">
                  <c:v>2023</c:v>
                </c:pt>
                <c:pt idx="8">
                  <c:v>2024</c:v>
                </c:pt>
                <c:pt idx="9">
                  <c:v>2025</c:v>
                </c:pt>
              </c:strCache>
            </c:strRef>
          </c:cat>
          <c:val>
            <c:numRef>
              <c:f>Hoja1!$B$2:$B$11</c:f>
              <c:numCache>
                <c:formatCode>0"%"</c:formatCode>
                <c:ptCount val="10"/>
                <c:pt idx="0">
                  <c:v>49.9</c:v>
                </c:pt>
                <c:pt idx="1">
                  <c:v>-10.8</c:v>
                </c:pt>
                <c:pt idx="2">
                  <c:v>5.9</c:v>
                </c:pt>
                <c:pt idx="3">
                  <c:v>13.3</c:v>
                </c:pt>
                <c:pt idx="4">
                  <c:v>-4.3</c:v>
                </c:pt>
                <c:pt idx="5">
                  <c:v>-6.8</c:v>
                </c:pt>
                <c:pt idx="6">
                  <c:v>-27.6</c:v>
                </c:pt>
                <c:pt idx="7">
                  <c:v>23</c:v>
                </c:pt>
                <c:pt idx="8">
                  <c:v>7.2</c:v>
                </c:pt>
                <c:pt idx="9">
                  <c:v>68.5</c:v>
                </c:pt>
              </c:numCache>
            </c:numRef>
          </c:val>
        </c:ser>
        <c:ser>
          <c:idx val="1"/>
          <c:order val="1"/>
          <c:tx>
            <c:strRef>
              <c:f>Hoja1!$C$1</c:f>
              <c:strCache>
                <c:ptCount val="1"/>
                <c:pt idx="0">
                  <c:v>Índice</c:v>
                </c:pt>
              </c:strCache>
            </c:strRef>
          </c:tx>
          <c:spPr>
            <a:solidFill>
              <a:srgbClr val="EB6834"/>
            </a:solidFill>
            <a:ln w="9525">
              <a:noFill/>
            </a:ln>
          </c:spPr>
          <c:invertIfNegative val="0"/>
          <c:cat>
            <c:strRef>
              <c:f>Hoja1!$A$2:$A$11</c:f>
              <c:strCache>
                <c:ptCount val="10"/>
                <c:pt idx="0">
                  <c:v>2016</c:v>
                </c:pt>
                <c:pt idx="1">
                  <c:v>2017</c:v>
                </c:pt>
                <c:pt idx="2">
                  <c:v>2018</c:v>
                </c:pt>
                <c:pt idx="3">
                  <c:v>2019</c:v>
                </c:pt>
                <c:pt idx="4">
                  <c:v>2020</c:v>
                </c:pt>
                <c:pt idx="5">
                  <c:v>2021</c:v>
                </c:pt>
                <c:pt idx="6">
                  <c:v>2022</c:v>
                </c:pt>
                <c:pt idx="7">
                  <c:v>2023</c:v>
                </c:pt>
                <c:pt idx="8">
                  <c:v>2024</c:v>
                </c:pt>
                <c:pt idx="9">
                  <c:v>2025</c:v>
                </c:pt>
              </c:strCache>
            </c:strRef>
          </c:cat>
          <c:val>
            <c:numRef>
              <c:f>Hoja1!$C$2:$C$11</c:f>
              <c:numCache>
                <c:formatCode>0"%"</c:formatCode>
                <c:ptCount val="10"/>
                <c:pt idx="0">
                  <c:v>-2</c:v>
                </c:pt>
                <c:pt idx="1">
                  <c:v>7.4</c:v>
                </c:pt>
                <c:pt idx="2">
                  <c:v>-15</c:v>
                </c:pt>
                <c:pt idx="3">
                  <c:v>11.8</c:v>
                </c:pt>
                <c:pt idx="4">
                  <c:v>-15.5</c:v>
                </c:pt>
                <c:pt idx="5">
                  <c:v>7.9</c:v>
                </c:pt>
                <c:pt idx="6">
                  <c:v>-5.6</c:v>
                </c:pt>
                <c:pt idx="7">
                  <c:v>22.8</c:v>
                </c:pt>
                <c:pt idx="8">
                  <c:v>14.8</c:v>
                </c:pt>
                <c:pt idx="9">
                  <c:v>49.3</c:v>
                </c:pt>
              </c:numCache>
            </c:numRef>
          </c:val>
        </c:ser>
        <c:gapWidth val="70"/>
        <c:overlap val="-10"/>
        <c:axId val="10"/>
        <c:axId val="20"/>
      </c:bar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quot;%&quot;"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legend>
      <c:legendPos val="b"/>
      <c:overlay val="0"/>
      <c:txPr>
        <a:bodyPr/>
        <a:lstStyle/>
        <a:p>
          <a:pPr>
            <a:defRPr sz="850">
              <a:solidFill>
                <a:srgbClr val="52514E"/>
              </a:solidFill>
            </a:defRPr>
          </a:pPr>
          <a:endParaRPr lang="es-ES"/>
        </a:p>
      </c:txPr>
    </c:legend>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21.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EV/EBITDA últimos 12 meses (cierre de cada año): historia y mediana (veces)</a:t>
            </a:r>
          </a:p>
        </c:rich>
      </c:tx>
      <c:overlay val="0"/>
    </c:title>
    <c:autoTitleDeleted val="0"/>
    <c:plotArea>
      <c:layout/>
      <c:lineChart>
        <c:grouping val="standard"/>
        <c:varyColors val="0"/>
        <c:ser>
          <c:idx val="0"/>
          <c:order val="0"/>
          <c:tx>
            <c:strRef>
              <c:f>Hoja1!$B$1</c:f>
              <c:strCache>
                <c:ptCount val="1"/>
                <c:pt idx="0">
                  <c:v>Múltiplo</c:v>
                </c:pt>
              </c:strCache>
            </c:strRef>
          </c:tx>
          <c:spPr>
            <a:ln w="25400" cap="rnd">
              <a:solidFill>
                <a:srgbClr val="2A78D6"/>
              </a:solidFill>
              <a:round/>
            </a:ln>
          </c:spPr>
          <c:marker>
            <c:symbol val="circle"/>
            <c:size val="6"/>
            <c:spPr>
              <a:solidFill>
                <a:srgbClr val="2A78D6"/>
              </a:solidFill>
              <a:ln w="9525">
                <a:solidFill>
                  <a:srgbClr val="FFFFFF"/>
                </a:solidFill>
              </a:ln>
            </c:spPr>
          </c:marker>
          <c:cat>
            <c:strRef>
              <c:f>Hoja1!$A$2:$A$9</c:f>
              <c:strCache>
                <c:ptCount val="8"/>
                <c:pt idx="0">
                  <c:v>2018</c:v>
                </c:pt>
                <c:pt idx="1">
                  <c:v>2019</c:v>
                </c:pt>
                <c:pt idx="2">
                  <c:v>2020</c:v>
                </c:pt>
                <c:pt idx="3">
                  <c:v>2021</c:v>
                </c:pt>
                <c:pt idx="4">
                  <c:v>2022</c:v>
                </c:pt>
                <c:pt idx="5">
                  <c:v>2023</c:v>
                </c:pt>
                <c:pt idx="6">
                  <c:v>2024</c:v>
                </c:pt>
                <c:pt idx="7">
                  <c:v>2025</c:v>
                </c:pt>
              </c:strCache>
            </c:strRef>
          </c:cat>
          <c:val>
            <c:numRef>
              <c:f>Hoja1!$B$2:$B$9</c:f>
              <c:numCache>
                <c:formatCode>0.0"x"</c:formatCode>
                <c:ptCount val="8"/>
                <c:pt idx="0">
                  <c:v>8.3</c:v>
                </c:pt>
                <c:pt idx="1">
                  <c:v>9.8</c:v>
                </c:pt>
                <c:pt idx="2">
                  <c:v>9.1</c:v>
                </c:pt>
                <c:pt idx="3">
                  <c:v>6.8</c:v>
                </c:pt>
                <c:pt idx="4">
                  <c:v>6.1</c:v>
                </c:pt>
                <c:pt idx="5">
                  <c:v>5.6</c:v>
                </c:pt>
                <c:pt idx="6">
                  <c:v>4.8</c:v>
                </c:pt>
                <c:pt idx="7">
                  <c:v>6.7</c:v>
                </c:pt>
              </c:numCache>
            </c:numRef>
          </c:val>
          <c:smooth val="0"/>
        </c:ser>
        <c:ser>
          <c:idx val="1"/>
          <c:order val="1"/>
          <c:tx>
            <c:strRef>
              <c:f>Hoja1!$C$1</c:f>
              <c:strCache>
                <c:ptCount val="1"/>
                <c:pt idx="0">
                  <c:v>Mediana del periodo</c:v>
                </c:pt>
              </c:strCache>
            </c:strRef>
          </c:tx>
          <c:spPr>
            <a:ln w="25400" cap="rnd">
              <a:solidFill>
                <a:srgbClr val="EB6834"/>
              </a:solidFill>
              <a:round/>
            </a:ln>
          </c:spPr>
          <c:marker>
            <c:symbol val="circle"/>
            <c:size val="6"/>
            <c:spPr>
              <a:solidFill>
                <a:srgbClr val="EB6834"/>
              </a:solidFill>
              <a:ln w="9525">
                <a:solidFill>
                  <a:srgbClr val="FFFFFF"/>
                </a:solidFill>
              </a:ln>
            </c:spPr>
          </c:marker>
          <c:cat>
            <c:strRef>
              <c:f>Hoja1!$A$2:$A$9</c:f>
              <c:strCache>
                <c:ptCount val="8"/>
                <c:pt idx="0">
                  <c:v>2018</c:v>
                </c:pt>
                <c:pt idx="1">
                  <c:v>2019</c:v>
                </c:pt>
                <c:pt idx="2">
                  <c:v>2020</c:v>
                </c:pt>
                <c:pt idx="3">
                  <c:v>2021</c:v>
                </c:pt>
                <c:pt idx="4">
                  <c:v>2022</c:v>
                </c:pt>
                <c:pt idx="5">
                  <c:v>2023</c:v>
                </c:pt>
                <c:pt idx="6">
                  <c:v>2024</c:v>
                </c:pt>
                <c:pt idx="7">
                  <c:v>2025</c:v>
                </c:pt>
              </c:strCache>
            </c:strRef>
          </c:cat>
          <c:val>
            <c:numRef>
              <c:f>Hoja1!$C$2:$C$9</c:f>
              <c:numCache>
                <c:formatCode>0.0"x"</c:formatCode>
                <c:ptCount val="8"/>
                <c:pt idx="0">
                  <c:v>6.8</c:v>
                </c:pt>
                <c:pt idx="1">
                  <c:v>6.8</c:v>
                </c:pt>
                <c:pt idx="2">
                  <c:v>6.8</c:v>
                </c:pt>
                <c:pt idx="3">
                  <c:v>6.8</c:v>
                </c:pt>
                <c:pt idx="4">
                  <c:v>6.8</c:v>
                </c:pt>
                <c:pt idx="5">
                  <c:v>6.8</c:v>
                </c:pt>
                <c:pt idx="6">
                  <c:v>6.8</c:v>
                </c:pt>
                <c:pt idx="7">
                  <c:v>6.8</c:v>
                </c:pt>
              </c:numCache>
            </c:numRef>
          </c:val>
          <c:smooth val="0"/>
        </c:ser>
        <c:marker val="1"/>
        <c:axId val="10"/>
        <c:axId val="20"/>
      </c:line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0&quot;x&quot;"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legend>
      <c:legendPos val="b"/>
      <c:overlay val="0"/>
      <c:txPr>
        <a:bodyPr/>
        <a:lstStyle/>
        <a:p>
          <a:pPr>
            <a:defRPr sz="850">
              <a:solidFill>
                <a:srgbClr val="52514E"/>
              </a:solidFill>
            </a:defRPr>
          </a:pPr>
          <a:endParaRPr lang="es-ES"/>
        </a:p>
      </c:txPr>
    </c:legend>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22.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EV/EBITDA de los próximos 12 meses: empresa y comparables (veces)</a:t>
            </a:r>
          </a:p>
        </c:rich>
      </c:tx>
      <c:overlay val="0"/>
    </c:title>
    <c:autoTitleDeleted val="0"/>
    <c:plotArea>
      <c:layout/>
      <c:barChart>
        <c:barDir val="bar"/>
        <c:grouping val="clustered"/>
        <c:varyColors val="0"/>
        <c:ser>
          <c:idx val="0"/>
          <c:order val="0"/>
          <c:tx>
            <c:strRef>
              <c:f>Hoja1!$B$1</c:f>
              <c:strCache>
                <c:ptCount val="1"/>
                <c:pt idx="0">
                  <c:v>EV/EBITDA NTM</c:v>
                </c:pt>
              </c:strCache>
            </c:strRef>
          </c:tx>
          <c:spPr>
            <a:solidFill>
              <a:srgbClr val="2A78D6"/>
            </a:solidFill>
            <a:ln w="9525">
              <a:noFill/>
            </a:ln>
          </c:spPr>
          <c:invertIfNegative val="0"/>
          <c:dPt>
            <c:idx val="1"/>
            <c:invertIfNegative val="0"/>
            <c:bubble3D val="0"/>
            <c:spPr>
              <a:solidFill>
                <a:srgbClr val="C9C8C2"/>
              </a:solidFill>
            </c:spPr>
          </c:dPt>
          <c:dPt>
            <c:idx val="2"/>
            <c:invertIfNegative val="0"/>
            <c:bubble3D val="0"/>
            <c:spPr>
              <a:solidFill>
                <a:srgbClr val="C9C8C2"/>
              </a:solidFill>
            </c:spPr>
          </c:dPt>
          <c:dPt>
            <c:idx val="3"/>
            <c:invertIfNegative val="0"/>
            <c:bubble3D val="0"/>
            <c:spPr>
              <a:solidFill>
                <a:srgbClr val="C9C8C2"/>
              </a:solidFill>
            </c:spPr>
          </c:dPt>
          <c:dPt>
            <c:idx val="4"/>
            <c:invertIfNegative val="0"/>
            <c:bubble3D val="0"/>
            <c:spPr>
              <a:solidFill>
                <a:srgbClr val="C9C8C2"/>
              </a:solidFill>
            </c:spPr>
          </c:dPt>
          <c:dPt>
            <c:idx val="5"/>
            <c:invertIfNegative val="0"/>
            <c:bubble3D val="0"/>
            <c:spPr>
              <a:solidFill>
                <a:srgbClr val="C9C8C2"/>
              </a:solidFill>
            </c:spPr>
          </c:dPt>
          <c:dPt>
            <c:idx val="6"/>
            <c:invertIfNegative val="0"/>
            <c:bubble3D val="0"/>
            <c:spPr>
              <a:solidFill>
                <a:srgbClr val="C9C8C2"/>
              </a:solidFill>
            </c:spPr>
          </c:dPt>
          <c:dPt>
            <c:idx val="7"/>
            <c:invertIfNegative val="0"/>
            <c:bubble3D val="0"/>
            <c:spPr>
              <a:solidFill>
                <a:srgbClr val="C9C8C2"/>
              </a:solidFill>
            </c:spPr>
          </c:dPt>
          <c:dLbls>
            <c:numFmt formatCode="0.0&quot;x&quot;" sourceLinked="0"/>
            <c:spPr>
              <a:noFill/>
              <a:ln>
                <a:noFill/>
              </a:ln>
            </c:spPr>
            <c:txPr>
              <a:bodyPr/>
              <a:lstStyle/>
              <a:p>
                <a:pPr>
                  <a:defRPr sz="800">
                    <a:solidFill>
                      <a:srgbClr val="52514E"/>
                    </a:solidFill>
                  </a:defRPr>
                </a:pPr>
                <a:endParaRPr lang="es-ES"/>
              </a:p>
            </c:txPr>
            <c:dLblPos val="outEnd"/>
            <c:showLegendKey val="0"/>
            <c:showVal val="1"/>
            <c:showCatName val="0"/>
            <c:showSerName val="0"/>
            <c:showPercent val="0"/>
            <c:showBubbleSize val="0"/>
          </c:dLbls>
          <c:cat>
            <c:strRef>
              <c:f>Hoja1!$A$2:$A$9</c:f>
              <c:strCache>
                <c:ptCount val="8"/>
                <c:pt idx="0">
                  <c:v>CAF</c:v>
                </c:pt>
                <c:pt idx="1">
                  <c:v>Alstom</c:v>
                </c:pt>
                <c:pt idx="2">
                  <c:v>Stadler Rail</c:v>
                </c:pt>
                <c:pt idx="3">
                  <c:v>Talgo</c:v>
                </c:pt>
                <c:pt idx="4">
                  <c:v>Knorr-Bremse</c:v>
                </c:pt>
                <c:pt idx="5">
                  <c:v>Wabtec</c:v>
                </c:pt>
                <c:pt idx="6">
                  <c:v>Daimler Truck</c:v>
                </c:pt>
                <c:pt idx="7">
                  <c:v>Volvo</c:v>
                </c:pt>
              </c:strCache>
            </c:strRef>
          </c:cat>
          <c:val>
            <c:numRef>
              <c:f>Hoja1!$B$2:$B$9</c:f>
              <c:numCache>
                <c:formatCode>0.0"x"</c:formatCode>
                <c:ptCount val="8"/>
                <c:pt idx="0">
                  <c:v>7</c:v>
                </c:pt>
                <c:pt idx="1">
                  <c:v>4.8</c:v>
                </c:pt>
                <c:pt idx="2">
                  <c:v>7.3</c:v>
                </c:pt>
                <c:pt idx="3">
                  <c:v>9</c:v>
                </c:pt>
                <c:pt idx="4">
                  <c:v>10.5</c:v>
                </c:pt>
                <c:pt idx="5">
                  <c:v>16.2</c:v>
                </c:pt>
                <c:pt idx="6">
                  <c:v>4.1</c:v>
                </c:pt>
                <c:pt idx="7">
                  <c:v>6.8</c:v>
                </c:pt>
              </c:numCache>
            </c:numRef>
          </c:val>
        </c:ser>
        <c:gapWidth val="70"/>
        <c:overlap val="-10"/>
        <c:axId val="10"/>
        <c:axId val="20"/>
      </c:barChart>
      <c:catAx>
        <c:axId val="10"/>
        <c:scaling>
          <c:orientation val="maxMin"/>
        </c:scaling>
        <c:delete val="0"/>
        <c:axPos val="l"/>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b"/>
        <c:majorGridlines>
          <c:spPr>
            <a:ln w="6350">
              <a:solidFill>
                <a:srgbClr val="E4E3DF"/>
              </a:solidFill>
            </a:ln>
          </c:spPr>
        </c:majorGridlines>
        <c:numFmt formatCode="0.0&quot;x&quot;" sourceLinked="0"/>
        <c:majorTickMark val="none"/>
        <c:minorTickMark val="none"/>
        <c:tickLblPos val="nextTo"/>
        <c:spPr>
          <a:ln>
            <a:noFill/>
          </a:ln>
        </c:spPr>
        <c:txPr>
          <a:bodyPr/>
          <a:lstStyle/>
          <a:p>
            <a:pPr>
              <a:defRPr sz="850">
                <a:solidFill>
                  <a:srgbClr val="52514E"/>
                </a:solidFill>
              </a:defRPr>
            </a:pPr>
            <a:endParaRPr lang="es-ES"/>
          </a:p>
        </c:txPr>
        <c:crossAx val="10"/>
        <c:crosses val="max"/>
        <c:crossBetween val="between"/>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23.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Crecimiento esperado frente a múltiplo</a:t>
            </a:r>
          </a:p>
        </c:rich>
      </c:tx>
      <c:overlay val="0"/>
    </c:title>
    <c:autoTitleDeleted val="0"/>
    <c:plotArea>
      <c:layout/>
      <c:scatterChart>
        <c:scatterStyle val="lineMarker"/>
        <c:varyColors val="0"/>
        <c:ser>
          <c:idx val="0"/>
          <c:order val="0"/>
          <c:tx>
            <c:strRef>
              <c:f>Hoja1!$A$2</c:f>
              <c:strCache>
                <c:ptCount val="1"/>
                <c:pt idx="0">
                  <c:v>CAF</c:v>
                </c:pt>
              </c:strCache>
            </c:strRef>
          </c:tx>
          <c:spPr>
            <a:ln w="19050">
              <a:noFill/>
            </a:ln>
          </c:spPr>
          <c:marker>
            <c:symbol val="circle"/>
            <c:size val="10"/>
            <c:spPr>
              <a:solidFill>
                <a:srgbClr val="2A78D6"/>
              </a:solidFill>
              <a:ln w="9525">
                <a:solidFill>
                  <a:srgbClr val="FFFFFF"/>
                </a:solidFill>
              </a:ln>
            </c:spPr>
          </c:marker>
          <c:dLbls>
            <c:spPr>
              <a:noFill/>
              <a:ln>
                <a:noFill/>
              </a:ln>
            </c:spPr>
            <c:txPr>
              <a:bodyPr/>
              <a:lstStyle/>
              <a:p>
                <a:pPr>
                  <a:defRPr sz="800">
                    <a:solidFill>
                      <a:srgbClr val="1F2A3C"/>
                    </a:solidFill>
                  </a:defRPr>
                </a:pPr>
                <a:endParaRPr lang="es-ES"/>
              </a:p>
            </c:txPr>
            <c:dLblPos val="r"/>
            <c:showLegendKey val="0"/>
            <c:showVal val="0"/>
            <c:showCatName val="0"/>
            <c:showSerName val="1"/>
            <c:showPercent val="0"/>
            <c:showBubbleSize val="0"/>
          </c:dLbls>
          <c:xVal>
            <c:numRef>
              <c:f>Hoja1!$B$2</c:f>
              <c:numCache>
                <c:formatCode>0"%"</c:formatCode>
                <c:ptCount val="1"/>
                <c:pt idx="0">
                  <c:v>6.8</c:v>
                </c:pt>
              </c:numCache>
            </c:numRef>
          </c:xVal>
          <c:yVal>
            <c:numRef>
              <c:f>Hoja1!$C$2</c:f>
              <c:numCache>
                <c:formatCode>0.0"x"</c:formatCode>
                <c:ptCount val="1"/>
                <c:pt idx="0">
                  <c:v>7</c:v>
                </c:pt>
              </c:numCache>
            </c:numRef>
          </c:yVal>
          <c:smooth val="0"/>
        </c:ser>
        <c:ser>
          <c:idx val="1"/>
          <c:order val="1"/>
          <c:tx>
            <c:strRef>
              <c:f>Hoja1!$A$3</c:f>
              <c:strCache>
                <c:ptCount val="1"/>
                <c:pt idx="0">
                  <c:v>Alstom</c:v>
                </c:pt>
              </c:strCache>
            </c:strRef>
          </c:tx>
          <c:spPr>
            <a:ln w="19050">
              <a:noFill/>
            </a:ln>
          </c:spPr>
          <c:marker>
            <c:symbol val="circle"/>
            <c:size val="8"/>
            <c:spPr>
              <a:solidFill>
                <a:srgbClr val="8A8984"/>
              </a:solidFill>
              <a:ln w="9525">
                <a:solidFill>
                  <a:srgbClr val="FFFFFF"/>
                </a:solidFill>
              </a:ln>
            </c:spPr>
          </c:marker>
          <c:dLbls>
            <c:spPr>
              <a:noFill/>
              <a:ln>
                <a:noFill/>
              </a:ln>
            </c:spPr>
            <c:txPr>
              <a:bodyPr/>
              <a:lstStyle/>
              <a:p>
                <a:pPr>
                  <a:defRPr sz="800">
                    <a:solidFill>
                      <a:srgbClr val="52514E"/>
                    </a:solidFill>
                  </a:defRPr>
                </a:pPr>
                <a:endParaRPr lang="es-ES"/>
              </a:p>
            </c:txPr>
            <c:dLblPos val="r"/>
            <c:showLegendKey val="0"/>
            <c:showVal val="0"/>
            <c:showCatName val="0"/>
            <c:showSerName val="1"/>
            <c:showPercent val="0"/>
            <c:showBubbleSize val="0"/>
          </c:dLbls>
          <c:xVal>
            <c:numRef>
              <c:f>Hoja1!$B$3</c:f>
              <c:numCache>
                <c:formatCode>0"%"</c:formatCode>
                <c:ptCount val="1"/>
                <c:pt idx="0">
                  <c:v>5.6</c:v>
                </c:pt>
              </c:numCache>
            </c:numRef>
          </c:xVal>
          <c:yVal>
            <c:numRef>
              <c:f>Hoja1!$C$3</c:f>
              <c:numCache>
                <c:formatCode>0.0"x"</c:formatCode>
                <c:ptCount val="1"/>
                <c:pt idx="0">
                  <c:v>4.8</c:v>
                </c:pt>
              </c:numCache>
            </c:numRef>
          </c:yVal>
          <c:smooth val="0"/>
        </c:ser>
        <c:ser>
          <c:idx val="2"/>
          <c:order val="2"/>
          <c:tx>
            <c:strRef>
              <c:f>Hoja1!$A$4</c:f>
              <c:strCache>
                <c:ptCount val="1"/>
                <c:pt idx="0">
                  <c:v>Stadler Rail</c:v>
                </c:pt>
              </c:strCache>
            </c:strRef>
          </c:tx>
          <c:spPr>
            <a:ln w="19050">
              <a:noFill/>
            </a:ln>
          </c:spPr>
          <c:marker>
            <c:symbol val="circle"/>
            <c:size val="8"/>
            <c:spPr>
              <a:solidFill>
                <a:srgbClr val="8A8984"/>
              </a:solidFill>
              <a:ln w="9525">
                <a:solidFill>
                  <a:srgbClr val="FFFFFF"/>
                </a:solidFill>
              </a:ln>
            </c:spPr>
          </c:marker>
          <c:dLbls>
            <c:spPr>
              <a:noFill/>
              <a:ln>
                <a:noFill/>
              </a:ln>
            </c:spPr>
            <c:txPr>
              <a:bodyPr/>
              <a:lstStyle/>
              <a:p>
                <a:pPr>
                  <a:defRPr sz="800">
                    <a:solidFill>
                      <a:srgbClr val="52514E"/>
                    </a:solidFill>
                  </a:defRPr>
                </a:pPr>
                <a:endParaRPr lang="es-ES"/>
              </a:p>
            </c:txPr>
            <c:dLblPos val="r"/>
            <c:showLegendKey val="0"/>
            <c:showVal val="0"/>
            <c:showCatName val="0"/>
            <c:showSerName val="1"/>
            <c:showPercent val="0"/>
            <c:showBubbleSize val="0"/>
          </c:dLbls>
          <c:xVal>
            <c:numRef>
              <c:f>Hoja1!$B$4</c:f>
              <c:numCache>
                <c:formatCode>0"%"</c:formatCode>
                <c:ptCount val="1"/>
                <c:pt idx="0">
                  <c:v>24</c:v>
                </c:pt>
              </c:numCache>
            </c:numRef>
          </c:xVal>
          <c:yVal>
            <c:numRef>
              <c:f>Hoja1!$C$4</c:f>
              <c:numCache>
                <c:formatCode>0.0"x"</c:formatCode>
                <c:ptCount val="1"/>
                <c:pt idx="0">
                  <c:v>7.3</c:v>
                </c:pt>
              </c:numCache>
            </c:numRef>
          </c:yVal>
          <c:smooth val="0"/>
        </c:ser>
        <c:ser>
          <c:idx val="3"/>
          <c:order val="3"/>
          <c:tx>
            <c:strRef>
              <c:f>Hoja1!$A$5</c:f>
              <c:strCache>
                <c:ptCount val="1"/>
                <c:pt idx="0">
                  <c:v>Talgo</c:v>
                </c:pt>
              </c:strCache>
            </c:strRef>
          </c:tx>
          <c:spPr>
            <a:ln w="19050">
              <a:noFill/>
            </a:ln>
          </c:spPr>
          <c:marker>
            <c:symbol val="circle"/>
            <c:size val="8"/>
            <c:spPr>
              <a:solidFill>
                <a:srgbClr val="8A8984"/>
              </a:solidFill>
              <a:ln w="9525">
                <a:solidFill>
                  <a:srgbClr val="FFFFFF"/>
                </a:solidFill>
              </a:ln>
            </c:spPr>
          </c:marker>
          <c:dLbls>
            <c:spPr>
              <a:noFill/>
              <a:ln>
                <a:noFill/>
              </a:ln>
            </c:spPr>
            <c:txPr>
              <a:bodyPr/>
              <a:lstStyle/>
              <a:p>
                <a:pPr>
                  <a:defRPr sz="800">
                    <a:solidFill>
                      <a:srgbClr val="52514E"/>
                    </a:solidFill>
                  </a:defRPr>
                </a:pPr>
                <a:endParaRPr lang="es-ES"/>
              </a:p>
            </c:txPr>
            <c:dLblPos val="r"/>
            <c:showLegendKey val="0"/>
            <c:showVal val="0"/>
            <c:showCatName val="0"/>
            <c:showSerName val="1"/>
            <c:showPercent val="0"/>
            <c:showBubbleSize val="0"/>
          </c:dLbls>
          <c:xVal>
            <c:numRef>
              <c:f>Hoja1!$B$5</c:f>
              <c:numCache>
                <c:formatCode>0"%"</c:formatCode>
                <c:ptCount val="1"/>
                <c:pt idx="0">
                  <c:v>16.1</c:v>
                </c:pt>
              </c:numCache>
            </c:numRef>
          </c:xVal>
          <c:yVal>
            <c:numRef>
              <c:f>Hoja1!$C$5</c:f>
              <c:numCache>
                <c:formatCode>0.0"x"</c:formatCode>
                <c:ptCount val="1"/>
                <c:pt idx="0">
                  <c:v>9</c:v>
                </c:pt>
              </c:numCache>
            </c:numRef>
          </c:yVal>
          <c:smooth val="0"/>
        </c:ser>
        <c:ser>
          <c:idx val="4"/>
          <c:order val="4"/>
          <c:tx>
            <c:strRef>
              <c:f>Hoja1!$A$6</c:f>
              <c:strCache>
                <c:ptCount val="1"/>
                <c:pt idx="0">
                  <c:v>Knorr-Bremse</c:v>
                </c:pt>
              </c:strCache>
            </c:strRef>
          </c:tx>
          <c:spPr>
            <a:ln w="19050">
              <a:noFill/>
            </a:ln>
          </c:spPr>
          <c:marker>
            <c:symbol val="circle"/>
            <c:size val="8"/>
            <c:spPr>
              <a:solidFill>
                <a:srgbClr val="8A8984"/>
              </a:solidFill>
              <a:ln w="9525">
                <a:solidFill>
                  <a:srgbClr val="FFFFFF"/>
                </a:solidFill>
              </a:ln>
            </c:spPr>
          </c:marker>
          <c:dLbls>
            <c:spPr>
              <a:noFill/>
              <a:ln>
                <a:noFill/>
              </a:ln>
            </c:spPr>
            <c:txPr>
              <a:bodyPr/>
              <a:lstStyle/>
              <a:p>
                <a:pPr>
                  <a:defRPr sz="800">
                    <a:solidFill>
                      <a:srgbClr val="52514E"/>
                    </a:solidFill>
                  </a:defRPr>
                </a:pPr>
                <a:endParaRPr lang="es-ES"/>
              </a:p>
            </c:txPr>
            <c:dLblPos val="r"/>
            <c:showLegendKey val="0"/>
            <c:showVal val="0"/>
            <c:showCatName val="0"/>
            <c:showSerName val="1"/>
            <c:showPercent val="0"/>
            <c:showBubbleSize val="0"/>
          </c:dLbls>
          <c:xVal>
            <c:numRef>
              <c:f>Hoja1!$B$6</c:f>
              <c:numCache>
                <c:formatCode>0"%"</c:formatCode>
                <c:ptCount val="1"/>
                <c:pt idx="0">
                  <c:v>6</c:v>
                </c:pt>
              </c:numCache>
            </c:numRef>
          </c:xVal>
          <c:yVal>
            <c:numRef>
              <c:f>Hoja1!$C$6</c:f>
              <c:numCache>
                <c:formatCode>0.0"x"</c:formatCode>
                <c:ptCount val="1"/>
                <c:pt idx="0">
                  <c:v>10.5</c:v>
                </c:pt>
              </c:numCache>
            </c:numRef>
          </c:yVal>
          <c:smooth val="0"/>
        </c:ser>
        <c:ser>
          <c:idx val="5"/>
          <c:order val="5"/>
          <c:tx>
            <c:strRef>
              <c:f>Hoja1!$A$7</c:f>
              <c:strCache>
                <c:ptCount val="1"/>
                <c:pt idx="0">
                  <c:v>Wabtec</c:v>
                </c:pt>
              </c:strCache>
            </c:strRef>
          </c:tx>
          <c:spPr>
            <a:ln w="19050">
              <a:noFill/>
            </a:ln>
          </c:spPr>
          <c:marker>
            <c:symbol val="circle"/>
            <c:size val="8"/>
            <c:spPr>
              <a:solidFill>
                <a:srgbClr val="8A8984"/>
              </a:solidFill>
              <a:ln w="9525">
                <a:solidFill>
                  <a:srgbClr val="FFFFFF"/>
                </a:solidFill>
              </a:ln>
            </c:spPr>
          </c:marker>
          <c:dLbls>
            <c:spPr>
              <a:noFill/>
              <a:ln>
                <a:noFill/>
              </a:ln>
            </c:spPr>
            <c:txPr>
              <a:bodyPr/>
              <a:lstStyle/>
              <a:p>
                <a:pPr>
                  <a:defRPr sz="800">
                    <a:solidFill>
                      <a:srgbClr val="52514E"/>
                    </a:solidFill>
                  </a:defRPr>
                </a:pPr>
                <a:endParaRPr lang="es-ES"/>
              </a:p>
            </c:txPr>
            <c:dLblPos val="r"/>
            <c:showLegendKey val="0"/>
            <c:showVal val="0"/>
            <c:showCatName val="0"/>
            <c:showSerName val="1"/>
            <c:showPercent val="0"/>
            <c:showBubbleSize val="0"/>
          </c:dLbls>
          <c:xVal>
            <c:numRef>
              <c:f>Hoja1!$B$7</c:f>
              <c:numCache>
                <c:formatCode>0"%"</c:formatCode>
                <c:ptCount val="1"/>
                <c:pt idx="0">
                  <c:v>10.1</c:v>
                </c:pt>
              </c:numCache>
            </c:numRef>
          </c:xVal>
          <c:yVal>
            <c:numRef>
              <c:f>Hoja1!$C$7</c:f>
              <c:numCache>
                <c:formatCode>0.0"x"</c:formatCode>
                <c:ptCount val="1"/>
                <c:pt idx="0">
                  <c:v>16.2</c:v>
                </c:pt>
              </c:numCache>
            </c:numRef>
          </c:yVal>
          <c:smooth val="0"/>
        </c:ser>
        <c:ser>
          <c:idx val="6"/>
          <c:order val="6"/>
          <c:tx>
            <c:strRef>
              <c:f>Hoja1!$A$8</c:f>
              <c:strCache>
                <c:ptCount val="1"/>
                <c:pt idx="0">
                  <c:v>Daimler Truck</c:v>
                </c:pt>
              </c:strCache>
            </c:strRef>
          </c:tx>
          <c:spPr>
            <a:ln w="19050">
              <a:noFill/>
            </a:ln>
          </c:spPr>
          <c:marker>
            <c:symbol val="circle"/>
            <c:size val="8"/>
            <c:spPr>
              <a:solidFill>
                <a:srgbClr val="8A8984"/>
              </a:solidFill>
              <a:ln w="9525">
                <a:solidFill>
                  <a:srgbClr val="FFFFFF"/>
                </a:solidFill>
              </a:ln>
            </c:spPr>
          </c:marker>
          <c:dLbls>
            <c:spPr>
              <a:noFill/>
              <a:ln>
                <a:noFill/>
              </a:ln>
            </c:spPr>
            <c:txPr>
              <a:bodyPr/>
              <a:lstStyle/>
              <a:p>
                <a:pPr>
                  <a:defRPr sz="800">
                    <a:solidFill>
                      <a:srgbClr val="52514E"/>
                    </a:solidFill>
                  </a:defRPr>
                </a:pPr>
                <a:endParaRPr lang="es-ES"/>
              </a:p>
            </c:txPr>
            <c:dLblPos val="r"/>
            <c:showLegendKey val="0"/>
            <c:showVal val="0"/>
            <c:showCatName val="0"/>
            <c:showSerName val="1"/>
            <c:showPercent val="0"/>
            <c:showBubbleSize val="0"/>
          </c:dLbls>
          <c:xVal>
            <c:numRef>
              <c:f>Hoja1!$B$8</c:f>
              <c:numCache>
                <c:formatCode>0"%"</c:formatCode>
                <c:ptCount val="1"/>
                <c:pt idx="0">
                  <c:v>3.5</c:v>
                </c:pt>
              </c:numCache>
            </c:numRef>
          </c:xVal>
          <c:yVal>
            <c:numRef>
              <c:f>Hoja1!$C$8</c:f>
              <c:numCache>
                <c:formatCode>0.0"x"</c:formatCode>
                <c:ptCount val="1"/>
                <c:pt idx="0">
                  <c:v>4.1</c:v>
                </c:pt>
              </c:numCache>
            </c:numRef>
          </c:yVal>
          <c:smooth val="0"/>
        </c:ser>
        <c:ser>
          <c:idx val="7"/>
          <c:order val="7"/>
          <c:tx>
            <c:strRef>
              <c:f>Hoja1!$A$9</c:f>
              <c:strCache>
                <c:ptCount val="1"/>
                <c:pt idx="0">
                  <c:v>Volvo</c:v>
                </c:pt>
              </c:strCache>
            </c:strRef>
          </c:tx>
          <c:spPr>
            <a:ln w="19050">
              <a:noFill/>
            </a:ln>
          </c:spPr>
          <c:marker>
            <c:symbol val="circle"/>
            <c:size val="8"/>
            <c:spPr>
              <a:solidFill>
                <a:srgbClr val="8A8984"/>
              </a:solidFill>
              <a:ln w="9525">
                <a:solidFill>
                  <a:srgbClr val="FFFFFF"/>
                </a:solidFill>
              </a:ln>
            </c:spPr>
          </c:marker>
          <c:dLbls>
            <c:spPr>
              <a:noFill/>
              <a:ln>
                <a:noFill/>
              </a:ln>
            </c:spPr>
            <c:txPr>
              <a:bodyPr/>
              <a:lstStyle/>
              <a:p>
                <a:pPr>
                  <a:defRPr sz="800">
                    <a:solidFill>
                      <a:srgbClr val="52514E"/>
                    </a:solidFill>
                  </a:defRPr>
                </a:pPr>
                <a:endParaRPr lang="es-ES"/>
              </a:p>
            </c:txPr>
            <c:dLblPos val="r"/>
            <c:showLegendKey val="0"/>
            <c:showVal val="0"/>
            <c:showCatName val="0"/>
            <c:showSerName val="1"/>
            <c:showPercent val="0"/>
            <c:showBubbleSize val="0"/>
          </c:dLbls>
          <c:xVal>
            <c:numRef>
              <c:f>Hoja1!$B$9</c:f>
              <c:numCache>
                <c:formatCode>0"%"</c:formatCode>
                <c:ptCount val="1"/>
                <c:pt idx="0">
                  <c:v>6.7</c:v>
                </c:pt>
              </c:numCache>
            </c:numRef>
          </c:xVal>
          <c:yVal>
            <c:numRef>
              <c:f>Hoja1!$C$9</c:f>
              <c:numCache>
                <c:formatCode>0.0"x"</c:formatCode>
                <c:ptCount val="1"/>
                <c:pt idx="0">
                  <c:v>6.8</c:v>
                </c:pt>
              </c:numCache>
            </c:numRef>
          </c:yVal>
          <c:smooth val="0"/>
        </c:ser>
        <c:axId val="10"/>
        <c:axId val="20"/>
      </c:scatterChart>
      <c:valAx>
        <c:axId val="10"/>
        <c:scaling>
          <c:orientation val="minMax"/>
          <c:max val="30"/>
        </c:scaling>
        <c:delete val="0"/>
        <c:axPos val="b"/>
        <c:title>
          <c:tx>
            <c:rich>
              <a:bodyPr/>
              <a:lstStyle/>
              <a:p>
                <a:pPr>
                  <a:defRPr sz="850" b="0">
                    <a:solidFill>
                      <a:srgbClr val="52514E"/>
                    </a:solidFill>
                  </a:defRPr>
                </a:pPr>
                <a:r>
                  <a:rPr lang="es-ES" sz="850" b="0">
                    <a:solidFill>
                      <a:srgbClr val="52514E"/>
                    </a:solidFill>
                  </a:rPr>
                  <a:t>Crecimiento de ingresos próximos 12 meses (%)</a:t>
                </a:r>
              </a:p>
            </c:rich>
          </c:tx>
          <c:overlay val="0"/>
        </c:title>
        <c:numFmt formatCode="0&quot;%&quot;"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crossBetween val="midCat"/>
      </c:valAx>
      <c:valAx>
        <c:axId val="20"/>
        <c:scaling>
          <c:orientation val="minMax"/>
        </c:scaling>
        <c:delete val="0"/>
        <c:axPos val="l"/>
        <c:majorGridlines>
          <c:spPr>
            <a:ln w="6350">
              <a:solidFill>
                <a:srgbClr val="E4E3DF"/>
              </a:solidFill>
            </a:ln>
          </c:spPr>
        </c:majorGridlines>
        <c:title>
          <c:tx>
            <c:rich>
              <a:bodyPr rot="-5400000" vert="horz"/>
              <a:lstStyle/>
              <a:p>
                <a:pPr>
                  <a:defRPr sz="850" b="0">
                    <a:solidFill>
                      <a:srgbClr val="52514E"/>
                    </a:solidFill>
                  </a:defRPr>
                </a:pPr>
                <a:r>
                  <a:rPr lang="es-ES" sz="850" b="0">
                    <a:solidFill>
                      <a:srgbClr val="52514E"/>
                    </a:solidFill>
                  </a:rPr>
                  <a:t>EV/EBITDA NTM (x)</a:t>
                </a:r>
              </a:p>
            </c:rich>
          </c:tx>
          <c:overlay val="0"/>
        </c:title>
        <c:numFmt formatCode="0.0&quot;x&quot;" sourceLinked="0"/>
        <c:majorTickMark val="none"/>
        <c:minorTickMark val="none"/>
        <c:tickLblPos val="low"/>
        <c:spPr>
          <a:ln>
            <a:noFill/>
          </a:ln>
        </c:spPr>
        <c:txPr>
          <a:bodyPr/>
          <a:lstStyle/>
          <a:p>
            <a:pPr>
              <a:defRPr sz="850">
                <a:solidFill>
                  <a:srgbClr val="52514E"/>
                </a:solidFill>
              </a:defRPr>
            </a:pPr>
            <a:endParaRPr lang="es-ES"/>
          </a:p>
        </c:txPr>
        <c:crossAx val="10"/>
        <c:crosses val="autoZero"/>
        <c:crossBetween val="midCat"/>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24.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EV/EBITDA pagado en transacciones del sector (veces)</a:t>
            </a:r>
          </a:p>
        </c:rich>
      </c:tx>
      <c:overlay val="0"/>
    </c:title>
    <c:autoTitleDeleted val="0"/>
    <c:plotArea>
      <c:layout/>
      <c:barChart>
        <c:barDir val="bar"/>
        <c:grouping val="clustered"/>
        <c:varyColors val="0"/>
        <c:ser>
          <c:idx val="0"/>
          <c:order val="0"/>
          <c:tx>
            <c:strRef>
              <c:f>Hoja1!$B$1</c:f>
              <c:strCache>
                <c:ptCount val="1"/>
                <c:pt idx="0">
                  <c:v>EV/EBITDA</c:v>
                </c:pt>
              </c:strCache>
            </c:strRef>
          </c:tx>
          <c:spPr>
            <a:solidFill>
              <a:srgbClr val="2A78D6"/>
            </a:solidFill>
            <a:ln w="9525">
              <a:noFill/>
            </a:ln>
          </c:spPr>
          <c:invertIfNegative val="0"/>
          <c:dLbls>
            <c:numFmt formatCode="0.0&quot;x&quot;" sourceLinked="0"/>
            <c:spPr>
              <a:noFill/>
              <a:ln>
                <a:noFill/>
              </a:ln>
            </c:spPr>
            <c:txPr>
              <a:bodyPr/>
              <a:lstStyle/>
              <a:p>
                <a:pPr>
                  <a:defRPr sz="800">
                    <a:solidFill>
                      <a:srgbClr val="52514E"/>
                    </a:solidFill>
                  </a:defRPr>
                </a:pPr>
                <a:endParaRPr lang="es-ES"/>
              </a:p>
            </c:txPr>
            <c:dLblPos val="outEnd"/>
            <c:showLegendKey val="0"/>
            <c:showVal val="1"/>
            <c:showCatName val="0"/>
            <c:showSerName val="0"/>
            <c:showPercent val="0"/>
            <c:showBubbleSize val="0"/>
          </c:dLbls>
          <c:cat>
            <c:strRef>
              <c:f>Hoja1!$A$2:$A$10</c:f>
              <c:strCache>
                <c:ptCount val="9"/>
                <c:pt idx="0">
                  <c:v>Bombardier Transportation</c:v>
                </c:pt>
                <c:pt idx="1">
                  <c:v>Thales Ground Transportation Systems (señalización ferroviaria)</c:v>
                </c:pt>
                <c:pt idx="2">
                  <c:v>Alstom Signaling North America (señalización convencional)</c:v>
                </c:pt>
                <c:pt idx="3">
                  <c:v>Evident Inspection Technologies (inspección industrial)</c:v>
                </c:pt>
                <c:pt idx="4">
                  <c:v>Dellner Couplers (enganches y conexiones de trenes de pasajeros)</c:v>
                </c:pt>
                <c:pt idx="5">
                  <c:v>Iveco Defence (vehículos militares)</c:v>
                </c:pt>
                <c:pt idx="6">
                  <c:v>Iveco Group (camiones y autobuses, sin defensa)</c:v>
                </c:pt>
                <c:pt idx="7">
                  <c:v>Talgo (29,76 % del capital)</c:v>
                </c:pt>
                <c:pt idx="8">
                  <c:v>Solaris Bus &amp; Coach (autobuses)</c:v>
                </c:pt>
              </c:strCache>
            </c:strRef>
          </c:cat>
          <c:val>
            <c:numRef>
              <c:f>Hoja1!$B$2:$B$10</c:f>
              <c:numCache>
                <c:formatCode>0.0"x"</c:formatCode>
                <c:ptCount val="9"/>
                <c:pt idx="4">
                  <c:v>12.5</c:v>
                </c:pt>
              </c:numCache>
            </c:numRef>
          </c:val>
        </c:ser>
        <c:gapWidth val="70"/>
        <c:overlap val="-10"/>
        <c:axId val="10"/>
        <c:axId val="20"/>
      </c:barChart>
      <c:catAx>
        <c:axId val="10"/>
        <c:scaling>
          <c:orientation val="maxMin"/>
        </c:scaling>
        <c:delete val="0"/>
        <c:axPos val="l"/>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b"/>
        <c:majorGridlines>
          <c:spPr>
            <a:ln w="6350">
              <a:solidFill>
                <a:srgbClr val="E4E3DF"/>
              </a:solidFill>
            </a:ln>
          </c:spPr>
        </c:majorGridlines>
        <c:numFmt formatCode="0.0&quot;x&quot;" sourceLinked="0"/>
        <c:majorTickMark val="none"/>
        <c:minorTickMark val="none"/>
        <c:tickLblPos val="nextTo"/>
        <c:spPr>
          <a:ln>
            <a:noFill/>
          </a:ln>
        </c:spPr>
        <c:txPr>
          <a:bodyPr/>
          <a:lstStyle/>
          <a:p>
            <a:pPr>
              <a:defRPr sz="850">
                <a:solidFill>
                  <a:srgbClr val="52514E"/>
                </a:solidFill>
              </a:defRPr>
            </a:pPr>
            <a:endParaRPr lang="es-ES"/>
          </a:p>
        </c:txPr>
        <c:crossAx val="10"/>
        <c:crosses val="max"/>
        <c:crossBetween val="between"/>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25.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Flujo de caja libre para la empresa proyectado (EUR, millones)</a:t>
            </a:r>
          </a:p>
        </c:rich>
      </c:tx>
      <c:overlay val="0"/>
    </c:title>
    <c:autoTitleDeleted val="0"/>
    <c:plotArea>
      <c:layout/>
      <c:barChart>
        <c:barDir val="col"/>
        <c:grouping val="clustered"/>
        <c:varyColors val="0"/>
        <c:ser>
          <c:idx val="0"/>
          <c:order val="0"/>
          <c:tx>
            <c:strRef>
              <c:f>Hoja1!$B$1</c:f>
              <c:strCache>
                <c:ptCount val="1"/>
                <c:pt idx="0">
                  <c:v>FCFF</c:v>
                </c:pt>
              </c:strCache>
            </c:strRef>
          </c:tx>
          <c:spPr>
            <a:solidFill>
              <a:srgbClr val="2A78D6"/>
            </a:solidFill>
            <a:ln w="9525">
              <a:noFill/>
            </a:ln>
          </c:spPr>
          <c:invertIfNegative val="0"/>
          <c:dLbls>
            <c:numFmt formatCode="#,##0" sourceLinked="0"/>
            <c:spPr>
              <a:noFill/>
              <a:ln>
                <a:noFill/>
              </a:ln>
            </c:spPr>
            <c:txPr>
              <a:bodyPr/>
              <a:lstStyle/>
              <a:p>
                <a:pPr>
                  <a:defRPr sz="800">
                    <a:solidFill>
                      <a:srgbClr val="52514E"/>
                    </a:solidFill>
                  </a:defRPr>
                </a:pPr>
                <a:endParaRPr lang="es-ES"/>
              </a:p>
            </c:txPr>
            <c:dLblPos val="outEnd"/>
            <c:showLegendKey val="0"/>
            <c:showVal val="1"/>
            <c:showCatName val="0"/>
            <c:showSerName val="0"/>
            <c:showPercent val="0"/>
            <c:showBubbleSize val="0"/>
          </c:dLbls>
          <c:cat>
            <c:strRef>
              <c:f>Hoja1!$A$2:$A$11</c:f>
              <c:strCache>
                <c:ptCount val="10"/>
                <c:pt idx="0">
                  <c:v>2026e</c:v>
                </c:pt>
                <c:pt idx="1">
                  <c:v>2027e</c:v>
                </c:pt>
                <c:pt idx="2">
                  <c:v>2028e</c:v>
                </c:pt>
                <c:pt idx="3">
                  <c:v>2029e</c:v>
                </c:pt>
                <c:pt idx="4">
                  <c:v>2030e</c:v>
                </c:pt>
                <c:pt idx="5">
                  <c:v>2031e</c:v>
                </c:pt>
                <c:pt idx="6">
                  <c:v>2032e</c:v>
                </c:pt>
                <c:pt idx="7">
                  <c:v>2033e</c:v>
                </c:pt>
                <c:pt idx="8">
                  <c:v>2034e</c:v>
                </c:pt>
                <c:pt idx="9">
                  <c:v>2035e</c:v>
                </c:pt>
              </c:strCache>
            </c:strRef>
          </c:cat>
          <c:val>
            <c:numRef>
              <c:f>Hoja1!$B$2:$B$11</c:f>
              <c:numCache>
                <c:formatCode>#,##0</c:formatCode>
                <c:ptCount val="10"/>
                <c:pt idx="0">
                  <c:v>89</c:v>
                </c:pt>
                <c:pt idx="1">
                  <c:v>103</c:v>
                </c:pt>
                <c:pt idx="2">
                  <c:v>121</c:v>
                </c:pt>
                <c:pt idx="3">
                  <c:v>162</c:v>
                </c:pt>
                <c:pt idx="4">
                  <c:v>206</c:v>
                </c:pt>
                <c:pt idx="5">
                  <c:v>218</c:v>
                </c:pt>
                <c:pt idx="6">
                  <c:v>229</c:v>
                </c:pt>
                <c:pt idx="7">
                  <c:v>240</c:v>
                </c:pt>
                <c:pt idx="8">
                  <c:v>250</c:v>
                </c:pt>
                <c:pt idx="9">
                  <c:v>256</c:v>
                </c:pt>
              </c:numCache>
            </c:numRef>
          </c:val>
        </c:ser>
        <c:gapWidth val="70"/>
        <c:overlap val="-10"/>
        <c:axId val="10"/>
        <c:axId val="20"/>
      </c:bar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26.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De dónde sale el valor empresa del DCF (EUR, millones)</a:t>
            </a:r>
          </a:p>
        </c:rich>
      </c:tx>
      <c:overlay val="0"/>
    </c:title>
    <c:autoTitleDeleted val="0"/>
    <c:plotArea>
      <c:layout/>
      <c:doughnutChart>
        <c:varyColors val="1"/>
        <c:ser>
          <c:idx val="0"/>
          <c:order val="0"/>
          <c:tx>
            <c:strRef>
              <c:f>Hoja1!$B$1</c:f>
              <c:strCache>
                <c:ptCount val="1"/>
                <c:pt idx="0">
                  <c:v>Valor actual</c:v>
                </c:pt>
              </c:strCache>
            </c:strRef>
          </c:tx>
          <c:dPt>
            <c:idx val="0"/>
            <c:bubble3D val="0"/>
            <c:spPr>
              <a:solidFill>
                <a:srgbClr val="2A78D6"/>
              </a:solidFill>
              <a:ln w="19050">
                <a:solidFill>
                  <a:srgbClr val="FFFFFF"/>
                </a:solidFill>
              </a:ln>
            </c:spPr>
          </c:dPt>
          <c:dPt>
            <c:idx val="1"/>
            <c:bubble3D val="0"/>
            <c:spPr>
              <a:solidFill>
                <a:srgbClr val="EB6834"/>
              </a:solidFill>
              <a:ln w="19050">
                <a:solidFill>
                  <a:srgbClr val="FFFFFF"/>
                </a:solidFill>
              </a:ln>
            </c:spPr>
          </c:dPt>
          <c:dLbls>
            <c:numFmt formatCode="#,##0" sourceLinked="0"/>
            <c:spPr>
              <a:noFill/>
              <a:ln>
                <a:noFill/>
              </a:ln>
            </c:spPr>
            <c:txPr>
              <a:bodyPr/>
              <a:lstStyle/>
              <a:p>
                <a:pPr>
                  <a:defRPr sz="800">
                    <a:solidFill>
                      <a:srgbClr val="1F2A3C"/>
                    </a:solidFill>
                  </a:defRPr>
                </a:pPr>
                <a:endParaRPr lang="es-ES"/>
              </a:p>
            </c:txPr>
            <c:showLegendKey val="0"/>
            <c:showVal val="1"/>
            <c:showCatName val="0"/>
            <c:showSerName val="0"/>
            <c:showPercent val="0"/>
            <c:showBubbleSize val="0"/>
            <c:showLeaderLines val="1"/>
          </c:dLbls>
          <c:cat>
            <c:strRef>
              <c:f>Hoja1!$A$2:$A$3</c:f>
              <c:strCache>
                <c:ptCount val="2"/>
                <c:pt idx="0">
                  <c:v>Flujos proyectados</c:v>
                </c:pt>
                <c:pt idx="1">
                  <c:v>Valor terminal</c:v>
                </c:pt>
              </c:strCache>
            </c:strRef>
          </c:cat>
          <c:val>
            <c:numRef>
              <c:f>Hoja1!$B$2:$B$3</c:f>
              <c:numCache>
                <c:formatCode>#,##0</c:formatCode>
                <c:ptCount val="2"/>
                <c:pt idx="0">
                  <c:v>1213</c:v>
                </c:pt>
                <c:pt idx="1">
                  <c:v>2083</c:v>
                </c:pt>
              </c:numCache>
            </c:numRef>
          </c:val>
        </c:ser>
        <c:firstSliceAng val="0"/>
        <c:holeSize val="55"/>
      </c:doughnutChart>
    </c:plotArea>
    <c:legend>
      <c:legendPos val="r"/>
      <c:overlay val="0"/>
      <c:txPr>
        <a:bodyPr/>
        <a:lstStyle/>
        <a:p>
          <a:pPr>
            <a:defRPr sz="850">
              <a:solidFill>
                <a:srgbClr val="52514E"/>
              </a:solidFill>
            </a:defRPr>
          </a:pPr>
          <a:endParaRPr lang="es-ES"/>
        </a:p>
      </c:txPr>
    </c:legend>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27.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Valor por acción por escenario (EUR) · precio actual 78,30</a:t>
            </a:r>
          </a:p>
        </c:rich>
      </c:tx>
      <c:overlay val="0"/>
    </c:title>
    <c:autoTitleDeleted val="0"/>
    <c:plotArea>
      <c:layout/>
      <c:barChart>
        <c:barDir val="col"/>
        <c:grouping val="clustered"/>
        <c:varyColors val="0"/>
        <c:ser>
          <c:idx val="0"/>
          <c:order val="0"/>
          <c:tx>
            <c:strRef>
              <c:f>Hoja1!$B$1</c:f>
              <c:strCache>
                <c:ptCount val="1"/>
                <c:pt idx="0">
                  <c:v>Valor por acción</c:v>
                </c:pt>
              </c:strCache>
            </c:strRef>
          </c:tx>
          <c:spPr>
            <a:solidFill>
              <a:srgbClr val="2A78D6"/>
            </a:solidFill>
            <a:ln w="9525">
              <a:noFill/>
            </a:ln>
          </c:spPr>
          <c:invertIfNegative val="0"/>
          <c:dLbls>
            <c:numFmt formatCode="#,##0.00" sourceLinked="0"/>
            <c:spPr>
              <a:noFill/>
              <a:ln>
                <a:noFill/>
              </a:ln>
            </c:spPr>
            <c:txPr>
              <a:bodyPr/>
              <a:lstStyle/>
              <a:p>
                <a:pPr>
                  <a:defRPr sz="800">
                    <a:solidFill>
                      <a:srgbClr val="52514E"/>
                    </a:solidFill>
                  </a:defRPr>
                </a:pPr>
                <a:endParaRPr lang="es-ES"/>
              </a:p>
            </c:txPr>
            <c:dLblPos val="outEnd"/>
            <c:showLegendKey val="0"/>
            <c:showVal val="1"/>
            <c:showCatName val="0"/>
            <c:showSerName val="0"/>
            <c:showPercent val="0"/>
            <c:showBubbleSize val="0"/>
          </c:dLbls>
          <c:cat>
            <c:strRef>
              <c:f>Hoja1!$A$2:$A$4</c:f>
              <c:strCache>
                <c:ptCount val="3"/>
                <c:pt idx="0">
                  <c:v>Bajista</c:v>
                </c:pt>
                <c:pt idx="1">
                  <c:v>Base</c:v>
                </c:pt>
                <c:pt idx="2">
                  <c:v>Alcista</c:v>
                </c:pt>
              </c:strCache>
            </c:strRef>
          </c:cat>
          <c:val>
            <c:numRef>
              <c:f>Hoja1!$B$2:$B$4</c:f>
              <c:numCache>
                <c:formatCode>#,##0.00</c:formatCode>
                <c:ptCount val="3"/>
                <c:pt idx="0">
                  <c:v>39.18</c:v>
                </c:pt>
                <c:pt idx="1">
                  <c:v>81.56</c:v>
                </c:pt>
                <c:pt idx="2">
                  <c:v>116.74</c:v>
                </c:pt>
              </c:numCache>
            </c:numRef>
          </c:val>
        </c:ser>
        <c:gapWidth val="70"/>
        <c:overlap val="-10"/>
        <c:axId val="10"/>
        <c:axId val="20"/>
      </c:bar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00"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28.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Valor por acción según cada método (EUR) · precio actual 78,30</a:t>
            </a:r>
          </a:p>
        </c:rich>
      </c:tx>
      <c:overlay val="0"/>
    </c:title>
    <c:autoTitleDeleted val="0"/>
    <c:plotArea>
      <c:layout/>
      <c:barChart>
        <c:barDir val="bar"/>
        <c:grouping val="stacked"/>
        <c:varyColors val="0"/>
        <c:ser>
          <c:idx val="0"/>
          <c:order val="0"/>
          <c:tx>
            <c:strRef>
              <c:f>Hoja1!$B$1</c:f>
              <c:strCache>
                <c:ptCount val="1"/>
                <c:pt idx="0">
                  <c:v>Desde</c:v>
                </c:pt>
              </c:strCache>
            </c:strRef>
          </c:tx>
          <c:spPr>
            <a:noFill/>
            <a:ln>
              <a:noFill/>
            </a:ln>
          </c:spPr>
          <c:invertIfNegative val="0"/>
          <c:cat>
            <c:strRef>
              <c:f>Hoja1!$A$2:$A$10</c:f>
              <c:strCache>
                <c:ptCount val="9"/>
                <c:pt idx="0">
                  <c:v>Cotización 52 semanas (49,90 – 79,70)</c:v>
                </c:pt>
                <c:pt idx="1">
                  <c:v>Precio objetivo de los analistas (55,40 – 80,00)</c:v>
                </c:pt>
                <c:pt idx="2">
                  <c:v>Comparables: EV/EBITDA NTM (62,15 – 114,46)</c:v>
                </c:pt>
                <c:pt idx="3">
                  <c:v>Comparables: PER NTM (78,84 – 118,26)</c:v>
                </c:pt>
                <c:pt idx="4">
                  <c:v>DCF (WACC y g ± 0,5) (69,80 – 97,83)</c:v>
                </c:pt>
                <c:pt idx="5">
                  <c:v>Escenarios (bajista – alcista) (39,18 – 116,74)</c:v>
                </c:pt>
                <c:pt idx="6">
                  <c:v>Suma de partes (54,89 – 79,44)</c:v>
                </c:pt>
                <c:pt idx="7">
                  <c:v>DCF con la prima implícita del mercado (4,2 %)</c:v>
                </c:pt>
                <c:pt idx="8">
                  <c:v>Precio actual (78,30)</c:v>
                </c:pt>
              </c:strCache>
            </c:strRef>
          </c:cat>
          <c:val>
            <c:numRef>
              <c:f>Hoja1!$B$2:$B$10</c:f>
              <c:numCache>
                <c:formatCode>#,##0</c:formatCode>
                <c:ptCount val="9"/>
                <c:pt idx="0">
                  <c:v>49.9</c:v>
                </c:pt>
                <c:pt idx="1">
                  <c:v>55.4</c:v>
                </c:pt>
                <c:pt idx="2">
                  <c:v>62.15</c:v>
                </c:pt>
                <c:pt idx="3">
                  <c:v>78.84</c:v>
                </c:pt>
                <c:pt idx="4">
                  <c:v>69.8</c:v>
                </c:pt>
                <c:pt idx="5">
                  <c:v>39.18</c:v>
                </c:pt>
                <c:pt idx="6">
                  <c:v>54.89</c:v>
                </c:pt>
                <c:pt idx="7">
                  <c:v>88.82</c:v>
                </c:pt>
                <c:pt idx="8">
                  <c:v>77.91</c:v>
                </c:pt>
              </c:numCache>
            </c:numRef>
          </c:val>
        </c:ser>
        <c:ser>
          <c:idx val="1"/>
          <c:order val="1"/>
          <c:tx>
            <c:strRef>
              <c:f>Hoja1!$C$1</c:f>
              <c:strCache>
                <c:ptCount val="1"/>
                <c:pt idx="0">
                  <c:v>Rango</c:v>
                </c:pt>
              </c:strCache>
            </c:strRef>
          </c:tx>
          <c:spPr>
            <a:solidFill>
              <a:srgbClr val="2A78D6"/>
            </a:solidFill>
            <a:ln w="12700">
              <a:noFill/>
            </a:ln>
          </c:spPr>
          <c:invertIfNegative val="0"/>
          <c:dPt>
            <c:idx val="0"/>
            <c:invertIfNegative val="0"/>
            <c:bubble3D val="0"/>
            <c:spPr>
              <a:solidFill>
                <a:srgbClr val="C9C8C2"/>
              </a:solidFill>
            </c:spPr>
          </c:dPt>
          <c:dPt>
            <c:idx val="1"/>
            <c:invertIfNegative val="0"/>
            <c:bubble3D val="0"/>
            <c:spPr>
              <a:solidFill>
                <a:srgbClr val="C9C8C2"/>
              </a:solidFill>
            </c:spPr>
          </c:dPt>
          <c:dPt>
            <c:idx val="8"/>
            <c:invertIfNegative val="0"/>
            <c:bubble3D val="0"/>
            <c:spPr>
              <a:solidFill>
                <a:srgbClr val="C9C8C2"/>
              </a:solidFill>
            </c:spPr>
          </c:dPt>
          <c:cat>
            <c:strRef>
              <c:f>Hoja1!$A$2:$A$10</c:f>
              <c:strCache>
                <c:ptCount val="9"/>
                <c:pt idx="0">
                  <c:v>Cotización 52 semanas (49,90 – 79,70)</c:v>
                </c:pt>
                <c:pt idx="1">
                  <c:v>Precio objetivo de los analistas (55,40 – 80,00)</c:v>
                </c:pt>
                <c:pt idx="2">
                  <c:v>Comparables: EV/EBITDA NTM (62,15 – 114,46)</c:v>
                </c:pt>
                <c:pt idx="3">
                  <c:v>Comparables: PER NTM (78,84 – 118,26)</c:v>
                </c:pt>
                <c:pt idx="4">
                  <c:v>DCF (WACC y g ± 0,5) (69,80 – 97,83)</c:v>
                </c:pt>
                <c:pt idx="5">
                  <c:v>Escenarios (bajista – alcista) (39,18 – 116,74)</c:v>
                </c:pt>
                <c:pt idx="6">
                  <c:v>Suma de partes (54,89 – 79,44)</c:v>
                </c:pt>
                <c:pt idx="7">
                  <c:v>DCF con la prima implícita del mercado (4,2 %)</c:v>
                </c:pt>
                <c:pt idx="8">
                  <c:v>Precio actual (78,30)</c:v>
                </c:pt>
              </c:strCache>
            </c:strRef>
          </c:cat>
          <c:val>
            <c:numRef>
              <c:f>Hoja1!$C$2:$C$10</c:f>
              <c:numCache>
                <c:formatCode>#,##0</c:formatCode>
                <c:ptCount val="9"/>
                <c:pt idx="0">
                  <c:v>29.800000000000004</c:v>
                </c:pt>
                <c:pt idx="1">
                  <c:v>24.6</c:v>
                </c:pt>
                <c:pt idx="2">
                  <c:v>52.309999999999995</c:v>
                </c:pt>
                <c:pt idx="3">
                  <c:v>39.42</c:v>
                </c:pt>
                <c:pt idx="4">
                  <c:v>28.03</c:v>
                </c:pt>
                <c:pt idx="5">
                  <c:v>77.56</c:v>
                </c:pt>
                <c:pt idx="6">
                  <c:v>24.549999999999997</c:v>
                </c:pt>
                <c:pt idx="7">
                  <c:v>23.370000000000005</c:v>
                </c:pt>
                <c:pt idx="8">
                  <c:v>0.7800000000000011</c:v>
                </c:pt>
              </c:numCache>
            </c:numRef>
          </c:val>
        </c:ser>
        <c:gapWidth val="60"/>
        <c:overlap val="100"/>
        <c:axId val="10"/>
        <c:axId val="20"/>
      </c:barChart>
      <c:catAx>
        <c:axId val="10"/>
        <c:scaling>
          <c:orientation val="maxMin"/>
        </c:scaling>
        <c:delete val="0"/>
        <c:axPos val="l"/>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min val="30"/>
        </c:scaling>
        <c:delete val="0"/>
        <c:axPos val="b"/>
        <c:majorGridlines>
          <c:spPr>
            <a:ln w="6350">
              <a:solidFill>
                <a:srgbClr val="E4E3DF"/>
              </a:solidFill>
            </a:ln>
          </c:spPr>
        </c:majorGridlines>
        <c:numFmt formatCode="#,##0" sourceLinked="0"/>
        <c:majorTickMark val="none"/>
        <c:minorTickMark val="none"/>
        <c:tickLblPos val="nextTo"/>
        <c:spPr>
          <a:ln>
            <a:noFill/>
          </a:ln>
        </c:spPr>
        <c:txPr>
          <a:bodyPr/>
          <a:lstStyle/>
          <a:p>
            <a:pPr>
              <a:defRPr sz="850">
                <a:solidFill>
                  <a:srgbClr val="52514E"/>
                </a:solidFill>
              </a:defRPr>
            </a:pPr>
            <a:endParaRPr lang="es-ES"/>
          </a:p>
        </c:txPr>
        <c:crossAx val="10"/>
        <c:crosses val="max"/>
        <c:crossBetween val="between"/>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Análisis de empresa cotizada — plantilla</dc:title>
  <dc:creator>analisis-inversion</dc:creator>
  <cp:lastModifiedBy>Un-named</cp:lastModifiedBy>
  <cp:revision>1</cp:revision>
  <dcterms:created xsi:type="dcterms:W3CDTF">2026-10-14T17:04:42.347Z</dcterms:created>
  <dcterms:modified xsi:type="dcterms:W3CDTF">2026-10-14T17:04:42.347Z</dcterms:modified>
</cp:coreProperties>
</file>

<file path=docProps/custom.xml><?xml version="1.0" encoding="utf-8"?>
<Properties xmlns="http://schemas.openxmlformats.org/officeDocument/2006/custom-properties" xmlns:vt="http://schemas.openxmlformats.org/officeDocument/2006/docPropsVTypes"/>
</file>