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CTS Eventim AG &amp; Co. KGaA</w:t>
      </w:r>
    </w:p>
    <w:p>
      <w:pPr>
        <w:spacing w:after="60"/>
        <w:rPr>
          <w:color w:val="52514E"/>
          <w:sz w:val="22"/>
          <w:szCs w:val="22"/>
        </w:rPr>
      </w:pPr>
      <w:r>
        <w:rPr>
          <w:color w:val="52514E"/>
          <w:sz w:val="22"/>
          <w:szCs w:val="22"/>
        </w:rPr>
        <w:t xml:space="preserve">EVD · Xetra (Fráncfort) · ISIN DE0005470306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58,75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71,18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+23,6 % (base +19,6 %)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69,45 EUR · mercado 81,19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5.639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CTS Eventim AG &amp; Co. KGaA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EVD / DE0005470306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Bremen · 1989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48,26 – 86,35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17,2 M EUR/día (≈ 299.000 acciones; 65 sesiones,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71,18 EUR</w:t>
      </w:r>
      <w:r>
        <w:t xml:space="preserve"> frente a 58,75 · Rentabilidad a 12 meses </w:t>
      </w:r>
      <w:r>
        <w:rPr>
          <w:b/>
          <w:bCs/>
        </w:rPr>
        <w:t xml:space="preserve">+23,6 % (base +19,6 %)</w:t>
      </w:r>
      <w:r>
        <w:t xml:space="preserve"> · Valor intrínseco 69,45 EUR · con la prima implícita del mercado: 81,19 (+38,2 %) · Alcista / bajista +34,9 % / -32,9 %</w:t>
      </w:r>
    </w:p>
    <w:p>
      <w:pPr>
        <w:spacing w:after="100"/>
      </w:pPr>
      <w:r>
        <w:rPr>
          <w:b/>
        </w:rPr>
        <w:t xml:space="preserve">La recomendación y por qué.</w:t>
      </w:r>
      <w:r>
        <w:t xml:space="preserve"> Comprar, con convicción media. El valor objetivo es de 69,45 EUR, un 18,2 % por encima del precio de 58,75 EUR; con el dividendo (2,5 %), la rentabilidad total esperada a 12 meses es del 20,7 %. La asimetría es justa: +34,9 % en el alcista frente a −32,9 % en el bajista (1,06 veces). Las dos reglas dan Comprar; con la prima de riesgo que hoy pide el mercado, el objetivo sube a 81,19 EUR (+38,2 %). La razón: el precio descuenta un margen EBITDA del 17,5 %, inferior al de cualquier año desde 2023, en el líder europeo de venta de entradas. Es la convicción sugerida: no es alta porque el bajista pierde más de un 25 % y el precio solo pide 1,3 puntos menos de crecimiento que nuestro caso. Subiría si el día del inversor (20 de noviembre) fija un margen de Ticketing cercano al 40 %; bajaría si el margen de Ticketing del 3T26 (12 de noviembre) cae por debajo del 35 %.</w:t>
      </w:r>
    </w:p>
    <w:p>
      <w:pPr>
        <w:spacing w:after="100"/>
      </w:pPr>
      <w:r>
        <w:rPr>
          <w:b/>
        </w:rPr>
        <w:t xml:space="preserve">El negocio.</w:t>
      </w:r>
      <w:r>
        <w:t xml:space="preserve"> Ticketing (31,7 % de las ventas) gana un margen EBITDA del 46,4 % con un 60-70 % de las entradas en Alemania; Live Entertainment, uno de los grandes promotores de Europa, gana un 5,8 %, pero cobra antes de pagar [1, 21]. Con el dinero de terceros fuera de la caja, el ROIC ronda el 40 % (estimación propia), cuatro veces el WACC del 8,91 %. La calidad sostiene </w:t>
      </w:r>
      <w:r>
        <w:rPr>
          <w:b/>
        </w:rPr>
        <w:t xml:space="preserve">en parte</w:t>
      </w:r>
      <w:r>
        <w:t xml:space="preserve"> el crecimiento que proyectamos: el 4,4 % anual no pide capital y está muy por debajo del 15,7 % de la década, pero 2026 enseñó que el foso de Ticketing no protege del todo el margen (36,4 % en el 1S26 frente al 40,1 %) [2]; por eso el caso base no lo recupera.</w:t>
      </w:r>
    </w:p>
    <w:p>
      <w:pPr>
        <w:spacing w:after="100"/>
      </w:pPr>
      <w:r>
        <w:rPr>
          <w:b/>
        </w:rPr>
        <w:t xml:space="preserve">Finanzas: la caja de clientes.</w:t>
      </w:r>
      <w:r>
        <w:t xml:space="preserve"> La caja del balance (1.362 M a junio) no es del accionista: 829,7 M son dinero de entradas que se debe a los promotores, y lo restamos como deuda (8,64 EUR por acción) [2]. La caja propia ronda los 530 M, sin deuda bancaria. Los minoritarios se valoran a 12 veces su beneficio (428 M, no 144 M contables). Con criterios menos estrictos, el DCF superaría los 75 EUR.</w:t>
      </w:r>
    </w:p>
    <w:p>
      <w:pPr>
        <w:spacing w:after="100"/>
      </w:pPr>
      <w:r>
        <w:rPr>
          <w:b/>
        </w:rPr>
        <w:t xml:space="preserve">Equipo y gobierno.</w:t>
      </w:r>
      <w:r>
        <w:t xml:space="preserve"> Resta. Schulenberg controla la empresa por el socio colectivo de la KGaA y la KPS Stiftung (39,5 %); el capital libre votó hasta un 93,1 % en contra de la remuneración, y el director financiero salió el 30 de septiembre sin explicación, el tercero desde 2020 [30, 33]. A favor: el fundador compró unos 30,7 M EUR de acciones en 2026, la última a 51,93 EUR [31, 32], y la guía se ha cumplido desde 2022.</w:t>
      </w:r>
    </w:p>
    <w:p>
      <w:pPr>
        <w:spacing w:after="100"/>
      </w:pPr>
      <w:r>
        <w:rPr>
          <w:b/>
        </w:rPr>
        <w:t xml:space="preserve">Valoración.</w:t>
      </w:r>
      <w:r>
        <w:t xml:space="preserve"> El DCF da 65,88 EUR (+12,1 %); los comparables, 88,65 EUR; los escenarios ponderados, 62,61 EUR. Cotiza a 8,8 veces el EBITDA de los próximos 12 meses, frente a 13,2 de la mediana de comparables; los 9,5 veces de los últimos 12 meses están por debajo de su mínimo de cierre de ejercicio (10,4). El DCF inverso pide un crecimiento del 3,1 % anual frente al 4,4 % de nuestro caso y al 7,9 % que el consenso espera para 2026 [38]. Nuestro EBITDA queda un 2-3 % por debajo del consenso.</w:t>
      </w:r>
    </w:p>
    <w:p>
      <w:pPr>
        <w:spacing w:after="100"/>
      </w:pPr>
      <w:r>
        <w:rPr>
          <w:b/>
        </w:rPr>
        <w:t xml:space="preserve">Riesgos y catalizadores.</w:t>
      </w:r>
      <w:r>
        <w:t xml:space="preserve"> El mayor riesgo es que la caída del margen de Ticketing sea estructural (contratos renegociados, competencia, regulación de la reventa): el bajista vale 39,41 EUR. El segundo, la sucesión sin plan de un fundador. Catalizadores: el 3T26, el día del inversor y el nombramiento del director financiero.</w:t>
      </w:r>
    </w:p>
    <w:p>
      <w:pPr>
        <w:spacing w:after="100"/>
      </w:pPr>
      <w:r>
        <w:rPr>
          <w:b/>
        </w:rPr>
        <w:t xml:space="preserve">Qué cambiaría la decisión.</w:t>
      </w:r>
      <w:r>
        <w:t xml:space="preserve"> Comprar por debajo de 67,51 EUR; Mantener entre 67,51 y 82,65 EUR; vender por encima. Pasaríamos a Mantener con un margen de Ticketing anual por debajo del 35 % o con otra salida en el consejo de dirección antes de nombrar al director financiero.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71,18 EUR</w:t>
      </w:r>
      <w:r>
        <w:t xml:space="preserve"> (rentabilidad +23,6 % (base +19,6 %)) · Valor intrínseco: 69,45 EUR (+18,2 % sobre 58,75) · con la prima implícita del mercado: 81,19 (+38,2 %)</w:t>
      </w:r>
    </w:p>
    <w:p>
      <w:pPr>
        <w:spacing w:after="100"/>
      </w:pPr>
      <w:r>
        <w:t xml:space="preserve">CTS Eventim es el líder europeo de venta de entradas y uno de los mayores promotores de conciertos de Europa. Ticketing, con un 60-70 % de las entradas vendidas en Alemania y presencia en otros 25 países, gana un margen EBITDA del 46,4 % con muy poco capital; Live Entertainment gana poco por euro vendido, pero se financia con la preventa [1, 21]. Las ventas crecieron un 15,7 % anual en 2016-2025 y un 16,9 % en el 1S26 [2].</w:t>
      </w:r>
    </w:p>
    <w:p>
      <w:pPr>
        <w:spacing w:after="100"/>
      </w:pPr>
      <w:r>
        <w:t xml:space="preserve">El precio de 58,75 EUR, la mitad de su máximo de 2025 [42], descuenta un margen EBITDA del 17,5 % o un crecimiento del 3,1 % anual hasta 2033e. Cotiza a 9,5 veces el EBITDA de los últimos 12 meses, por debajo de su mínimo de ocho cierres de ejercicio (10,4 veces), y a 8,8 veces el de los próximos 12, frente a 13,2 de la mediana de comparables. El mercado castiga tres cosas de 2026: una guía de crecimiento casi nulo con la pérdida de un contrato de Ticketing, la caída del margen de Ticketing y la salida sin explicación de su director financiero [33, 40].</w:t>
      </w:r>
    </w:p>
    <w:p>
      <w:pPr>
        <w:spacing w:after="100"/>
      </w:pPr>
      <w:r>
        <w:t xml:space="preserve">Para invertir hay que creer que la caída del margen es en su mayor parte temporal y que la empresa no necesita volver a sus múltiplos de 2019-2024: nuestro caso base mantiene el margen del grupo en el 19,0-19,3 %, el de 2024-2025, y resta como deuda los 829,7 M de dinero de entradas de terceros. Aun así, vale 69,45 EUR. Lo que puede salir mal es el gobierno: una empresa controlada por un fundador, sin plan de sucesión y con rotación en las finanzas.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3,02 = 44,09 · 18,3x × 3,76 = 68,81 · 24,7x × 4,17 = 103,00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 /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85,58 (nuestro base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 / -32,9 %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8,9 %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frente a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20,7 % (&lt; 25 %); asimetría de 1,06 (&lt; 2); bajista del -32,9 % (pierde más del 25 %); el precio descuenta solo 1,3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62,72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62,72 y 80,69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80,69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Margen EBITDA de Ticketing por debajo del 35 % en el 3T26 (12-nov) o en el año 2026: a Mantener.</w:t>
      </w:r>
    </w:p>
    <w:p>
      <w:pPr>
        <w:pStyle w:val="ListParagraph"/>
        <w:numPr>
          <w:ilvl w:val="0"/>
          <w:numId w:val="2"/>
        </w:numPr>
        <w:spacing w:after="60"/>
      </w:pPr>
      <w:r>
        <w:t xml:space="preserve">Precio por encima de 67,51 EUR sin cambios en las cifras: a Mantener; por encima de 82,65 EUR, a Vender.</w:t>
      </w:r>
    </w:p>
    <w:p>
      <w:pPr>
        <w:pStyle w:val="ListParagraph"/>
        <w:numPr>
          <w:ilvl w:val="0"/>
          <w:numId w:val="2"/>
        </w:numPr>
        <w:spacing w:after="60"/>
      </w:pPr>
      <w:r>
        <w:t xml:space="preserve">Otra salida en el consejo de dirección antes de nombrar al director financiero: a Mantener.</w:t>
      </w:r>
    </w:p>
    <w:p>
      <w:pPr>
        <w:pStyle w:val="ListParagraph"/>
        <w:numPr>
          <w:ilvl w:val="0"/>
          <w:numId w:val="2"/>
        </w:numPr>
        <w:spacing w:after="60"/>
      </w:pPr>
      <w:r>
        <w:t xml:space="preserve">Guía de 2027 con ventas +5 % y margen de Ticketing del 40 % o una recompra de acciones: convicción alta.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 marca el fin del crecimiento rentable: el margen de Ticketing seguirá bajando por contratos renegociados y competencia, Live Entertainment diluirá el margen del grupo y la dirección, sin director financiero y con un fundador sin sucesor, no sabrá corregirlo. Por eso paga 9,5 veces el EBITDA de los últimos 12 meses, menos que en cualquier cierre de ejercicio comparable desde 2016.</w:t>
      </w:r>
    </w:p>
    <w:p>
      <w:pPr>
        <w:keepNext/>
        <w:spacing w:after="100"/>
      </w:pPr>
      <w:r>
        <w:rPr>
          <w:b/>
          <w:bCs/>
        </w:rPr>
        <w:t xml:space="preserve">Lo que creemos nosotros.</w:t>
      </w:r>
    </w:p>
    <w:p>
      <w:pPr>
        <w:spacing w:after="100"/>
      </w:pPr>
      <w:r>
        <w:t xml:space="preserve">Que el margen del grupo se estabiliza en el 19 %, como en 2024-2025, porque la caída de Ticketing del 1S26 mezcla un contrato perdido (Stage Entertainment, ya renovado como acuerdo minorista) con costes del programa de eficiencia, y que las ventas siguen creciendo un 5 % con los recintos y el negocio internacional. No suponemos ni la recuperación del margen de 2023 ni la de los múltiplos.</w:t>
      </w:r>
    </w:p>
    <w:p>
      <w:pPr>
        <w:keepNext/>
        <w:spacing w:after="100"/>
      </w:pPr>
      <w:r>
        <w:rPr>
          <w:b/>
          <w:bCs/>
        </w:rPr>
        <w:t xml:space="preserve">Por qué podemos tener razón.</w:t>
      </w:r>
    </w:p>
    <w:p>
      <w:pPr>
        <w:spacing w:after="100"/>
      </w:pPr>
      <w:r>
        <w:t xml:space="preserve">Porque el negocio de fondo no se ha deteriorado: el 1S26 creció un 16,9 % en ventas y un 12,4 % en EBITDA, la guía se mantiene y el fundador ha comprado 30,7 M EUR de acciones en 2026 [2, 31]. El precio ya incorpora un margen inferior al de cualquier año reciente. El riesgo es que no tengamos razón en el margen: cada punto vale unos 4 EUR por acción.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pide poco</w:t>
      </w:r>
      <w:r>
        <w:t xml:space="preserve">: el DCF inverso descuenta un margen EBITDA del 17,5 % frente al 19,0 % de 2025.</w:t>
      </w:r>
    </w:p>
    <w:p>
      <w:pPr>
        <w:pStyle w:val="ListParagraph"/>
        <w:numPr>
          <w:ilvl w:val="0"/>
          <w:numId w:val="2"/>
        </w:numPr>
        <w:spacing w:after="60"/>
      </w:pPr>
      <w:r>
        <w:rPr>
          <w:b/>
        </w:rPr>
        <w:t xml:space="preserve">Ticketing de alta calidad</w:t>
      </w:r>
      <w:r>
        <w:t xml:space="preserve">: margen EBITDA del 46,4 % y cuota del 60-70 % en Alemania [1, 21].</w:t>
      </w:r>
    </w:p>
    <w:p>
      <w:pPr>
        <w:pStyle w:val="ListParagraph"/>
        <w:numPr>
          <w:ilvl w:val="0"/>
          <w:numId w:val="2"/>
        </w:numPr>
        <w:spacing w:after="60"/>
      </w:pPr>
      <w:r>
        <w:rPr>
          <w:b/>
        </w:rPr>
        <w:t xml:space="preserve">Sin deuda y con caja propia</w:t>
      </w:r>
      <w:r>
        <w:t xml:space="preserve">: unos 530 M tras restar el dinero de entradas de terceros [2].</w:t>
      </w:r>
    </w:p>
    <w:p>
      <w:pPr>
        <w:pStyle w:val="ListParagraph"/>
        <w:numPr>
          <w:ilvl w:val="0"/>
          <w:numId w:val="2"/>
        </w:numPr>
        <w:spacing w:after="60"/>
      </w:pPr>
      <w:r>
        <w:rPr>
          <w:b/>
        </w:rPr>
        <w:t xml:space="preserve">Crecimiento intacto</w:t>
      </w:r>
      <w:r>
        <w:t xml:space="preserve">: ventas +16,9 % y EBITDA +12,4 % en el 1S26 [2].</w:t>
      </w:r>
    </w:p>
    <w:p>
      <w:pPr>
        <w:pStyle w:val="ListParagraph"/>
        <w:numPr>
          <w:ilvl w:val="0"/>
          <w:numId w:val="2"/>
        </w:numPr>
        <w:spacing w:after="60"/>
      </w:pPr>
      <w:r>
        <w:rPr>
          <w:b/>
        </w:rPr>
        <w:t xml:space="preserve">El fundador compra</w:t>
      </w:r>
      <w:r>
        <w:t xml:space="preserve">: 30,7 M EUR de acciones en 2026, la última a 51,93 EUR [31, 32].</w:t>
      </w:r>
    </w:p>
    <w:p>
      <w:pPr>
        <w:pStyle w:val="ListParagraph"/>
        <w:numPr>
          <w:ilvl w:val="0"/>
          <w:numId w:val="2"/>
        </w:numPr>
        <w:spacing w:after="60"/>
      </w:pPr>
      <w:r>
        <w:rPr>
          <w:b/>
        </w:rPr>
        <w:t xml:space="preserve">Múltiplos en mínimos</w:t>
      </w:r>
      <w:r>
        <w:t xml:space="preserve">: 9,5 veces el EBITDA de 12 meses, un 24 % por debajo de su media.</w:t>
      </w:r>
    </w:p>
    <w:p>
      <w:pPr>
        <w:pStyle w:val="Heading2"/>
      </w:pPr>
      <w:r>
        <w:t xml:space="preserve">En contra</w:t>
      </w:r>
    </w:p>
    <w:p>
      <w:pPr>
        <w:pStyle w:val="ListParagraph"/>
        <w:numPr>
          <w:ilvl w:val="0"/>
          <w:numId w:val="2"/>
        </w:numPr>
        <w:spacing w:after="60"/>
      </w:pPr>
      <w:r>
        <w:rPr>
          <w:b/>
        </w:rPr>
        <w:t xml:space="preserve">Margen de Ticketing a la baja</w:t>
      </w:r>
      <w:r>
        <w:t xml:space="preserve">: del 40,1 % al 36,4 % en el 1S26 [2].</w:t>
      </w:r>
    </w:p>
    <w:p>
      <w:pPr>
        <w:pStyle w:val="ListParagraph"/>
        <w:numPr>
          <w:ilvl w:val="0"/>
          <w:numId w:val="2"/>
        </w:numPr>
        <w:spacing w:after="60"/>
      </w:pPr>
      <w:r>
        <w:rPr>
          <w:b/>
        </w:rPr>
        <w:t xml:space="preserve">Gobierno débil para el minoritario</w:t>
      </w:r>
      <w:r>
        <w:t xml:space="preserve">: el capital libre votó hasta un 93,1 % en contra de la remuneración [30].</w:t>
      </w:r>
    </w:p>
    <w:p>
      <w:pPr>
        <w:pStyle w:val="ListParagraph"/>
        <w:numPr>
          <w:ilvl w:val="0"/>
          <w:numId w:val="2"/>
        </w:numPr>
        <w:spacing w:after="60"/>
      </w:pPr>
      <w:r>
        <w:rPr>
          <w:b/>
        </w:rPr>
        <w:t xml:space="preserve">Rotación en las finanzas</w:t>
      </w:r>
      <w:r>
        <w:t xml:space="preserve">: tercer director financiero que sale desde 2020, sin explicación [33].</w:t>
      </w:r>
    </w:p>
    <w:p>
      <w:pPr>
        <w:pStyle w:val="ListParagraph"/>
        <w:numPr>
          <w:ilvl w:val="0"/>
          <w:numId w:val="2"/>
        </w:numPr>
        <w:spacing w:after="60"/>
      </w:pPr>
      <w:r>
        <w:rPr>
          <w:b/>
        </w:rPr>
        <w:t xml:space="preserve">Sucesión sin plan</w:t>
      </w:r>
      <w:r>
        <w:t xml:space="preserve"> de un fundador que controla el socio colectivo [28].</w:t>
      </w:r>
    </w:p>
    <w:p>
      <w:pPr>
        <w:pStyle w:val="ListParagraph"/>
        <w:numPr>
          <w:ilvl w:val="0"/>
          <w:numId w:val="2"/>
        </w:numPr>
        <w:spacing w:after="60"/>
      </w:pPr>
      <w:r>
        <w:rPr>
          <w:b/>
        </w:rPr>
        <w:t xml:space="preserve">Bajista profundo</w:t>
      </w:r>
      <w:r>
        <w:t xml:space="preserve">: −32,9 % (39,41 EUR) si el margen cae 2 puntos y el crecimiento 3.</w:t>
      </w:r>
    </w:p>
    <w:p>
      <w:pPr>
        <w:pStyle w:val="ListParagraph"/>
        <w:numPr>
          <w:ilvl w:val="0"/>
          <w:numId w:val="2"/>
        </w:numPr>
        <w:spacing w:after="60"/>
      </w:pPr>
      <w:r>
        <w:rPr>
          <w:b/>
        </w:rPr>
        <w:t xml:space="preserve">Capital fuera del modelo ligero</w:t>
      </w:r>
      <w:r>
        <w:t xml:space="preserve">: ARENA MILANO, 278,9 M de capex en 2025 [1].</w:t>
      </w:r>
    </w:p>
    <w:p>
      <w:pPr>
        <w:pStyle w:val="Heading2"/>
      </w:pPr>
      <w:r>
        <w:t xml:space="preserve">Qué tiene que pasar para que la tesis funcione</w:t>
      </w:r>
    </w:p>
    <w:p>
      <w:pPr>
        <w:spacing w:after="100"/>
      </w:pPr>
      <w:r>
        <w:t xml:space="preserve">La tesis depende de que el margen de Ticketing se estabilice cerca del 40 % y no siga hacia el 30 %. La señal de que no se cumple: un margen de Ticketing por debajo del 35 % en el 3T26 o en el año, o un día del inversor sin objetivos de margen. La segunda condición es de gobierno: un director financiero definitivo con credibilidad y algún paso hacia un plan de sucesión.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Ticketing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 (1S26); 46,4 %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beneficio del grupo y la prueba del foso.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3,1 %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margen implícito en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propia (sin dinero de entradas de terceros)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530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caja que es del accionista tras recintos y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 financiera y sucesión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Director financiero interino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nombramiento definitivo en mar-2027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rotación es el riesgo de gobierno que el mercado castiga.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 / 16,5x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CTS (Computer Ticket Service) nació el 4 de noviembre de 1989 en Múnich, fundada por los promotores Marcel Avram y Matthias Hoffmann; Klaus-Peter Schulenberg la compró en 1996 [14] y la sacó a bolsa el 1 de febrero de 2000 (bolsa de Fráncfort; hoy en el MDAX) [8, 14]. Desde entonces creció por compras en dos patas: venta de entradas (Ticketcorner en Suiza, TicketOne en Italia, Ticket Online, France Billet desde 2019 y See Tickets en 2024) y promoción (Medusa, FKP Scorpio, Vivo Concerti, red EVENTIM LIVE desde 2019) [3, 8]. La pandemia hundió las ventas a 256,8 M EUR en 2020 (1.443,1 M en 2019) [7]; en 2023 cobró su parte de la indemnización de 243 M EUR por la cancelación del peaje alemán (autoTicket) [4], en 2025 superó por primera vez los 3.000 M EUR de ventas [1] y en 2026 abrió la ARENA MILANO y entró en Asia con Total Ticketing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CTS (Computer Ticket Service) en Múnich por los promotores Marcel Avram y Matthias Hoffmann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Klaus-Peter Schulenberg compra la empresa; hoy sigue siendo CEO y accionista de control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 de febrero de 2000 en Fráncfort, con un capital de 12 M de acciones tras la salida (hoy 96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Bundeskartellamt cierra (4-dic-2017) el expediente abierto en octubre de 2014: objeta varios contratos exclusivos y limita el alcance y la duración de los futuros; el recurso de CTS se rechaza en Düsseldorf en abril de 2019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promotora italiana Vivo Concerti (asignación del precio cerrada en abril de 2019)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Fnac Darty: 48 % de France Billet, líder francés de venta de entradas, con opción de mayoría a cuatro años [8]. El Gobierno alemán rescinde (efectiva 30-sep-2019) el contrato del peaje de turismos adjudicado a autoTicket (50 % CTS, 50 % Kapsch) a finales de 2018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COVID-19: ventas de 256,8 M EUR (−82 % frente a 1.443,1 M en 2019) y EBITDA de −7,1 M EUR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arbitral propone y las partes aceptan una indemnización de 243 M EUR (con intereses) a autoTicket por el peaje; CTS lo registra en el 3T23 (ingresos de 37,4 M EUR atribuidos al grupo y al segmento Ticketing)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(contrato del 6-jun-2024) del negocio internacional de entradas y festivales de Vivendi Village (See Tickets en Reino Unido, EE. UU. y Suiza) y subida en France Billet del 48 % al 65 % (consolidada el 30-nov-2024); el fondo de comercio sube 354,3 M EUR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3.079,3 M EUR, primera vez por encima de 3.000 M; 177,9 M de entradas vendidas (147,2 M en 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Apertura de la ARENA MILANO para los JJ. OO. de invierno Milano Cortina y compra del 51 % de Total Ticketing Group (Hong Kong, Macao, Singapur, Japón) por 6,1 M EUR a 30-jun-2026 [1,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CTS Eventim es un grupo integrado de entretenimiento en directo con dos segmentos. </w:t>
      </w:r>
      <w:r>
        <w:rPr>
          <w:b/>
        </w:rPr>
        <w:t xml:space="preserve">Ticketing</w:t>
      </w:r>
      <w:r>
        <w:t xml:space="preserve"> (977,1 M EUR de ventas en 2025) vende entradas de conciertos, deporte, teatro, ferias y otros eventos con sus marcas (eventim, TicketOne, Ticketcorner, See Tickets, France Billet, entre otras), por internet, móvil, red de puntos de venta y tiendas de socios, y licencia su software a recintos y promotores (EVENTIM.Net, .Inhouse, .Tixx, .Light, .Access, entrada digital EVENTIM.Pass) en Alemania y otros 25 países de Europa, América e Israel [1]. </w:t>
      </w:r>
      <w:r>
        <w:rPr>
          <w:b/>
        </w:rPr>
        <w:t xml:space="preserve">Live Entertainment</w:t>
      </w:r>
      <w:r>
        <w:t xml:space="preserve"> (2.152,2 M EUR) organiza giras, conciertos y festivales (red de promotoras EVENTIM LIVE, Rock am Ring y Rock im Park, Vivo Concerti) y explota recintos como la LANXESS arena de Colonia, la Waldbühne de Berlín, el Eventim Apollo de Londres, K.B. Hallen de Copenhague y, desde 2026, la ARENA MILANO [1]. Vendió 177,9 M de entradas en 2025 y tenía 5.329 empleados [1]. Alemania aporta 1.347,6 M EUR de las ventas (44 %) [1].</w:t>
      </w:r>
    </w:p>
    <w:p>
      <w:pPr>
        <w:pStyle w:val="Heading2"/>
      </w:pPr>
      <w:r>
        <w:t xml:space="preserve">Cómo gana dinero</w:t>
      </w:r>
    </w:p>
    <w:p>
      <w:pPr>
        <w:spacing w:after="100"/>
      </w:pPr>
      <w:r>
        <w:t xml:space="preserve">En Ticketing CTS actúa como </w:t>
      </w:r>
      <w:r>
        <w:rPr>
          <w:b/>
        </w:rPr>
        <w:t xml:space="preserve">agente</w:t>
      </w:r>
      <w:r>
        <w:t xml:space="preserve">: solo contabiliza como ingreso su comisión (cargos por entrada, licencias, comisiones y otros servicios), no el precio de la entrada [1]. Por eso el segmento genera el 78 % del EBITDA ajustado del grupo con un 32 % de las ventas: 453,7 M EUR de EBITDA ajustado en 2025, margen del 46,4 % (47,3 % en 2024) [1]. Live Entertainment actúa como </w:t>
      </w:r>
      <w:r>
        <w:rPr>
          <w:b/>
        </w:rPr>
        <w:t xml:space="preserve">principal</w:t>
      </w:r>
      <w:r>
        <w:t xml:space="preserve"> y registra ventas brutas: 2.152,2 M EUR con 130,3 M de EBITDA ajustado, margen del 6,1 % [1]. El dinero de las entradas se cobra antes del evento y se debe al promotor, lo que da al grupo una caja de clientes elevada; en Live Entertainment las preventas son anticipos recibidos que pasan a ingresos cuando se celebra el evento [1]. El margen depende del volumen de entradas (más entradas por internet y en tienda propia), de la mezcla de grandes giras y de la estacionalidad, con un cuarto trimestre muy fuerte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Entertainment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Entertainment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de Ticketing son los promotores, recintos y organizadores (B2B), que firman contratos de comercialización y venta de entradas, y los compradores finales (B2C), que pagan los cargos de servicio [1]. El informe anual no publica concentración de clientes ni tasas de renovación. La relación con los grandes promotores alemanes es en parte cautiva: el grupo tiene participaciones de control en varias promotoras (EVENTIM LIVE) que generan contenido para su propia red [1]. El poder de mercado tiene límites legales: el Bundeskartellamt restringió en 2017 el alcance y la duración de los contratos exclusivos con promotores y recintos en Alemania [8], y siguen abiertos procedimientos administrativos en Alemania, Italia y Suiza [1]. Como prueba del poder de precios, el margen de EBITDA ajustado de Ticketing se mantuvo entre el 46 % y el 48 % en 2022-2025 mientras el volumen crecía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Entradas vendidas al por menor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indicador desde 2025: todas las entradas vendidas por canales propios y tiendas asociadas; incluye See Tickets y France Billet todo el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Entradas al por menor 1S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1T26 cayeron un 4,4 % (38,7 frente a 40,5)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Entradas vendidas por internet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 (2024)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hasta 2024; 2020: 17,4; 2021: 32,0; 2022: 69,3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Ticketing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36,4 % frente a 40,1 % en el 1S25, por mezcla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Live Entertainment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en festivales del Reino Unido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Ticketing 2.971; Live Entertainment 2.358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música en directo (entradas y patrocinio de conciertos y festivales), que alimenta los dos segmentos de CTS: la venta primaria de entradas, donde cobra una comisión por entrada, y la promoción de giras y festivales. El perímetro principal es </w:t>
      </w:r>
      <w:r>
        <w:rPr>
          <w:b/>
        </w:rPr>
        <w:t xml:space="preserve">Alemania</w:t>
      </w:r>
      <w:r>
        <w:t xml:space="preserve">, de donde sale el 44 % de las ventas del grupo [1]; la serie usa la previsión de PwC (German Entertainment &amp; Media Outlook 2025-2029) que cita la propia empresa [1, 3]. Como referencia mundial se contrastan dos fuentes que no miden lo mismo: Goldman Sachs (Music in the Air 2025) da 34.600 M USD en 2024 y 38.200 M USD en 2025 [22]; PwC (Global Outlook 2026-30) prevé algo más de 41.500 M USD en 2030 con un 2,1 % anual [23]. Las dos fuentes mundiales no usan el mismo perímetro, por lo que no se mezclan en la serie.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2.653 M EUR en Alemania en 2025 (música en directo, PwC) [1]; en el mundo, 38.200 M USD en 2025 según Goldman Sachs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música en directo en Alemania, Pw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experiencias en directo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prevé un crecimiento del directo mundial del 10,0 % en 2025 y del 7,2 % anual en 2024-2030, hasta 52.600 M USD en 2030 [22]. Live Nation llevó 159 M de espectadores a sus conciertos en 2025 (151 M en 2024)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digital y volumen de entradas por plataforma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vendió 177,9 M de entradas en 2025 frente a 147,2 M en 2024 (+20,9 %), en parte por la consolidación de See Tickets y France Billet [1]; Ticketmaster vendió 346 M de entradas con comisión (+2 %)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 la entrada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medio de las 100 mayores giras mundiales bajó un 2,4 % en 2025, a 132,62 USD, tras el máximo de 135,92 USD de 2024; la recaudación cayó un 6,1 %, a 8.900 M USD, y las entradas un 3,7 %, a 67,3 M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grandes giras de estadio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Live Nation tuvo en 2025 su mayor volumen de conciertos en estadios y su mejor cuarto trimestre de ventas por preventas de 2026 [15]; CTS atribuye el salto de entradas de 2025 a preventas de grandes artistas internacionales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Alemania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de clima de consumo GfK/NIM se esperaba en −24,1 puntos en febrero de 2026 y el FMI preveía un crecimiento del PIB alemán del 0,2 % en 2025 y del 1,1 % en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reventa, comisiones y exclusividades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 anunció el 19-nov-2025 el tope de reventa al valor facial [25]; en EE. UU. un jurado falló contra Live Nation-Ticketmaster el 15-abr-2026 [16]; en Alemania el Bundeskartellamt limitó en 2017 los contratos exclusivos de CTS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nacionales con un líder claro: en Alemania pasaba por el sistema de CTS el 60-70 % de las entradas vendidas mediante sistemas de venta, y los rivales son mucho más pequeños y regionales según el Bundeskartellamt [21]. El margen de EBITDA ajustado de Ticketing de CTS se mantuvo entre el 46 % y el 48 % en 2022-2025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promotores y recintos negocian el reparto de comisiones y, desde 2018, pueden vender al menos el 20 % de su volumen anual por otros sistemas si el contrato dura más de dos años [21]. El comprador final tiene poco poder: paga el cargo de servicio fijado.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artistas y sus agentes se quedan con la mayor parte de la recaudación: el margen de EBITDA ajustado de Live Entertainment de CTS fue del 6,1 % en 2025 [1] y el margen operativo de Conciertos de Live Nation, del 0,4 %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red de distribución, contratos con promotores y capacidad para picos de demanda; el Bundeskartellamt destacó los efectos de red indirectos [21]. Los nuevos entrantes digitales son pequeños o pierden dinero: Eventbrite perdió 26,1 M USD operativos en 2025 y fue comprada por Bending Spoons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directo no tiene un sustituto cercano; Goldman Sachs espera que crezca más deprisa que la música grabada [22]. La venta directa del promotor (sin intermediario) es el sustituto real en la venta de entradas [21].</w:t>
            </w:r>
          </w:p>
        </w:tc>
      </w:tr>
    </w:tbl>
    <w:p>
      <w:pPr>
        <w:spacing w:after="160" w:before="0"/>
      </w:pPr>
    </w:p>
    <w:p>
      <w:pPr>
        <w:pStyle w:val="Heading2"/>
      </w:pPr>
      <w:r>
        <w:t xml:space="preserve">Ciclo</w:t>
      </w:r>
    </w:p>
    <w:p>
      <w:pPr>
        <w:spacing w:after="100"/>
      </w:pPr>
      <w:r>
        <w:t xml:space="preserve">Tras la recuperación posterior a la pandemia, los indicadores apuntan a un mercado alto pero sin aceleración: las 100 mayores giras mundiales recaudaron 8.900 M USD en 2025, un 6,1 % menos que el récord de 9.500 M de 2024, con un 3,7 % menos de entradas [24]. PwC prevé en Alemania un 2,8 % en 2025 y un 1,9 % en 2026 [1]. En 2020 el sector se paró: las ventas de CTS cayeron de 1.443,1 M EUR a 256,8 M EUR y el EBITDA fue negativo (−7,1 M) [7]; en 2022 ya facturaba 1.925,8 M EUR [1]. No se ha localizado un dato sectorial leído de 2008-09.</w:t>
      </w:r>
    </w:p>
    <w:p>
      <w:pPr>
        <w:pStyle w:val="Heading2"/>
      </w:pPr>
      <w:r>
        <w:t xml:space="preserve">Regulación</w:t>
      </w:r>
    </w:p>
    <w:p>
      <w:pPr>
        <w:spacing w:after="100"/>
      </w:pPr>
      <w:r>
        <w:rPr>
          <w:b/>
        </w:rPr>
        <w:t xml:space="preserve">EE. UU.</w:t>
      </w:r>
      <w:r>
        <w:t xml:space="preserve">: el Departamento de Justicia y 39 estados más el Distrito de Columbia (tras la ampliación de agosto de 2024) demandaron a Live Nation-Ticketmaster en mayo de 2024 pidiendo la venta de Ticketmaster; el juicio empezó en marzo de 2026, la empresa pactó con el Gobierno federal (público el 9-mar-2026; fondo de 280 M USD) y un jurado falló a favor de los estados restantes el 15-abr-2026; Live Nation provisionó 450 M USD y queda la fase de remedios [16]. </w:t>
      </w:r>
      <w:r>
        <w:rPr>
          <w:b/>
        </w:rPr>
        <w:t xml:space="preserve">Alemania</w:t>
      </w:r>
      <w:r>
        <w:t xml:space="preserve">: el Bundeskartellamt prohibió en diciembre de 2017 los contratos exclusivos de CTS y obligó a dejar libre al menos el 20 % del volumen [21]. </w:t>
      </w:r>
      <w:r>
        <w:rPr>
          <w:b/>
        </w:rPr>
        <w:t xml:space="preserve">Italia</w:t>
      </w:r>
      <w:r>
        <w:t xml:space="preserve">: la multa de 10,9 M EUR de la AGCM (2020) quedó anulada en firme en octubre de 2022 [5]. </w:t>
      </w:r>
      <w:r>
        <w:rPr>
          <w:b/>
        </w:rPr>
        <w:t xml:space="preserve">Suiza</w:t>
      </w:r>
      <w:r>
        <w:t xml:space="preserve">: la Weko multó a Ticketcorner con unos 65.000 CHF en enero de 2026, recurrible [27]; siguen procedimientos administrativos en Alemania, Italia y Suiza [1]. </w:t>
      </w:r>
      <w:r>
        <w:rPr>
          <w:b/>
        </w:rPr>
        <w:t xml:space="preserve">Reino Unido</w:t>
      </w:r>
      <w:r>
        <w:t xml:space="preserve">: tope de reventa al valor facial anunciado el 19-nov-2025 [25], con la ley aplazada al menos un año [26].</w:t>
      </w:r>
    </w:p>
    <w:p>
      <w:pPr>
        <w:pStyle w:val="Heading2"/>
      </w:pPr>
      <w:r>
        <w:t xml:space="preserve">Tendencias y disrupción</w:t>
      </w:r>
    </w:p>
    <w:p>
      <w:pPr>
        <w:spacing w:after="100"/>
      </w:pPr>
      <w:r>
        <w:t xml:space="preserve">La venta se concentra en el móvil y en la entrada digital personalizada (EVENTIM.Pass), que limita la reventa no autorizada [1]. Los precios dinámicos y la segmentación de entradas (de la básica al paquete VIP) se apoyan en datos e inteligencia artificial, que CTS integra con su programa Amplify [1]. Los grandes grupos integran venta, promoción y recintos: Live Nation tiene 460 recintos y Ticketmaster distribuyó 646 M de entradas en 2025 [15]; CTS abrió la ARENA MILANO en 2026 y entró en Asia con Total Ticketing [1, 2]. La reventa con margen pierde terreno por regulación [25] y Vivid Seats vio caer su volumen bruto de pedidos un 31 % en 2025 [17]. Las plataformas independientes de menor tamaño se consolidan: Eventbrite dejó de cotizar en marzo de 2026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la venta de entradas en Alemania: el 60-70 % de las entradas vendidas mediante sistemas de venta pasaban por CTS según el Bundeskartellamt (dato de 2016) [21]; 2.º grupo europeo-mundial de venta de entradas por volumen tras Ticketmaster (177,9 M de entradas frente a 646 M distribuidas por Ticketmaster en 2025) [1, 15]. En promoción, red EVENTIM LIVE en Europa, Norteamérica y Asia; el puesto en el ranking mundial de Pollstar no se ha podido comprobar en la fuente.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Nation Entertainment (Ticketmaster)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mundial: 25.201 M USD de ventas en 2025 (convertidas a 1,175 USD/EUR del 31-dic-2025 [20]), 159 M de espectadores y 646 M de entradas distribuidas; Ticketing facturó 3.081 M USD con un margen operativo del 29,2 % y Conciertos un 0,4 % [15]. Jurado en contra en el pleito antimonopolio (abril de 2026) y provisión de 450 M USD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Vivid Seats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reventa: 570,8 M USD de ventas en 2025 (775,6 M en 2024) y pérdida operativa de 779,5 M USD por deterioros; volumen bruto de pedidos −31 % [17]. No compite en venta primaria europea.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Eventbrite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autoservicio para eventos pequeños: 291,8 M USD de ventas netas en 2025 y pérdida operativa de 26,1 M USD; comprada por Bending Spoons el 10-mar-2026, ya no cotiza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Madison Square Garden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Recintos y producciones en Nueva York: 1.060,8 M USD de ventas en el ejercicio cerrado el 30-jun-2026 (convertidas a 1,1394 USD/EUR [20]) y 141,5 M USD de beneficio operativo [19]. Comparable del negocio de recintos, no de la venta de entradas.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AEG Presents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Promotora privada (grupo Anschutz) que compite por giras mundiales;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Fever / DICE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privadas de descubrimiento y venta de entradas por móvil; no publican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Superstruct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privado de festivales europeos; competidor de los festivales de EVENTIM LIVE;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TEG (Ticketek)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entradas y promoción en Australia y Asia, privado; relevante tras la entrada de CTS en Asia con Total Ticketing (2026)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Bundeskartellamt identificó efectos de red indirectos: más eventos atraen más compradores y más puntos de venta, y eso atrae a más promotores [14]. CTS vendió 177,9 M de entradas en 2025 en Alemania y otros 25 países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promotores y recintos integran el software (EVENTIM.Net, Inhouse, Access) en su venta y control de acceso [1]; los contratos exclusivos largos eran la norma hasta que en 2017 se obligó a liberar al menos el 20 % del volumen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nacionales líderes (eventim, TicketOne, Ticketcorner, France Billet, See Tickets) y festivales con décadas de historia como Rock am Ring y Rock im Park [1]; no hay patentes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de agente con plataforma propia da un margen de EBITDA ajustado del 46,4 % en Ticketing en 2025 [1], por encima del 29,2 % de margen operativo del segmento Ticketing de Live Nation [8] (no son medidas idénticas).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60-70 % en Alemania con rivales mucho más pequeños y regionales [14]; el mercado alemán crece en torno al 2 % anual [1], poco atractivo para un nuevo entrante.</w:t>
            </w:r>
          </w:p>
        </w:tc>
      </w:tr>
    </w:tbl>
    <w:p>
      <w:pPr>
        <w:spacing w:after="160" w:before="0"/>
      </w:pPr>
    </w:p>
    <w:p>
      <w:pPr>
        <w:pStyle w:val="Heading2"/>
      </w:pPr>
      <w:r>
        <w:t xml:space="preserve">Amenazas</w:t>
      </w:r>
    </w:p>
    <w:p>
      <w:pPr>
        <w:spacing w:after="100"/>
      </w:pPr>
      <w:r>
        <w:t xml:space="preserve">La principal es regulatoria: el caso de Ticketmaster en EE. UU. (veredicto del jurado de abril de 2026 y fase de remedios pendiente) [16] crea un precedente sobre exclusividades e integración de venta y promoción, el mismo modelo de CTS, y ya hay procedimientos abiertos en Alemania, Italia y Suiza [1]. La segunda, que los grandes artistas y promotores vendan directamente o repartan contingentes entre plataformas (desde 2018 pueden desviar al menos el 20 % del volumen en Alemania) [21]. La tercera, la entrada de Ticketmaster o de plataformas móviles (DICE, Fever) en los mercados donde CTS es líder. El riesgo tecnológico (caídas en picos de demanda, ciberataques) figura en el mapa de riesgos del grupo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2016-2025: ingresos </w:t>
      </w:r>
      <w:r>
        <w:rPr>
          <w:b/>
          <w:bCs/>
        </w:rPr>
        <w:t xml:space="preserve">15,7 %</w:t>
      </w:r>
      <w:r>
        <w:t xml:space="preserve">, EBITDA </w:t>
      </w:r>
      <w:r>
        <w:rPr>
          <w:b/>
          <w:bCs/>
        </w:rPr>
        <w:t xml:space="preserve">13,0 %</w:t>
      </w:r>
      <w:r>
        <w:t xml:space="preserve">, BPA </w:t>
      </w:r>
      <w:r>
        <w:rPr>
          <w:b/>
          <w:bCs/>
        </w:rPr>
        <w:t xml:space="preserve">12,6 %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830 M en 2016 a 3.079 M en 2025 (TCAC ≈ 15,7 %), con dos años anómalos por la COVID-19: 2020 (257 M de ventas y EBITDA de −7 M) y 2021 (408 M y EBITDA de 203 M inflado por 193 M de ayudas públicas) [6]. El crecimiento de 2022-2025 combina volumen (entradas vendidas al por menor: 177,9 M en 2025 frente a 147,2 M en 2024) y compras: See Tickets y France Billet en 2024 [1, 3]. El margen EBITDA reportado baja del 20,9 % de 2023 (inflado por 37,4 M de la compensación de autoTicket y 11,7 M de ayudas) al 18,8 % de 2025 por el mayor peso de Live Entertainment (5,8 % de margen frente al 46,4 % de Ticketing) [1, 4]. En el 1S26 las ventas crecen un 16,9 % y el EBITDA un 12,4 %, con caída del margen de Ticketing del 40,1 % al 36,4 % por mezcla [2]. La guía 2026 (ventas y EBITDA ajustado al nivel de 2025 o algo por encima) se mantiene en el semestral [1, 2].</w:t>
      </w:r>
    </w:p>
    <w:p>
      <w:pPr>
        <w:pStyle w:val="Heading2"/>
      </w:pPr>
      <w:r>
        <w:t xml:space="preserve">Ajustes y partidas no recurrentes</w:t>
      </w:r>
    </w:p>
    <w:p>
      <w:pPr>
        <w:spacing w:after="100"/>
      </w:pPr>
      <w:r>
        <w:t xml:space="preserve">La empresa ha usado dos definiciones. Hasta 2023, «EBITDA normalizado» (suma gastos de compras, asesoría y asignaciones de precio de compra fuera de NIIF 3) y «EBIT normalizado antes de PPA»; no restaba las ayudas COVID [4, 6]. Desde 2024, «EBITDA ajustado», que además resta ingresos extraordinarios: ayudas COVID (−193,0 M en 2021; −57,2 M en 2022; −11,7 M en 2023) y la compensación de autoTicket (−37,4 M en 2023); deja de publicar el EBIT normalizado [1, 3]. En 2024 los no recurrentes fueron +8,2 M (asesoría de la compra de See Tickets) y en 2025 +5,9 M (costes de un arbitraje en Live Entertainment); en 1S26, cero [1, 2]. La amortización de PPA fue de 21,6 M en 2025 y 18,0 M en 2024 [1]. En no_recurrentes_en_ebitda se usa la definición nueva (2021-2025) y la antigua para 2016-2019; en 2020 se combina la antigua (+4,2 M) con las ayudas COVID (−22,1 M)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Mensajes de los dos últimos informes (no se han leído transcripciones de las conferencias). En el 1T26 (mayo de 2026) la empresa destacó el +23,0 % de ventas y el +18,5 % de EBITDA ajustado, la aportación del recinto Unipol Dome (53 partidos de hockey de los JJ. OO. de invierno, más de 400.000 asistentes) y explicó el débil +2,5 % de Ticketing por el cambio en la relación con Stage Entertainment (sin él, «un buen 6 %»), renovada a largo plazo como acuerdo de venta minorista [11]. En el 1S26 (20-ago-2026) el discurso pasa a justificar la caída del margen de Ticketing (36,4 % frente a 40,1 %) como «efectos temporales»: cambio de mezcla entre áreas de negocio y costes del programa Operational Excellence; en el 2T26 las ventas de Ticketing crecieron un 25,8 % pero el EBITDA ajustado solo un 5,8 % (margen 32,5 %) [2]. Live Entertainment mejora (EBITDA ajustado +57,1 % en el semestre) con giras en Alemania, Italia y EE. UU. y la aportación de recintos [2]. La guía 2026 se mantiene sin cambios: ventas, EBITDA ajustado y EBIT al nivel de 2025 o algo por encima, con Ticketing estable o algo mejor y Live Entertainment con ventas planas y beneficio moderadamente mayor [1,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FKP Scorpio (promotor de festivales) consolidado por mayoría desde 2017: los ingresos de Live Entertainment suben de 439 a 627 M [10].; 2024: See Tickets (Vivendi), consolidado desde junio de 2024 (contraprestación 397,2 M; 171,9 M de caja adquirida), y France Billet, consolidado desde noviembre de 2024 (antes por puesta en equivalencia; contraprestación 103,5 M): el balance de 2024 los recoge enteros y la cuenta solo unos meses [1, 3].; 2026: Total Ticketing Group (Hong Kong, Macao, Singapur, Japón, Reino Unido), 51 % comprado el 30-jun-2026 por 6,1 M: inmaterial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Criterio de la caja de clientes.</w:t>
      </w:r>
      <w:r>
        <w:t xml:space="preserve"> La caja del balance (1.164,2 M de efectivo y 197,9 M de valores a jun-26) no es del accionista: 856,6 M son dinero de entradas cobrado por cuenta de promotores, que CTS liquida después del evento; menos 26,9 M pendientes de cobro, 829,7 M son en la práctica deuda sin interés [2]. En el puente se restan enteros (8,64 EUR por acción). Es la opción conservadora: mientras el negocio crezca, ese dinero se renueva y funciona como una financiación permanente; si se contara como caja propia, el valor subiría en esos 8,64 EUR. Los anticipos de Live Entertainment (880,3 M recibidos de preventas de eventos propios frente a 347,6 M pagados a artistas) se compensan con la entrega del evento: van al circulante, que es negativo (−26,3 % de las ventas en 2025) y financia el crecimiento [1, 2]. Con esa lectura, la caja propia es de unos 530 M, sin deuda bancaria (1,6 M); la deuda neta ajustada, con las opciones de venta de minoritarios y las pensiones, es una caja neta de 230 M. La caja baja en el primer semestre por estacionalidad (−191,5 M en el 1S26, con el dividendo de 138,2 M)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2.066</w:t>
      </w:r>
      <w:r>
        <w:t xml:space="preserve">, conversión </w:t>
      </w:r>
      <w:r>
        <w:rPr>
          <w:b/>
          <w:bCs/>
        </w:rPr>
        <w:t xml:space="preserve">134 %</w:t>
      </w:r>
      <w:r>
        <w:t xml:space="preserve"> del beneficio neto; adquisiciones 127, dividendos 653, recompras 0.</w:t>
      </w:r>
    </w:p>
    <w:p>
      <w:pPr>
        <w:spacing w:after="100"/>
      </w:pPr>
      <w:r>
        <w:t xml:space="preserve">El flujo operativo publicado no mide la caja propia: sube y baja con el dinero de entradas de terceros. En 2024 sumó 506,4 M, con ≈ 391 M de aumento del dinero de entradas neto (en parte por la entrada de See Tickets), y en 2025 bajó a 364,7 M pese a un EBITDA mayor [1]. En 2017-2025 ese dinero aportó unos 820 M acumulados, el 40 % del flujo libre de la década según el estado de flujos [1]. Sin él, la conversión del EBITDA en caja es más modesta pero sana: en 2025, EBITDA de 584 M, impuestos de 155 M, capex recurrente (sin el recinto) de unos 75 M y pagos de arrendamientos de 26 M dejan unos 330 M antes de circulante (estimación propia). El capex se disparó por ARENA MILANO (176,5 M en 2024 y 278,9 M en 2025) y debería volver hacia el 3 % de las ventas en 2026-2027; la empresa no separa mantenimiento y crecimiento [1, 2]. Los dividendos a minoritarios (59,1 M en 2025) son una salida de caja que el beneficio atribuido no refleja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desde 2017 sin salvedades [1, 10]. Tres puntos piden atención. Primero, la definición cambiante del EBITDA ajustado: hasta 2023 dejaba dentro las ayudas COVID y la compensación del peaje (autoTicket, 37,4 M en 2023); desde 2024 las resta, y con la nueva definición el EBITDA de 2023 baja de 501,4 a 444,8 M [3, 4]. Hoy los ajustes son pequeños (5,9 M de gastos de arbitraje en 2025), pero se repiten (8,2 M en 2024) [1]. Segundo, la caja: 1.089 M a dic-25 son de promotores y el flujo operativo sube y baja con ese dinero (+391 M en 2024, en parte por la entrada de See Tickets) [1]; quien lea la conversión del 134 % de 2016-2025 como caja libre se equivoca. Tercero, las opciones de venta de minoritarios (158,8 M) se revalorizan contra resultados (25,8 M de gasto en 2025) [1, 2]. Los indicadores: Altman Z de 2,47 (zona gris, por el pasivo inflado por el dinero de terceros, no por riesgo de quiebra), Piotroski F de 7 sobre 9 y Beneish M de −2,42, sin señal de manipulación. Las reexpresiones por PPA y la de 2022 (cobros de entradas de 107,4 a 45,0 M) son técnicas, no correcciones de errores materiales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de clientes dentro de la caja del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dinero de entradas pendiente de liquidar (1.089,3 M a dic-25) supera el 80 % de la caja; la deuda neta publicada por la empresa ya lo trata como deuda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definición del EBITDA ajustado en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EBITDA normalizado de 2023 era 501,4 M; con la definición nueva, 444,8 M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Opciones de venta de minoritarios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16,6 M en 2022 a 155,6 M en 2025; sus revaluaciones pasan por el resultado financiero (+18,2 M de gasto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financiero volátil por divisas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intragrupo a largo plazo en USD y GBP: +27,0 M de efecto cambiario en el 1S26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rPr>
          <w:b/>
        </w:rPr>
        <w:t xml:space="preserve">El ROIC del motor no sirve aquí</w:t>
      </w:r>
      <w:r>
        <w:t xml:space="preserve">: sale negativo (−312,8 % en 2025) porque la caja del balance, inflada por 1.049 M de dinero de entradas de terceros, se come todo el capital invertido. Estimación propia con ese dinero fuera de la caja: patrimonio y minoritarios (1.241 M), más arrendamientos y préstamos (125 M), menos la caja propia (≈ 556 M) dan unos 810 M de capital invertido en 2025, para un beneficio operativo después de impuestos de 320 M: un ROIC cercano al 40 %, cuatro veces el WACC del 8,9 % [1]. El motor de ese retorno es Ticketing (EBITDA ajustado de 453,7 M con un margen del 46,4 %), que apenas necesita capital: su inversión es software (42,7 M de intangibles en 2025) [1]. Live Entertainment (margen del 5,8 %) rinde por otra vía: cobra antes de pagar (853,7 M de anticipos recibidos frente a 237,0 M pagados) [1]. El ROIC cae desde 2023 por dos inversiones de rentabilidad aún no probada: See Tickets y France Billet (≈ 500 M; el fondo de comercio pasa de 388 a 734 M) y ARENA MILANO (≈ 230 M de capex en 2024-2025) [1, 3]. El ROE (26,3 %) confirma un negocio que crea valor, menos que en 2023 (33,7 %).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1.164,2 M y valores negociables 197,9 M a 30-jun-2026, de los que 856,6 M son dinero de entradas pendiente de liquidar a promotores (neto de 26,9 M de cobros pendientes: 829,8 M) [2]. Línea sindicada de 150 M hasta marzo de 2027 (34,1 M usados en avales, sin disposiciones en efectivo) y líneas bilaterales de 93,5 M a dic-25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financieros del balance (157,7 M a dic-25; 171,0 M a jun-26) no son deuda bancaria: 151,1 M (158,8 M a jun-26) son opciones de venta de minoritarios de filiales consolidadas, más 2,0 M de precios aplazados; los préstamos son 2,1 M [1, 2]. Covenants de la línea sindicada: deuda neta ajustada y ratio de capital, cumplidos en 2025 [1]. Pensiones 15,1 M [1]. Anticipo de 119,1 M por los JJ. OO. de Los Ángeles 2028 en otros activos financieros no corrientes [1]. Provisiones por posibles devoluciones de ayudas COVID en Austria [1]. Pasivos por vales 58,8 M (de ellos 11,3 M pasivo de contrato) [1]. Arbitraje en Live Entertainment con 5,9 M de costes en 2025 [1].</w:t>
      </w:r>
    </w:p>
    <w:p>
      <w:pPr>
        <w:pStyle w:val="Heading1"/>
      </w:pPr>
      <w:r>
        <w:t xml:space="preserve">12. Asignación de capital</w:t>
      </w:r>
    </w:p>
    <w:p>
      <w:pPr>
        <w:pStyle w:val="Confianza"/>
        <w:spacing w:after="100"/>
      </w:pPr>
      <w:r>
        <w:t xml:space="preserve">Confianza: Media</w:t>
      </w:r>
    </w:p>
    <w:p>
      <w:pPr>
        <w:spacing w:after="100"/>
      </w:pPr>
      <w:r>
        <w:t xml:space="preserve">Sin política de dividendos formal publicada en los documentos leídos; en la práctica, reparto de la mitad del beneficio por acción: 1,06 EUR en 2022 (BPA 2,12), 1,43 EUR en 2023 (2,86), 1,66 EUR en 2024 (3,32) y 1,44 EUR en 2025 (2,89), este último pagado en el 2T26 (138,2 M) [1, 2, 3, 4]. Sin dividendo con cargo a 2019-2021 por la COVID-19 [6, 8]. No hay recompras: la autocartera es de 8.700 acciones [1]. Las prioridades de la caja son las compras (See Tickets, France Billet, Total Ticketing), los recintos (ARENA MILANO / Unipol Dome) y el desarrollo del software de entradas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Billet (48 %, puesta en equivalencia; a cambio se vendió CTS Eventim France)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Tomada la mayoría en noviembre de 2024; la participación previa se revaluó a 76,5 M (ganancia de 15,9 M)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Punto Ticket (Chile y Perú, 65 %, vía Eventim Sony Holding)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Chile 21,3 M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See Tickets (actividades de venta de entradas y festivales de Vivendi Village)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235,6 M (226,3 M Ticketing; 9,4 M Live Entertainment); integración en curso en 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Billet (mayoría; antes en equivalencia)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(27,1 M) más la participación previa valorada en 76,5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112,7 M en Ticketing; 15,9 M de ganancia por revaluar la participación previa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Ticketing Group (51 %)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Asia; fondo de comercio de 6,0 M [2].</w:t>
            </w:r>
          </w:p>
        </w:tc>
      </w:tr>
    </w:tbl>
    <w:p>
      <w:pPr>
        <w:spacing w:after="160" w:before="0"/>
      </w:pPr>
    </w:p>
    <w:p>
      <w:pPr>
        <w:spacing w:after="100"/>
      </w:pPr>
      <w:r>
        <w:t xml:space="preserve">La dirección asigna bien el capital en el negocio que conoce y peor en el precio de lo que compra. De 2016 a 2025 el grupo generó 2.066 M de flujo libre según el estado de flujos, pero unos 820 M fueron dinero de entradas de terceros [1]; con lo propio pagó 653 M de dividendos (payout del 50 %, sin recompras) y financió compras y un recinto [1]. Las compras pequeñas en Italia (TicketOne, Vivo Concerti) y la red de festivales crearon valor; las grandes son recientes: See Tickets se pagó a unas 2,2 veces sus ventas [57] y el margen de Ticketing ha bajado del 46,4 % de 2025 al 36,4 % en el 1S26, en parte por su integración [2]. ARENA MILANO (Unipol Dome) es la mayor inversión de su historia y sale del modelo de activos ligeros: su rentabilidad está por demostrar. El dividendo se recortó de 1,66 a 1,44 EUR en 2026 pese a 530 M de caja propia [1, 2]: con la acción a 58,75 EUR y sin deuda, no recomprar acciones es la decisión más discutible. Los dividendos a minoritarios (59,1 M en 2025) muestran que una parte creciente del beneficio de Live Entertainment no es del accionista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Klaus-Peter Schulenberg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presidente del consejo de dirección de EVENTIM Management AG, socio colectivo de CTS KGaA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la empresa de venta de entradas CTS en 1996 y la sacó a bolsa en 2000 [34]. Controla CTS KGaA y el 100 % del socio colectivo a través de la KPS Stiftung, que tenía 37.932.000 acciones tras su compra del 30-sep-2026 (39,5 % del capital) [28][32]. Bajo su mandato los ingresos pasaron de 1.443 M en 2019 a más de 3.000 M en 2025 y el grupo cumplió o batió sus guías de 2019 y de 2022 a 2025 [28][4][8][5][3].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Philipp Knigge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Senior Vice President Finance, con unos nueve años en distintos puestos de finanzas del grupo; asume las funciones del CFO de forma interina desde el 30-sep-2026, tras la salida inmediata de Dr. William Willms, anunciada como información privilegiada (ad hoc)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Alexander Ruoff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miembro del consejo de dirección de EVENTIM Management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julio de 2002; responsable de ventas, marketing y desarrollo internacional [34]. Sus objetivos de 2025 incluían completar la venta de entradas de los JJ. OO. de invierno Milano Cortina 2026, y los del variable a largo plazo, las sinergias de See Tickets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Karel Dörner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miembro del consejo de dirección de EVENTIM Management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sénior de McKinsey (entró en 2006), cofundador de alando.de y CTO interino de MediaMarktSaturn durante un año [34]. En el consejo desde enero de 2025; compró 1.200 acciones en sep-2025 y 2.100 en mar-2026 [28][31].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Bernd Kundrun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vigilancia (Aufsichtsrat) de CTS KGaA y del de EVENTIM Management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consejero delegado de Gruner + Jahr (1997-2009) y miembro del comité de dirección de Bertelsmann (2000-2009) [34]. Está en el consejo de vigilancia desde noviembre de 2010 y lo presidió durante todo 2025; compró 5.000 acciones el 27-mar-2026 por 0,25 M [28][31].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grupo y resultados con un crecimiento en la franja baja de los dos dígitos (guía actualizada en el 1T19)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+16,2 %; resultados entre +17,5 % y +22,2 % (sin el efecto de la NIIF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resultados del grupo con una caída en la franja baja de un dígito (guía hecha sin contar con el COVID-19)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256,8 M frente a 1.443,1 M en 2019 (−82 %) por la pandemia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por escenarios (COVID-19): en el escenario 2, ingresos del grupo considerablemente más altos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+58,8 %; venta de entradas +77,0 %; promoción en directo +39,7 %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considerablemente más altos; revisada a ingresos de al menos 1.700 M y EBITDA normalizado de al menos 330 M (ad hoc del 7-nov-2022)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+372 %, por encima de la guía revisada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resultados en el nivel del año anterior; revisada al alza a ingresos significativamente por encima de 2.000 M y EBITDA normalizado significativamente por encima de 400 M (ad hoc del 5-oct-2023)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+22 % (moderadamente más altos); resultados significativamente más altos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ajustado moderadamente más altos; EBIT en el nivel del año anterior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+19 % y EBITDA ajustado +22 % (significativamente más altos); EBIT +10 %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EBITDA ajustado y EBIT del grupo moderadamente más altos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+10 %; EBITDA ajustado +8 %; EBIT +8 % (moderadamente más altos)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EBITDA ajustado y EBIT del grupo en el nivel de 2025 o ligeramente por encima (mantenida en el semestral del 20-ago-2026)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el semestral mantiene la guía del informe anual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consejo de dirección lo forman el CEO Schulenberg (propietario de CTS desde 1996), el COO Ruoff (desde 2002), el CTO Dörner (desde 2025) y, desde el 30-sep-2026, un CFO interino [33][34]. El puesto de CFO es el foco de inestabilidad: Volker Bischoff salió en marzo de 2020 tras más de 20 años; Holger Hohrein, en el cargo de 2023 a 2025, salió el 31-dic-2025; y William Willms, su sucesor desde el 1-ene-2026, salió con efecto inmediato el 30-sep-2026, sin que la empresa diera motivos [28][33][35]. No hay un plan de sucesión publicado para Schulenberg en el informe anual de 2025, en el informe de remuneración ni en el semestral [28][29][28]. Los objetivos a largo plazo del CEO para 2025 incluyen la «reorganización del equipo directivo» [29]. Desde 2022, el historial de la guía es bueno: cumplida o superada todos los años, con revisiones al alza en 2022 y 2023 [4][8][5][3][28].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Bernd Kundrun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(vocal); Personal y Nombramientos (presidente desde el 21-may-2025)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Cornelius Baur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Westermeyer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Nombramientos (desde el 21-may-2025)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Wybcke Meier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Klaus-Peter Schulenberg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presidente del consejo de dirección del socio colectivo (EVENTIM Management AG)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(órgano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Alexander Ruoff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consejo de dirección del socio colectivo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(órgano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Karel Dörner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CTO, consejo de dirección del socio colectivo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aplica (órgano de dirección)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31,93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KPS Stiftung (Klaus-Peter Schulenberg)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además posee el 100 % del socio colectivo EVENTIM Management AG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 37.274.000 acciones en 2024 a 37.932.000: compró 10.000 en nov-2024, 60.000 en ago-2025, y 184.000, 197.000, 14.000 y 193.000 los días 27-mar, 7-abr, 11-jun y 30-sep-2026 (30,7 M en 2026) [28][28][31][32]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(notificación del art. 33 WpHG)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1-jul-2025, con 6.077.013 derechos de voto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8.700 acciones, sin cambios; la junta de 2026 autorizó comprar hasta el 10 % del capital [28][28][30]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 restante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libre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como el resto hasta 96,0 M de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Stiftung (Klaus-Peter Schulenberg,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Bernd Kundrun (presidente del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Cornelius Baur (vicepresidente del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Karel Dörner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Cornelius Baur (vicepresidente del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Stiftung (Klaus-Peter Schulenberg,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Stiftung (Klaus-Peter Schulenberg,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Stiftung (Klaus-Peter Schulenberg,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Cornelius Baur (vicepresidente del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recibió 4,22 M en 2025 (concedidos y debidos según el art. 162 AktG): 3,50 M de fijo, 0,02 M de beneficios y 0,70 M de variable anual [29]. Además se le asignaron 8.872 acciones virtuales (0,80 M de objetivo) del plan a largo plazo de 2025, que se consolidan al cierre de 2027 [29]. El variable anual pondera un 40 % los ingresos, un 40 % el EBITDA y un 20 % los objetivos personales; en 2025 se cumplió al 100,3 % (ingresos de 3.079 M frente a un objetivo de 2.996 M y EBITDA de 578 M frente a 590 M) [29]. El plan a largo plazo mide objetivos estratégicos cualitativos (ARENA MILANO, reorganización del equipo directivo, IA), no ROIC ni TSR; el pago depende de la cotización más los dividendos y tiene un tope del 300 % [29]. Hay recuperación del variable (clawback), un máximo de 7,5 M para el CEO y una indemnización máxima de 12 meses de fijo [29]. Los accionistas rechazaron el informe de 2023 y la política en 2024 (53 % en contra) [30].</w:t>
      </w:r>
    </w:p>
    <w:p>
      <w:pPr>
        <w:pStyle w:val="Heading2"/>
      </w:pPr>
      <w:r>
        <w:t xml:space="preserve">Operaciones vinculadas, estructura de control y defensas</w:t>
      </w:r>
    </w:p>
    <w:p>
      <w:pPr>
        <w:spacing w:after="100"/>
      </w:pPr>
      <w:r>
        <w:t xml:space="preserve">CTS Eventim es una KGaA: la dirige su socio colectivo, EVENTIM Management AG, cuyo 100 % es de la KPS Stiftung de Schulenberg, que además tiene el 39,5 % de las acciones [28][32]. El consejo de vigilancia de EVENTIM Management AG, con los mismos miembros que el de la KGaA, nombra y cesa al consejo de dirección y fija su remuneración; la junta de la KGaA no puede cambiar a la dirección [28]. Por ley (art. 285 AktG), KPS no vota la aprobación de la gestión, la elección del consejo de vigilancia ni la del auditor: en esos puntos votan unos 42-50 M de acciones, frente a 79-88 M en el resto [30]. Sí vota la remuneración y las cuentas. En 2025 la empresa compró al grupo KPS servicios por 32,8 M (24,4 M de logística y atención al cliente y 2,9 M de alquileres) y le vendió por 1,4 M [28]. El consejo de vigilancia lo forman cuatro independientes (según la definición de las ESRS) [28].</w:t>
      </w:r>
    </w:p>
    <w:p>
      <w:pPr>
        <w:pStyle w:val="Heading2"/>
      </w:pPr>
      <w:r>
        <w:t xml:space="preserve">Señales de alerta</w:t>
      </w:r>
    </w:p>
    <w:p>
      <w:pPr>
        <w:pStyle w:val="ListParagraph"/>
        <w:numPr>
          <w:ilvl w:val="0"/>
          <w:numId w:val="2"/>
        </w:numPr>
        <w:spacing w:after="60"/>
      </w:pPr>
      <w:r>
        <w:t xml:space="preserve">Salida inmediata del CFO Dr. William Willms el 30-sep-2026, nueve meses después de llegar, sin motivo comunicado; es el tercer CFO que sale desde marzo de 2020 y lo sustituye un interino [33][35].</w:t>
      </w:r>
    </w:p>
    <w:p>
      <w:pPr>
        <w:pStyle w:val="ListParagraph"/>
        <w:numPr>
          <w:ilvl w:val="0"/>
          <w:numId w:val="2"/>
        </w:numPr>
        <w:spacing w:after="60"/>
      </w:pPr>
      <w:r>
        <w:t xml:space="preserve">Voto en contra de la remuneración: el informe de 2023 (52,97 % en contra) y la política (53,38 %) se rechazaron en 2024; en 2025 el informe de 2024 tuvo un 46,72 % en contra y la nueva política, un 36,41 %; en 2026 el informe de 2025, un 45,92 %. Sin los votos de KPS, el capital libre votó en contra entre el 69 % y el 93 % [30].</w:t>
      </w:r>
    </w:p>
    <w:p>
      <w:pPr>
        <w:pStyle w:val="ListParagraph"/>
        <w:numPr>
          <w:ilvl w:val="0"/>
          <w:numId w:val="2"/>
        </w:numPr>
        <w:spacing w:after="60"/>
      </w:pPr>
      <w:r>
        <w:t xml:space="preserve">Junta de 2025: el consejo de vigilancia propuso reducirse de cuatro a tres miembros y no proponía reelegir a su presidente, Kundrun; el acta no recoge ningún voto sobre esa reducción, y Kundrun fue reelegido por una propuesta presentada en la junta, con solo 128.354 votos (el 0,13 % del capital) [30][36].</w:t>
      </w:r>
    </w:p>
    <w:p>
      <w:pPr>
        <w:pStyle w:val="ListParagraph"/>
        <w:numPr>
          <w:ilvl w:val="0"/>
          <w:numId w:val="2"/>
        </w:numPr>
        <w:spacing w:after="60"/>
      </w:pPr>
      <w:r>
        <w:t xml:space="preserve">Operaciones vinculadas recurrentes con empresas de Schulenberg (grupo KPS): compras por 32,8 M en 2025 y 32,4 M en 2024, declaradas en condiciones de mercado [28].</w:t>
      </w:r>
    </w:p>
    <w:p>
      <w:pPr>
        <w:pStyle w:val="ListParagraph"/>
        <w:numPr>
          <w:ilvl w:val="0"/>
          <w:numId w:val="2"/>
        </w:numPr>
        <w:spacing w:after="60"/>
      </w:pPr>
      <w:r>
        <w:t xml:space="preserve">Aprobación de la gestión del consejo de vigilancia con un 15-16 % en contra del capital libre en 2025 y 2026 (16,45 % en 2026) [30].</w:t>
      </w:r>
    </w:p>
    <w:p>
      <w:pPr>
        <w:pStyle w:val="ListParagraph"/>
        <w:numPr>
          <w:ilvl w:val="0"/>
          <w:numId w:val="2"/>
        </w:numPr>
        <w:spacing w:after="60"/>
      </w:pPr>
      <w:r>
        <w:t xml:space="preserve">Arbitraje del peaje alemán para turismos (Pkw-Maut, autoTicket, empresa conjunta al 50 % con Kapsch): cerrado en julio de 2023 con una indemnización total de 243 M, intereses incluidos; autoTicket está en liquidación [4][28].</w:t>
      </w:r>
    </w:p>
    <w:p>
      <w:pPr>
        <w:pStyle w:val="ListParagraph"/>
        <w:numPr>
          <w:ilvl w:val="0"/>
          <w:numId w:val="2"/>
        </w:numPr>
        <w:spacing w:after="60"/>
      </w:pPr>
      <w:r>
        <w:t xml:space="preserve">En 2025, 5,9 M de gastos legales y de asesoría de un procedimiento arbitral en promoción en directo, ajustados del EBITDA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del informe anual 2025 (26-mar-2026): ventas, EBITDA ajustado y EBIT del grupo «al nivel del año anterior o ligeramente por encima» de 2025 (3.079,3 M de ventas y 584,0 M de EBITDA ajustado), bajo el supuesto de que las crisis geopolíticas no dañen el consumo de eventos [1]. Ticketing: ventas, EBITDA ajustado y EBIT al nivel de 2025 o ligeramente por encima, con el volumen de entradas estable o algo mayor; Live Entertainment: EBITDA ajustado y EBIT moderadamente mayores por el peso de ARENA MILANO, con ventas al nivel de 2025 [1]. El informe semestral (20-ago-2026) mantiene la guía: «remain valid» [2]. Tras el 1S26 (ventas +16,9 %, EBITDA ajustado +12,4 %) [2] no se ha subido. Día del inversor (Capital Markets Day) previsto el 20-nov-2026 en Milán con el plan financiero a medio plazo [42]; en marzo se anunciaba para septiembre [40]. Próximos resultados (3T26): 12-nov-2026.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(13 analistas)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(13 analistas)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9-oct-2026 (13 analistas)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53,00 – 100,00</w:t>
            </w:r>
          </w:p>
        </w:tc>
      </w:tr>
    </w:tbl>
    <w:p>
      <w:pPr>
        <w:spacing w:after="160" w:before="0"/>
      </w:pPr>
    </w:p>
    <w:p>
      <w:pPr>
        <w:pStyle w:val="Heading2"/>
      </w:pPr>
      <w:r>
        <w:t xml:space="preserve">Revisiones de estimaciones</w:t>
      </w:r>
    </w:p>
    <w:p>
      <w:pPr>
        <w:spacing w:after="100"/>
      </w:pPr>
      <w:r>
        <w:t xml:space="preserve">Tras la guía de 2026 (26-mar), JPMorgan esperaba que el consenso de EBITDA ajustado bajase un porcentaje de un dígito medio o alto por un cambio estructural de ingresos (un contrato de ticketing de larga duración vencido); Bernstein rebajó estimaciones de 2026 y su precio objetivo a 94 EUR, y DZ Bank recortó su objetivo manteniendo Comprar [40]. En agosto DZ Bank subió su valor razonable a 88 EUR; el 7-sep Bernstein lo bajó a 85 EUR (Outperform); JPMorgan mantuvo Overweight y 95 EUR el 30-sep y el 5-oct [39]. El consenso actual de 2026e (EBITDA 619,3 M, +6,0 % sobre 584 M) [38] sigue por encima de la guía literal («ligeramente por encima»). MarketScreener no publica en texto las revisiones a 3 y 12 meses: no se han podido cuantificar.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bl>
    <w:p>
      <w:pPr>
        <w:spacing w:after="160" w:before="0"/>
      </w:pPr>
    </w:p>
    <w:p>
      <w:pPr>
        <w:spacing w:after="100"/>
      </w:pPr>
      <w:r>
        <w:t xml:space="preserve">Índice: MDAX (EXS3.DE) y sector: STOXX Europe 600 Travel &amp; Leisure (EXV9.DE), ambos con dividendos [37]. La acción cae un 24,0 % en un año frente al −1,5 % del MDAX [37]. Las dos caídas del año: el 27-mar-2026 (−23,2 %, cierre en 48,92 EUR, mínimo desde noviembre de 2022) por una guía de 2026 que solo promete ventas y EBITDA ajustado «al nivel o ligeramente por encima» de 2025, el recorte del dividendo (de 1,66 a 1,44 EUR [38]) y el vencimiento de un contrato de ticketing de larga duración [1, 40]; y el 30-sep-2026 (−6,2 % al cierre, más del −14 % en la sesión) por la salida inmediata y sin explicación del director financiero William Willms, que había llegado a principios de 2026 [41, 42]. Del mínimo de 48,26 EUR (30-sep) a 58,75 EUR (9-oct) sube un 21,7 % en siete sesiones [37], tras la compra de unos 10 M EUR en acciones del fundador a 51,93 EUR el mismo 30-sep y la reiteración de Overweight y 95 EUR de JPMorgan (30-sep y 5-oct) [39, 42].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CTS cotiza a 9,5 veces el EBITDA y 18,3 veces el beneficio de los últimos 12 meses, por debajo del mínimo de los ocho ejercicios comparables (10,4 y 21,9 veces) y un 24 % y un 34 % por debajo de su media (12,5 y 27,7 veces) [37]. 2020 y 2021 se excluyen: la pandemia hundió las ventas y los múltiplos no significan nada. El descuento no lo explica el crecimiento, que se mantiene (+16,9 % en el 1S26) [2], sino tres cosas que cambiaron en 2026: una guía de crecimiento casi nulo con la pérdida de un contrato de Ticketing, la caída del margen de Ticketing y la inestabilidad del puesto de director financiero [40, 41]. Parte del múltiplo histórico estaba inflado por los tipos bajos de 2019-2021; con el Bund al 3,5 %, volver a la media no es el supuesto central, y el valor objetivo no lo exige.</w:t>
      </w:r>
    </w:p>
    <w:p>
      <w:pPr>
        <w:pStyle w:val="Heading1"/>
      </w:pPr>
      <w:r>
        <w:t xml:space="preserve">18. Comparables cotizados</w:t>
      </w:r>
    </w:p>
    <w:p>
      <w:pPr>
        <w:pStyle w:val="Confianza"/>
        <w:spacing w:after="100"/>
      </w:pPr>
      <w:r>
        <w:t xml:space="preserve">Confianza: Media</w:t>
      </w:r>
    </w:p>
    <w:p>
      <w:pPr>
        <w:spacing w:after="100"/>
      </w:pPr>
      <w:r>
        <w:t xml:space="preserve">Siete cotizadas de entretenimiento en directo, recintos y derechos musicales: Live Nation (el único grupo integrado de ticketing y promoción de tamaño mundial), TKO (derechos y eventos deportivos en directo), MSG Entertainment y Sphere (recintos), Universal Music y Warner Music (música grabada y edición, que se benefician del mismo gasto en música) y Kinepolis (ocio fuera de casa en Europa, cotizada en euros). Fuera: Eventbrite (excluida de bolsa tras su compra por Bending Spoons) y Vivid Seats y StubHub (EBITDA reportado negativo o en otra definición, que haría el múltiplo inútil).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CTS Eventim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Nation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Universal Music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Music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MSG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Sphere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Kinepolis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13,2x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13,9x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 / 24,8x / 35,7x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2,6x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15,6 + -0,47 × crecimiento; R² = 0,38. Para el crecimiento esperado de la empresa (3,6 %), el múltiplo ajustado es 13,9x y el valor por acción, 93,95.</w:t>
      </w:r>
    </w:p>
    <w:p>
      <w:pPr>
        <w:spacing w:after="100"/>
      </w:pPr>
      <w:r>
        <w:t xml:space="preserve">No hay comparable puro: Live Nation es el único que integra venta de entradas y promoción, pero cotiza en EE. UU., con márgenes del 9,4 % y un riesgo regulatorio mayor [49]. Los demás (TKO, Universal y Warner, MSG Entertainment, Sphere, Kinepolis) comparten el gasto en ocio en directo o en música, no el modelo. Con todo, la conclusión es robusta: CTS cotiza a 8,8 veces el EBITDA de los próximos 12 meses y 16,5 veces su beneficio, frente a medianas de 13,2 y 24,8 veces, con un margen EBITDA (18,5 %) en línea con la mediana y caja neta. Al múltiplo mediano valdría unos 89 EUR; al percentil 25, 66 EUR, todavía por encima del precio. El descuento frente a Live Nation (14,0 veces) refleja el menor crecimiento esperado (+4,7 % frente a +9,7 %) y la prima habitual de EE. UU., no un peor negocio: el margen de Ticketing de CTS (46,4 %) supera al de Ticketmaster (29,2 % de margen operativo) [1, 15]. Por la falta de comparables puros, pesan solo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See Tickets (internacional) y 11 festivales de Vivendi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Eventim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300 M EUR; ventas 2023 de 137 M (ticketing ≈ 105 M con EBITDA de 26 M; festivales 32 M); el EBITDA de los festivales no se publicó [57]. Si los festivales no aportaran EBITDA, el múltiplo máximo sería 11,5x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 Ticketing Group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Eventim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51 % por 6,1 M EUR; valor del 100 % ≈ 12 M (cálculo propio); activos netos de 0,2 M y fondo de comercio de 6,0 M; sin ventas ni EBITDA publicados [2]. Excluida por tamaño.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Superstruct Entertainment (más de 80 festivales en Europa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 (a Providence Equity)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Términos no publicados; el FT valoró la compañía en 1.300 M EUR (según Music Week)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Eventbrite (ticketing de autoservicio)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Bending Spoons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 USD por acción en efectivo, operación de ≈ 500 M USD (≈ 431 M EUR a 1,16 USD/EUR, estimación propia); prima del 82 % sobre la media ponderada de 60 sesiones; cierre previsto en el 1S26 [59]. Valor de capital, no valor empresa.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TEG (Ticketek,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Silver Lake (a Affinity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más de 1.300 M AUD (880 M USD; ≈ 800 M EUR, estimación propia) [60]. EBITDA de 70 M AUD en el ejercicio 2015 con crecimiento anual del 13 % en la etapa de Affinity [60]: EBITDA 2019 ≈ 114 M AUD y EV/EBITDA ≈ 11,4x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OCESA Entretenimiento (51 %,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 por 8.835 M MXN [61]; 100 % ≈ 17.324 M MXN ≈ 722 M EUR (estimación propia a ≈ 24 MXN/EUR). Sin EBITDA publicado; cerrada tras la pandemia, con resultados deprimidos.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dos operaciones dan múltiplo: See Tickets (≈ 2,2 veces ventas, pagada por la propia CTS en 2024) [57] y TEG (Ticketek), comprada por Silver Lake hacia 11 veces el EBITDA (estimación propia sobre cifras de prensa) [60]. Superstruct (1.300 M) y Eventbrite (prima del 82 %) confirman el apetito del capital privado por el ticketing y los festivales [58, 59]. No se ponderan en el valor objetivo: son pocas, heterogéneas y llevan prima de control, y CTS no es opinable: la KPS Stiftung de Schulenberg tiene el 39,5 % y el 100 % del socio colectivo que la dirige [28]. Una venta solo llegaría con la sucesión del fundador.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del 7,5 % en 2026e: el 1S26 creció un 16,9 % y, si el segundo semestre repite el de 2025, el año sale en el 7,1 % [2]; el consenso pide un 7,9 % y la guía («al nivel o algo por encima») es una cota que la empresa ya ha superado [1, 38]. Después, 5,5 % y 5,0 % en 2027e-2028e (consenso: 5,1 % y 4,5 %) y bajada gradual al 2,5 % en 2033e. El histórico (15,7 % anual en 2016-2025) incluye compras y la salida de la pandemia; el mercado de música en directo crece un 1-2 % en Alemania y un 5-10 % en el mundo [1, 22], y CTS crece fuera de Alemania (Italia, Francia, Reino Unido) y con los recintos.</w:t>
      </w:r>
    </w:p>
    <w:p>
      <w:pPr>
        <w:keepNext/>
        <w:spacing w:after="100"/>
      </w:pPr>
      <w:r>
        <w:rPr>
          <w:b/>
          <w:bCs/>
        </w:rPr>
        <w:t xml:space="preserve">Márgenes.</w:t>
      </w:r>
    </w:p>
    <w:p>
      <w:pPr>
        <w:spacing w:after="100"/>
      </w:pPr>
      <w:r>
        <w:t xml:space="preserve">Margen EBITDA del 18,6 % en 2026e (consenso 18,6 %) que sube despacio al 19,3 %, el nivel de 2024 sin partidas no recurrentes (2023: 18,9 %), y por debajo del 19,8 % que el consenso da para 2028e [4, 38]. La mezcla juega en contra: Live Entertainment (margen del 5,8 %) crece más que Ticketing (46,4 %), y en el 1S26 el margen de Ticketing cayó del 40,1 % al 36,4 % por mezcla y por el programa de eficiencia [1, 2]. Suponemos que esa caída no se revierte del todo: el margen del grupo se queda cerca del de 2024-2025 (19,0-19,3 %).</w:t>
      </w:r>
    </w:p>
    <w:p>
      <w:pPr>
        <w:keepNext/>
        <w:spacing w:after="100"/>
      </w:pPr>
      <w:r>
        <w:rPr>
          <w:b/>
          <w:bCs/>
        </w:rPr>
        <w:t xml:space="preserve">Inversión y circulante.</w:t>
      </w:r>
    </w:p>
    <w:p>
      <w:pPr>
        <w:spacing w:after="100"/>
      </w:pPr>
      <w:r>
        <w:t xml:space="preserve">Capex del 3,6 % de las ventas en 2026e (cola de ARENA MILANO) y del 3,1-3,2 % después, que incluye unos 0,8 puntos de altas de derechos de uso (NIIF 16) para que el DCF pague los alquileres; amortización del 3,2 %, con la del PPA de See Tickets [1]. El circulante, con los anticipos de Live Entertainment, se queda en el −25 % de las ventas (2022-2025: entre −26,3 % y −29,3 %): el crecimiento libera algo de caja, unos 40 M al año. El dinero de entradas de terceros no entra en el circulante ni en el DCF: está restado en el puente.</w:t>
      </w:r>
    </w:p>
    <w:p>
      <w:pPr>
        <w:keepNext/>
        <w:spacing w:after="100"/>
      </w:pPr>
      <w:r>
        <w:rPr>
          <w:b/>
          <w:bCs/>
        </w:rPr>
        <w:t xml:space="preserve">Coste del capital.</w:t>
      </w:r>
    </w:p>
    <w:p>
      <w:pPr>
        <w:spacing w:after="100"/>
      </w:pPr>
      <w:r>
        <w:t xml:space="preserve">Tasa libre del 3,53 % (Bund a 10 años del 9-oct-2026, Bundesbank) [45]. Beta de 1,0: entre la de la acción frente al MDAX (mensual a 5 años 1,24, ajustada 1,16; semanal 0,91-0,94) y la sectorial europea de Damodaran para entretenimiento (0,69-0,73) [37, 47]; la volatilidad de 2026 (44,7 %) castiga más el riesgo propio que el de mercado. Prima de mercado del 5,5 %, sin prima adicional: vende en Europa occidental. Casi sin deuda (2 % de arrendamientos). WACC del 8,91 %. Con la prima implícita del mercado (4,20 %) [46], el WACC baja al 7,63 %.</w:t>
      </w:r>
    </w:p>
    <w:p>
      <w:pPr>
        <w:keepNext/>
        <w:spacing w:after="100"/>
      </w:pPr>
      <w:r>
        <w:rPr>
          <w:b/>
          <w:bCs/>
        </w:rPr>
        <w:t xml:space="preserve">Valor terminal.</w:t>
      </w:r>
    </w:p>
    <w:p>
      <w:pPr>
        <w:spacing w:after="100"/>
      </w:pPr>
      <w:r>
        <w:t xml:space="preserve">Crecimiento a perpetuidad del 2,0 %: inflación esperada del euro y crecimiento real casi nulo, por debajo del Bund (3,53 %) menos medio punto. El valor terminal pesa el 62 % del valor empresa. El múltiplo de salida implícito es de 8,8 veces el EBITDA, por debajo de la mediana de los comparables (13,2 veces) y del mínimo histórico de la propia CTS (10,4 veces): el terminal es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M (-8 % del NOPAT)</w:t>
            </w:r>
          </w:p>
        </w:tc>
      </w:tr>
    </w:tbl>
    <w:p>
      <w:pPr>
        <w:spacing w:after="160" w:before="0"/>
      </w:pPr>
    </w:p>
    <w:p>
      <w:pPr>
        <w:spacing w:after="100"/>
      </w:pPr>
      <w:r>
        <w:t xml:space="preserve">La proyección apenas necesita inversión neta de la amortización (reinversión acumulada de -279 M, con un capex bruto medio del 3,2 % de las ventas). En un negocio de activos ligeros, el crecimiento medio del 4,4 %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eventos en Live Entertainment (EBITDA +57,1 % en el 1S26) y entradas estables o algo mayores en Ticketing pese al cambio con Stage Entertainment [2, 11]. Precio: comisiones y precio medio de entrada al ritmo de la inflación. Otros: primer año completo de Unipol Dome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europeo más ganancia de cuota fuera de Alemania (See Tickets, France Billet); precio en línea con la inflación y con el aumento del precio medio de las giras [22]. Otros: recintos.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2027e, sin aportación de perímetro. El crecimiento depende del calendario de giras (año olímpico de Los Ángeles, con 119,1 M ya anticipados) [1].</w:t>
            </w:r>
          </w:p>
        </w:tc>
      </w:tr>
    </w:tbl>
    <w:p>
      <w:pPr>
        <w:spacing w:after="160" w:before="0"/>
      </w:pPr>
    </w:p>
    <w:p>
      <w:pPr>
        <w:spacing w:after="100"/>
      </w:pPr>
      <w:r>
        <w:t xml:space="preserve">El crecimiento sí: el 4,4 % anual que proyectamos no pide capital (el circulante negativo financia a Live Entertainment), está por debajo del 15,7 % de la década y se apoya en volumen y precio, no en compras. La duda es el margen. El foso de Ticketing es real (60-70 % de las entradas en Alemania, margen del 46,4 % en 2025) [1, 21], pero 2026 enseñó sus límites: un contrato grande cambió de condiciones y el margen de Ticketing cayó al 36,4 % en el semestre [2]. Por eso el caso base deja el margen del grupo en el 19,0-19,3 %, sin superar el de 2024 (19,3 %) y por debajo del consenso de 2028e. No se pone la cuota final: la cuota publicada es la de las entradas en Alemania y el mercado proyectado es otro perímetro.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 (base: 19,3 %)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8,9 %)</w:t>
            </w:r>
          </w:p>
        </w:tc>
      </w:tr>
    </w:tbl>
    <w:p>
      <w:pPr>
        <w:spacing w:after="160" w:before="0"/>
      </w:pPr>
    </w:p>
    <w:p>
      <w:pPr>
        <w:spacing w:after="100"/>
      </w:pPr>
      <w:r>
        <w:t xml:space="preserve">El DCF da 65,88 EUR por acción, un 12,1 % por encima del precio, con un WACC del 8,91 % y el 62 % del valor en el terminal. Con la prima de riesgo que hoy pide el mercado (WACC del 7,63 %) sube a 80,95 EUR. </w:t>
      </w:r>
      <w:r>
        <w:rPr>
          <w:b/>
        </w:rPr>
        <w:t xml:space="preserve">El DCF inverso dice que el precio de 58,75 EUR descuenta un crecimiento de las ventas del 3,1 % anual hasta 2033e</w:t>
      </w:r>
      <w:r>
        <w:t xml:space="preserve"> (frente al 4,4 % de nuestro caso base) </w:t>
      </w:r>
      <w:r>
        <w:rPr>
          <w:b/>
        </w:rPr>
        <w:t xml:space="preserve">o un margen EBITDA del 17,5 %</w:t>
      </w:r>
      <w:r>
        <w:t xml:space="preserve"> (frente al 19,3 %): una rentabilidad implícita del 9,7 % anual, por encima del WACC. No es un precio exigente: supone un margen inferior al de cualquier año desde 2023 y un crecimiento que la empresa ha superado en cada ejercicio normal de la década. Tampoco es una ganga evidente: la diferencia con nuestro caso es de 1,3 puntos de crecimiento, y el valor depende de dos decisiones prudentes del puente, restar los 829,7 M de dinero de entradas de terceros (8,64 EUR por acción) y valorar los minoritarios a 12 veces su beneficio (428 M) en vez de a su valor contable (144 M). Con criterios menos estrictos, el DCF superaría los 75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de 2026 se repite: otro contrato grande de Ticketing cambia de condiciones, la regulación de la reventa y de los precios dinámicos llega a Alemania y el Reino Unido, y Live Entertainment encadena años sin giras grandes. Crecimiento 3 puntos menor, margen 2 puntos menor (Ticketing hacia el 40 %) y 0,5 puntos más de WACC por la incertidumbre de la sucesión.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7,5 % en 2026 y del 5 % en 2027-2028, que bajan al 2,5 %; margen EBITDA del 18,6 % que sube al 19,3 % sin superar el de 2024. Ticketing estable y Live Entertainment creciendo con los recintos.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del día del inversor de Milán convence: el margen de Ticketing vuelve hacia el 40 % con el programa de eficiencia y la integración de See Tickets, y Live Entertainment crece con los recintos y las giras internacionales. Crecimiento 1,5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62,61 EUR (+6,6 %).</w:t>
      </w:r>
    </w:p>
    <w:p>
      <w:pPr>
        <w:spacing w:after="100"/>
      </w:pPr>
      <w:r>
        <w:t xml:space="preserve">Con nuestro WACC la asimetría es justa: el alcista gana un 34,9 % (79,27 EUR) y el bajista pierde un 32,9 % (39,41 EUR), 1,06 veces. El bajista es verosímil, no cosmético: la acción ya cayó un 23 % en un día en marzo por una guía débil, y la volatilidad anual es del 44,7 % [37]. Pesa un 25 % porque la caída del margen de Ticketing del 1S26 aún no tiene explicación completa. Con la prima de riesgo del mercado, la asimetría mejora a 3,28 veces (+66 % frente a −20 %), porque una tasa de descuento menor favorece a un negocio de caja estable y larga. La rentabilidad esperada compensa el riesgo, pero sin margen holgado: de ahí la convicción media.</w:t>
      </w:r>
    </w:p>
    <w:p>
      <w:pPr>
        <w:pStyle w:val="Heading1"/>
      </w:pPr>
      <w:r>
        <w:t xml:space="preserve">22. Suma de partes</w:t>
      </w:r>
    </w:p>
    <w:p>
      <w:pPr>
        <w:pStyle w:val="Confianza"/>
        <w:spacing w:after="100"/>
      </w:pPr>
      <w:r>
        <w:t xml:space="preserve">Confianza: Media</w:t>
      </w:r>
    </w:p>
    <w:p>
      <w:pPr>
        <w:spacing w:after="100"/>
      </w:pPr>
      <w:r>
        <w:t xml:space="preserve">Contraste, sin peso en el valor objetivo: Ticketing a 12 veces y Live Entertainment a 8 veces dan unos 6.440 M de valor empresa, en línea con el DCF. Casi todo el valor está en Ticketing (el 85 %), por eso su margen es la variable que decide la 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Ticketing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Live Nation (14,0 veces el EBITDA de los próximos 12 meses) y Universal Music (9,8 veces): plataforma con margen del 46,4 % y crecimiento de un dígito medio [1, 49, 51].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Live Entertainment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Promoción con margen del 5,8 % y beneficio volátil, a múltiplos de ocio fuera de casa europeo como Kinepolis (7,3-8,2 veces) [1, 55].</w:t>
            </w:r>
          </w:p>
        </w:tc>
      </w:tr>
    </w:tbl>
    <w:p>
      <w:pPr>
        <w:spacing w:after="160" w:before="0"/>
      </w:pPr>
    </w:p>
    <w:p>
      <w:pPr>
        <w:spacing w:after="100"/>
      </w:pPr>
      <w:r>
        <w:rPr>
          <w:b/>
          <w:bCs/>
        </w:rPr>
        <w:t xml:space="preserve">Valor por acción por suma de partes:</w:t>
      </w:r>
      <w:r>
        <w:t xml:space="preserve"> 65,30 (+11,1 %); con ±1x en los múltiplos, 55,24 – 75,37.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69,45 EUR (+18,2 % sobre 58,75).</w:t>
      </w:r>
    </w:p>
    <w:p>
      <w:pPr>
        <w:spacing w:after="100"/>
      </w:pPr>
      <w:r>
        <w:t xml:space="preserve">Pesos: DCF 50 %, escenarios 30 % y comparables 20 %; transacciones 0 %. El DCF manda porque el negocio es de caja estable y casi sin inversión, y porque no hay comparables puros. Los comparables (88,65 EUR por las medianas) se quedan en un 20 %: todos cotizan con múltiplos de EE. UU. y la mediana es frágil (de 11,6 a 13,6 veces según el que se quite). Las transacciones no pesan: solo dos publican múltiplo y CTS no es opinable con el fundador al mando. El valor objetivo es de 69,45 EUR (+18,2 %). La dispersión es grande: de 62,61 EUR (escenarios) a 88,65 EUR (comparables), con el precio de 58,75 EUR por debajo de todos. </w:t>
      </w:r>
      <w:r>
        <w:rPr>
          <w:b/>
        </w:rPr>
        <w:t xml:space="preserve">El puente es la decisión que más valor mueve</w:t>
      </w:r>
      <w:r>
        <w:t xml:space="preserve">: se restan 829,7 M de dinero de entradas de terceros (8,64 EUR por acción), 169,4 M de opciones de venta de minoritarios y aplazados, y los minoritarios a valor de mercado (428 M, 12 veces su resultado de 12 meses, frente a 144,1 M contables). Parte de esas opciones de venta podría solaparse con los minoritarios a valor de mercado: como mucho 1,65 EUR por acción, que se dejan como prudencia [2].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(16.6x) × 1.1 (tope: la mediana de 5 años, 28.3x,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+77,8 %</w:t>
            </w:r>
          </w:p>
        </w:tc>
      </w:tr>
    </w:tbl>
    <w:p>
      <w:pPr>
        <w:spacing w:after="160" w:before="0"/>
      </w:pPr>
    </w:p>
    <w:p>
      <w:pPr>
        <w:spacing w:after="100"/>
      </w:pPr>
      <w:r>
        <w:rPr>
          <w:b/>
          <w:bCs/>
        </w:rPr>
        <w:t xml:space="preserve">Objetivo a 12 meses (ponderado):</w:t>
      </w:r>
      <w:r>
        <w:t xml:space="preserve"> 71,18 EUR · rentabilidad +23,6 % (base +19,6 %) · señal Comprar.</w:t>
      </w:r>
    </w:p>
    <w:p>
      <w:pPr>
        <w:spacing w:after="100"/>
      </w:pPr>
      <w:r>
        <w:t xml:space="preserve">Para comparar, con la regla v2 (historia al cierre, mismo precio): 14,1x / 16,6x / 21,6x, 12,0 % Mantener; con el tope anterior del base (×1,3, 14-oct mediodía): 45,4 % Comprar. Decide la regla vigente (v3 con tope ×1,1; METODO-VIGENTE.md).</w:t>
      </w:r>
    </w:p>
    <w:p>
      <w:pPr>
        <w:keepNext/>
        <w:spacing w:after="100"/>
      </w:pPr>
      <w:r>
        <w:rPr>
          <w:b/>
          <w:bCs/>
        </w:rPr>
        <w:t xml:space="preserve">Frente al consenso (solo contraste).</w:t>
      </w:r>
    </w:p>
    <w:p>
      <w:pPr>
        <w:spacing w:after="100"/>
      </w:pPr>
      <w:r>
        <w:t xml:space="preserve">Nuestro BPA base de 2028e (3,76) se separa un -5,1 % del consenso (3,96) y nuestro precio base (62,42) un -27,1 % del objetivo medio de los analistas (85,58).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69,45 (+18,2 %) frente al objetivo a 12 meses ponderado 64,37 (+12,1 % con dividendo; base +8,7 %).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margen de Ticketing tras el 36,4 % del semestre y de la guía anual, que el 1S26 ya supera en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en Milán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financiero a medio plazo en años; puede fijar objetivos de margen y de uso de la caja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director financiero definitivo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nombre externo con experiencia en mercados de capitales reduciría la prima de riesgo de gobierno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crecimiento real, no «al nivel del año anterior», cerraría parte del descuento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Remedios del caso del DOJ contra Live Nation-Ticketmaster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Precedente sobre exclusividades e integración de venta y promoción, el modelo de CTS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de reventa de entradas en el Reino Unido (aplazada)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a la reventa por encima del valor facial; afecta a See Tickets y a las comisiones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Juegos Olímpicos de Los Ángeles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119,1 M ya anticipados: ingresos de Ticketing y Live Entertainment en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margen de Ticketing (del 46,4 % de 2025 al 36,4 % en el 1S26) por contratos renegociados y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60-70 % en Alemania y costes de cambio del software de los promotores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Ticketing por debajo del 35 % en el 3T26 o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un fundador sin plan publicado, con rotación en la dirección financiera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(WACC +0,5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KPS Stiftung asegura la continuidad del control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 salida en el consejo de dirección o retraso en nombrar al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reventa, de los precios dinámicos y de las exclusividades (DOJ en EE. UU., Bundeskartellamt,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ya opera con el límite del 20 % de volumen libre en Alemania desde 2018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Remedios estructurales contra Ticketmaster o ley británica aprobada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consumo de ocio en Europa (consumo débil en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conciertos resistió la inflación de 2022-2024; preventa con cobro anticipado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las entradas vendidas en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de capital en recintos fuera del modelo de activos ligeros (ARENA MILANO, otros)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Nombre comercial vendido (Unipol) y ocupación de los JJ. OO.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otro recinto propio o capex por encima del 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Fuga de minoritarios y opciones de venta en Live Entertainment (158,8 M) más caras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restadas en el puente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Revalorizaciones de las opciones de venta en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Interrupción de un acontecimiento de masas (pandemia, terrorismo) como en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−15 %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de unos 530 M y sin deuda bancaria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Cancelaciones masivas de giras</w:t>
            </w:r>
          </w:p>
        </w:tc>
      </w:tr>
    </w:tbl>
    <w:p>
      <w:pPr>
        <w:spacing w:after="160" w:before="0"/>
      </w:pPr>
    </w:p>
    <w:p>
      <w:pPr>
        <w:pStyle w:val="Heading2"/>
      </w:pPr>
      <w:r>
        <w:t xml:space="preserve">Pre-mortem</w:t>
      </w:r>
    </w:p>
    <w:p>
      <w:pPr>
        <w:spacing w:after="100"/>
      </w:pPr>
      <w:r>
        <w:t xml:space="preserve">Es octubre de 2029 y la acción vale 35 EUR. La cadena empezó en 2026: el contrato perdido de Ticketing no fue un caso aislado, sino el primero de varios. Los grandes promotores y recintos, animados por el caso de Ticketmaster en EE. UU. y por la obligación de liberar volumen en Alemania, repartieron sus contingentes entre CTS, DICE y la venta directa, y la comisión media bajó. El margen de Ticketing pasó del 46 % al 33 % y el del grupo, del 19 % al 15 %, porque Live Entertainment siguió creciendo con márgenes del 5-6 %. El día del inversor de 2026 prometió eficiencia, pero el tercer director financiero en tres años no llegó a ejecutarla, y la sucesión de Schulenberg se abrió sin un sucesor creíble. Mientras, la caja se fue en recintos y en compras de promotores con opciones de venta caras. El mercado, que en 2026 ya pagaba solo 9,5 veces el EBITDA, bajó a 7 veces. La señal que lo habría anticipado: un margen de Ticketing por debajo del 35 % en el 3T26 o en la guía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más material para las cifras es la </w:t>
      </w:r>
      <w:r>
        <w:rPr>
          <w:b/>
        </w:rPr>
        <w:t xml:space="preserve">protección del consumidor y la competencia</w:t>
      </w:r>
      <w:r>
        <w:t xml:space="preserve">: cargos de servicio, exclusividades y reventa están bajo vigilancia de autoridades en Alemania, Italia, Suiza y Reino Unido [1, 21, 25]. Segundo, la </w:t>
      </w:r>
      <w:r>
        <w:rPr>
          <w:b/>
        </w:rPr>
        <w:t xml:space="preserve">seguridad de los datos y de los sistemas</w:t>
      </w:r>
      <w:r>
        <w:t xml:space="preserve">: el grupo maneja datos de pago de millones de compradores y tiene responsables específicos de PCI, seguridad de la información y protección de datos [1]. Tercero, el </w:t>
      </w:r>
      <w:r>
        <w:rPr>
          <w:b/>
        </w:rPr>
        <w:t xml:space="preserve">clima</w:t>
      </w:r>
      <w:r>
        <w:t xml:space="preserve">: las emisiones propias son pequeñas (alcance 1: 2.224 t CO₂e; alcance 2 por mercado: 6.313 t) frente al alcance 3, de 408.875 t, dominado por los desplazamientos del público; en 2025 fijó por primera vez un objetivo de −42 % en los alcances 1 y 2 para 2030 frente a 2025 [1].</w:t>
      </w:r>
    </w:p>
    <w:p>
      <w:pPr>
        <w:pStyle w:val="Heading2"/>
      </w:pPr>
      <w:r>
        <w:t xml:space="preserve">Controversias</w:t>
      </w:r>
    </w:p>
    <w:p>
      <w:pPr>
        <w:spacing w:after="100"/>
      </w:pPr>
      <w:r>
        <w:t xml:space="preserve">Multa de la AGCM italiana de 10,9 M EUR por abuso de posición dominante (dic-2020), anulada en firme por el Consiglio di Stato el 24-oct-2022 y reembolsada [5]. Multa de la Weko suiza a Ticketcorner de unos 65.000 CHF (22-ene-2026) por abuso en 2009-2011, aún recurrible [27]. Procedimientos administrativos abiertos en Alemania, Italia y Suiza, calificados de riesgo bajo por la empresa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Ticketing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del margen de Ticketing del 40,1 % al 36,4 % en el 1S26 es estructural (contrato de Stage Entertainment, See Tickets) y cuánto temporal (programa de eficiencia, mezcla)?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del grupo mueve el valor unos 4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Director financiero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salió Willms con efecto inmediato y qué perfil buscan para el puesto?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salida desde 2020; sin explicación, el mercado presume desacuerdo sobre cifras o estrategia.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tiene el fundador para el consejo de dirección y para la KPS Stiftung?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y la dirección dependen de una persona; es el mayor riesgo no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la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unos 530 M de caja propia y la acción a 9,5 veces el EBITDA, ¿por qué recortar el dividendo y no recomprar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5 % del capital al precio actual crearía más valor que otro recinto.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Dinero de entradas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dinero de entradas de terceros es estructural y cuánto rinde su inversión a corto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ese dinero se trata como deuda (8,64 EUR por acción) o como financiación permanente.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ARENA MILANO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espera de Unipol Dome y habrá más recintos propios?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inversión de su historia y aleja a CTS del modelo de activos ligeros.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opciones de venta de minoritarios vencen en 2026-2028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158,8 M de compromisos y una parte creciente del beneficio de Live Entertainment (59,1 M de dividendos a minoritarios en 2025).</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ARIVA.DE, foro de CTS Eventim («CTS Eventim setzt weiter auf Wachstum», páginas 33-34)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Quince mensajes tras el semestral (20-27 de agosto): las cifras gustan salvo el margen, y frustra que la guía solo se confirme y que la cotización no supere los 60 EUR. Diez mensajes el 30 de septiembre: la salida del director financiero dispara dudas y análisis técnicos bajistas, que se templan con la compra del fundador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hilo principal de CTS Eventim («weiterer Kursanstieg»)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mensajes más leídos del 30 de septiembre: unos compran por la caja, los conciertos agotados y las compras de directivos; otros recuerdan que comprar tras malas noticias concentra riesgo y que las compras de directivos no siempre preceden a subidas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(red social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guía de 2026, un particular promedia a la baja hacia 49-51 EUR y la considera muy infravalorada; la mayoría de los comentarios son escépticos por la caída del beneficio de 2025 y el recorte del dividendo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(prensa bursátil con análisis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patriarca compra, la bolsa duda»: el mercado castiga la cuarta salida de un director financiero en seis años y la comunicación con analistas; la compra de unos 10 M EUR del fundador y el día del inversor de Milán (20-nov) son la prueba de confianza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(análisis «comprar o vender», actualizado)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los dos bandos: plataforma dominante, caja y compras del fundador a favor; beneficio y flujo de caja a la baja, dividendo menor, presión antimonopolio y la salida sin explicación del director financiero en contra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director financiero y estabilidad de la cúpula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Willms salió el 30-sep-2026 con efecto inmediato y sin motivos, nueve meses después de llegar; es el tercer director financiero que sale desde 2020 y no hay plan de sucesión publicado para el fundador [28, 33]. Es un riesgo de gobierno, no de cuentas: KPMG firmó sin salvedades y la guía de 2026 se mantuvo en agosto [1,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del fundador como señal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y relevante por tamaño: la KPS Stiftung compró unos 30,7 M EUR en cuatro operaciones en 2026 (marzo, abril, junio y septiembre) y llega al 39,5 % [31, 32]. Pero el fundador ya controla la empresa por el socio colectivo: la señal es de valor, no de mejor gobierno.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por su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Exagerado: de los 1.362 M de caja e inversiones a junio de 2026, 857 M son dinero de entradas que se debe a los promotores; la caja propia ronda los 530 M, unos 5,5 EUR por acción y no los 14 que sugiere el balance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frente a cotización: margen y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los datos: en el 2T26 las ventas de Ticketing suben un 25,8 % y su EBITDA solo un 5,8 %, y la guía de 2026 (al nivel o algo por encima de 2025) se confirmó sin subir pese al +16,9 % de ventas del semestre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Bajistas en corto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posiciones cortas publicadas suman un 2,74 % del capital (AQR, JPMorgan AM y Marshall Wace): moderadas, no extremas [43].</w:t>
            </w:r>
          </w:p>
        </w:tc>
      </w:tr>
    </w:tbl>
    <w:p>
      <w:pPr>
        <w:spacing w:after="160" w:before="0"/>
      </w:pPr>
    </w:p>
    <w:p>
      <w:pPr>
        <w:spacing w:after="100"/>
      </w:pPr>
      <w:r>
        <w:t xml:space="preserve">El particular alemán está dividido y algo más optimista que en marzo: tras la guía de 2026 dominaba el escepticismo; en agosto, la frustración era con la cotización y no con las cifras, y tras la salida del director financiero las compras del fundador han contenido el pánico. No hay euforia ni capitulación: el volumen de comentarios es bajo para un valor del MDAX. Los foros aciertan en el riesgo de gobierno (rotación del director financiero, sucesión sin plan) y exageran la red de seguridad de la caja, que en dos tercios es dinero de terceros. Coinciden con los analistas (casi todos en comprar) en que el precio descuenta demasiado poco, pero añaden lo que el consenso suaviza: la credibilidad de la dirección se juega en el día del inversor del 20 de noviembre.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65 (30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-25,0 % frente a -26,3 % real: genera una variación de circulante de -19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11,6x a 13,6x según qué comparable se quite (77,76 a 91,88 por acción): la muestra es frágil; explícalo y no le des mucho peso. Explicación: La mediana del EV/EBITDA de los próximos 12 meses va de 11,6 a 13,6 veces según el comparable que se quite: ninguno combina venta de entradas y promoción en Europa. Por eso los comparables pesan un 20 % y el DCF manda.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-19,6 %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1T26, 1S26 y 3T25 (no citan consenso); 2) web de inversores, sin consenso previo por trimestre; 3) sin acceso gratuito a un consenso trimestral archivado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3T24 y 4T24; EBITDA reportado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3T25 (solo da 9M24 y 3T24 de ingresos); 2) informe anual 2024 (sin trimestres); 3) informe 9M24 y 1S24 no incluidos en la lista de documentos del encargo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resumido del 1S26 (sin desglose de capex); 2) texto del informe de gestión 1S26 (solo totales de inversión); 3) informe 1T26 (sin dato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pasivos financieros 2025 (préstamos de 2,1 M, sin tipo); 2) nota de riesgos financieros; 3) informe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estado de sostenibilidad (solo cita a MSCI como fuente de factores de emisión); 2) páginas públicas de MSCI y Sustainalytics (cargadas con JavaScript, sin calificación visible); 3) búsqueda web de MSCI, Sustainalytics, ISS y CDP (solo agregadores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2021-2025 de CTS (PwC Alemania solo da previsiones sueltas); 2) Goldman Sachs Music in the Air (solo 2024 y 2025); 3) PwC Global Outlook 2026-30 (resumen chino sin serie histórica)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Bundeskartellamt 2017 (solo cuota de CTS y del siguiente rival); 2) informes anuales de CTS (no publican cuotas); 3) búsqueda de rankings de Pollstar 2025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 (puesto de CTS en el ranking mundial de promotores de Pollstar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semestral 1S26 (no citan a Pollstar); 2) página de presentaciones de CTS (contenido por JavaScript); 3) búsqueda web del ranking Pollstar 2025 de promotores (no localizado en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(notificaciones WpHG posteriores a jul-2025)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6.15 (solo BlackRock, 6,33 % el 1-jul-2025); 2) página /en/investor-relations/voting-rights-notifications (404); 3) listado de notas de prensa de la empresa (página truncada, sin notificaciones de derechos de voto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sucesión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(informe del consejo de vigilancia y declaración de gobierno): sin mención; 2) informe de remuneración 2025: solo «reorganización del equipo directivo» como objetivo del variable a largo plazo; 3) búsqueda web de sucesión de Schulenberg: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recomendaciones.comprar/mantener/vender (reparto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(solo gráfico); 2) finanzen.net kursziele (403); 3) aktien.guide (403) y boerse-express (solo 5 casas)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(solo gráficos); 2) MarketScreener finances; 3) prensa (dpa-AFX, stock3)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(no lo da); 2) Yahoo quoteSummary (solo ROE/ROA); 3) MarketScreener valuation de Kinepolis (no lo 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publicados (Superstruct, Eventbrite, OCESA, France Billet, DICE, Vivo Concerti)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las partes (Vivendi, Eventbrite, Live Nation 8-K); 2) prensa sectorial (Music Week, AVCJ, Tech.eu); 3) informe anual 2025 de CTS (France Billet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https://corporate.eventim.de/media/document/b42d98d3-2f3a-430e-8cec-44aec6529782/assets/DE0005470306-JA-2025-EQ-E-00.pdf?disposition=inline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interim report as at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https://corporate.eventim.de/media/document/7fed2eea-b964-437c-ad86-263735fdbfea/assets/DE0005470306-Q2-2026-EQ-E-00.pdf?disposition=inline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https://corporate.eventim.de/media/document/d5cecf8e-8cf1-4517-a76e-c500c27c6b2a/assets/DE0005470306-JA-2024-PN-EQ-E-00.pdf?disposition=inline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https://corporate.eventim.de/media/document/260251cd-d330-47ea-8085-55b16ec93d1f/assets/DE0005470306-JA-2023-EQ-E-00.pdf?disposition=inline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https://corporate.eventim.de/media/document/5966d480-65d0-48a9-89a0-4341664cf715/assets/DE0005470306-JA-2022-EQ-E-00.pdf?disposition=inline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https://corporate.eventim.de/media/document/4e34189a-abaa-4891-af05-446f1deb39c3/assets/DE0005470306-JA-2021-EQ-E-00.pdf?disposition=inline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https://corporate.eventim.de/media/document/15301e88-074f-4608-8746-b72b0aa29fac/assets/DE0005470306-JA-2020-EQ-E-00.pdf?disposition=inline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https://corporate.eventim.de/media/document/013c1f10-344d-4c22-83e7-b7845a03ce23/assets/DE0005470306-JA-2019-EQ-E-00.pdf?disposition=inline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https://corporate.eventim.de/media/document/bf10dec3-be90-4c37-8444-afccb520107e/assets/DE0005470306-JA-2018-EQ-E-00.pdf?disposition=inline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https://corporate.eventim.de/media/document/b0387b41-d4a2-4022-862b-244a12c85bbc/assets/DE0005470306-JA-2017-EQ-E-00.pdf?disposition=inline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https://corporate.eventim.de/media/document/cdbd1003-7ebe-47de-a860-ed1fa6d1b45a/assets/DE0005470306-Q1-2026-EQ-E-00.pdf?disposition=inline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Quarterly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https://corporate.eventim.de/media/document/db668015-6f19-427f-84bb-ab3ed285f955/assets/DE0005470306-Q3-2025-EQ-E-00.pdf?disposition=inline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Quarterly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https://corporate.eventim.de/media/document/5e52b83e-9878-42e2-8ebd-8df0ccdbf97c/assets/DE0005470306-Q1-2025-EQ-E-00.pdf?disposition=inline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https://en.wikipedia.org/wiki/CTS_Eventim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https://www.sec.gov/Archives/edgar/data/1335258/000133525826000009/lyv-20251231.htm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https://www.sec.gov/Archives/edgar/data/1335258/000133525826000035/lyv-20260630.htm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Vivid Seats,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Vivid Seats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https://www.sec.gov/Archives/edgar/data/1856031/000119312526103023/seat-20251231.htm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Eventbrite,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Eventbrite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https://www.sec.gov/Archives/edgar/data/1475115/000147511526000005/eb-20251231.htm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Madison Square Garden Entertainment, Form 10-K ejercicio 2026 (cierre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MSG Entertainment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https://www.sec.gov/Archives/edgar/data/1952073/000162828026056286/msge-20260630.htm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 GBP, AUD por EUR), 31-dic-2025 y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https://data-api.ecb.europa.eu/service/data/EXR/D.USD+GBP+AUD.EUR.SP00.A?startPeriod=2025-12-29&amp;endPeriod=2025-12-31&amp;format=csvdata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Bundeskartellamt prohibits exclusive contracts between CTS Eventim and event organisers and advance booking offices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Bundeskartellamt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https://www.bundeskartellamt.de/SharedDocs/Meldung/EN/Pressemitteilungen/2017/04_12_2017_CTS_Exklusivit%C3%A4t.html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Emerging markets, superfans, and price rises: 7 takeaways from Goldman Sachs' new Music in the Air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https://www.musicbusinessworldwide.com/emerging-markets-superfans-and-price-rises-7-takeaways-from-goldman-sachs-new-music-in-the-air-report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Global Entertainment &amp; Media Outlook 2026-30: live music (reseña)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https://eu.36kr.com/en/p/4017188406087808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Business Analysis: A Return To Earth, 2025 grosses and ticket sales drop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https://news.pollstar.com/2025/12/12/year-end-business-analysis-a-return-to-earth-2025-grosses-ticket-sales-drop-averages-increase-beyonce-oasis-coldplay-have-top-tours-venues-stadiums-rock/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to go ahead with ban on reselling tickets for profit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https://www.musicweek.com/public_html/index.php/live/read/government-to-go-ahead-with-ban-on-reselling-tickets-for-profit/093080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ticket scalping ban shelved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Music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https://www.digitalmusicnews.com/2026/04/30/uk-ticket-scalping-ban-shelved-2026/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Weko büsst im Hallenstadion-Fall auch Ticketcorner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SRF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https://www.srf.ch/news/wirtschaft/bussen-von-gut-115-000-franken-weko-buesst-im-hallenstadion-fall-auch-ticketcorner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(CTS EVENTIM AG &amp; Co. KGaA)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https://corporate.eventim.de/en/investor-relations/financial-reports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https://corporate.eventim.de/media/document/e8872672-dd73-4682-8a60-8667ee4ada49/assets/oHV26_Remuneration_report2025.pdf?disposition=inline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Abstimmergebnisse ordentliche Hauptversammlung 2024, 2025 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https://corporate.eventim.de/media/document/4b1941a1-d098-44ef-8d7f-45b4c9f18951/assets/CTS_2026_HVTAG.Sammelgang_1.Praesentation.Uebersicht.pdf?disposition=inline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 dealings (Art. 19 MAR): KPS Stiftung, Kundrun, Baur, Dörner (mar-sep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https://corporate.eventim.de/en/investor-relations/directors-dealings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 dealings KPS Stiftung, compra del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https://corporate.eventim.de/en/investor-relations/directors-dealings/kps-stiftung/badf9cb7-5f3f-4fca-8249-85d82ddea02c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CFO Dr William Willms leaves the Executive Board with immediate effect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https://corporate.eventim.de/en/news-media/news/cts-eventim-cfo-dr-william-willms-leaves-the-executive-board-with-immediate-effect/65b98287-e450-4ebd-bff0-6fd70e11bffd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bodies (Executive Board and Supervisory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https://corporate.eventim.de/en/company/management-bodies/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schasst den nächsten Finanzchef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https://www.boersen-zeitung.de/personen/cts-eventim-schasst-cfo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https://corporate.eventim.de/media/document/49f933ad-8c9e-438f-8fe6-89203f8190ee/assets/HV_25_01_Invitation_Annual_General_Meeting_2025.pdf?disposition=inline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EVD.DE, EXS3.DE (MDAX) y EXV9.DE (STOXX Europe 600 Travel &amp; Leisure)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https://finance.yahoo.com/quote/EVD.DE/history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https://www.marketscreener.com/quote/stock/CTS-EVENTIM-AG-CO-KGAA-435918/finances/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AG &amp; Co. KGaA: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https://www.marketscreener.com/quote/stock/CTS-EVENTIM-AG-CO-KGAA-435918/consensus/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IM FOKUS 3: CTS Eventim brechen wegen enttäuschender Ziele ein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dpa-AFX /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https://live.deutsche-boerse.com/nachrichten/AKTIE-IM-FOKUS-3-CTS-Eventim-brechen-wegen-enttaeuschender-Ziele-ein-e0efe9a7-6c85-4a36-a7b3-0fd479935a7b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Eventim trennt sich unvermittelt vom CFO – Aktie im Minus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https://www.boersen-zeitung.de/kapitalmaerkte/eventim-trennt-sich-unvermittelt-vom-cfo-aktie-im-minus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Der Patriarch kauft, die Börse zweifelt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https://stock3.com/news/cts-eventim-der-patriarch-kauft-die-boerse-zweifelt-17317810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Netto-Leerverkaufspositionen (exportación CSV), CTS Eventim AG &amp; Co. KGaA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https://www.bundesanzeiger.de/pub/en/nlp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Startschuss für das Comeback?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https://www.deraktionaer.de/artikel/aktien/cts-eventim-startschuss-fuer-das-comeback-20399262.html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Zinsstruktur börsennotierter Bundeswertpapiere (Svensson), Restlaufzeit 10 Jahre, Tageswerte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(Europe), betaEurope.xls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https://www.marketscreener.com/quote/stock/LIVE-NATION-ENTERTAINMENT-13449/finances/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https://www.marketscreener.com/quote/stock/TKO-GROUP-HOLDINGS-INC-159194874/finances/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https://www.marketscreener.com/quote/stock/UNIVERSAL-MUSIC-GROUP-N-V-127415990/finances/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Music Group Corp.: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https://www.marketscreener.com/quote/stock/WARNER-MUSIC-GROUP-CORP-107768549/finances/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Madison Square Garden Entertainment Corp.: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https://www.marketscreener.com/quote/stock/MADISON-SQUARE-GARDEN-ENT-153340548/finances/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Sphere Entertainment Co.: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https://www.marketscreener.com/quote/stock/SPHERE-ENTERTAINMENT-CO-106060456/finances/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Kinepolis Group NV: Valuation Ratios, Analysts'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https://www.marketscreener.com/quote/stock/KINEPOLIS-GROUP-NV-16805128/valuation/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y capitalización (quoteSummary) de LYV, TKO, UMG.AS, WMG, MSGE, SPHR, KIN.BR y EVD.DE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https://finance.yahoo.com/quote/LYV/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Vivendi / CTS EVENTIM: Completion of the sale of Vivendi's festival and international ticketing activities to CTS EVENTIM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Vivendi (información regulada,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https://echanges.dila.gouv.fr/OPENDATA/AMF/BWR/2024/06/FCBWR157424_20240606.pdf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investment firm KKR acquires festival operator Superstruct Entertainment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https://musicweek.com/live/read/global-investment-firm-kkr-acquires-festival-operator-superstruct-entertainment/090014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Bending Spoons to acquire Eventbrite in $500M all-cash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Tech.eu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https://tech.eu/2025/12/02/bending-spoons-to-acquire-eventbrite-in-500m-all-cash-deal/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Deal focus: Events focus delivers Affinity 2.6x return on TEG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https://www.avcj.com/avcj/official-record/3016844/deal-focus-events-focus-delivers-affinity-26x-return-on-teg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closes acquisition of 51% controlling interest in OCESA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Live Nation Entertainment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https://www.sec.gov/Archives/edgar/data/1335258/000133525821000139/lyv-20211206x8kex991.htm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«CTS Eventim setzt weiter auf Wachstum» (mensajes de agosto y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https://www.ariva.de/forum/cts-eventim-setzt-weiter-auf-wachstum-280947?page=34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«CTS Eventim - weiterer Kursanstieg» (mensajes del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https://www.wallstreet-online.de/diskussion/508465-1/cts-eventim-weiterer-kursanstieg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y comentarios sobre CTS Eventim tras la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https://app.getquin.com/fr/post/MMxhpykKBs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CTS Eventim Aktie kaufen oder verkaufen? Prognose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https://www.boerse-express.com/analyse/cts-eventim-aktie-kaufen-oder-verkaufen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de CTS Eventim AG &amp; Co. KGaA en Xetra (EVD), miembro del MDAX (no del DAX), con las cuentas consolidadas en EUR y NIIF-UE; precio de cierre del viernes 9-oct-2026 (58,75 EUR), porque el corte cae en domingo [37]. Acciones: 95,99 M (96,0 M emitidas menos 8.700 de autocartera; sin instrumentos dilutivos) [1]. El EBITDA de la cuenta es el reportado; el motor le devuelve los no recurrentes declarados (5,9 M en 2025), con lo que coincide con el «EBITDA ajustado» de la empresa y con el del consenso [1, 38]. La empresa cambió en 2024 la definición de su EBITDA ajustado (resta ayudas COVID y la compensación de autoTicket): las series anteriores no son del todo homogéneas [3]. </w:t>
      </w:r>
      <w:r>
        <w:rPr>
          <w:b/>
        </w:rPr>
        <w:t xml:space="preserve">Caja de clientes</w:t>
      </w:r>
      <w:r>
        <w:t xml:space="preserve">: la caja del balance incluye el dinero de entradas cobrado por cuenta de los promotores (856,6 M a jun-26), que se resta en el puente como deuda; los anticipos de Live Entertainment se tratan como circulante [2]. El flujo operativo histórico se deja como lo publica la empresa (incluye las variaciones de ese dinero): la conversión de beneficio en caja de 2017-2025 está inflada por ello. El ROIC que calcula el motor sale negativo porque la caja de terceros reduce el capital invertido; el texto usa una estimación propia. Las conferencias con analistas no se han leído en transcripción, sino en los informes y la prensa [2, 40]. Los comparables cotizan sobre todo en EE. UU. y no tienen el mismo modelo (ninguno combina venta de entradas europea y promoción): sus múltiplos son referencia, no ancla [49, 50, 51, 52, 53, 54, 55, 56]. Las calificaciones ESG no están en abierto.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CTS Eventim AG &amp; Co. KGaA (EVD)</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58,75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(48,26 – 86,35)</c:v>
                </c:pt>
                <c:pt idx="1">
                  <c:v>Precio objetivo de los analistas (53,00 – 100,00)</c:v>
                </c:pt>
                <c:pt idx="2">
                  <c:v>Comparables: EV/EBITDA NTM (66,06 – 98,77)</c:v>
                </c:pt>
                <c:pt idx="3">
                  <c:v>Comparables: PER NTM (60,25 – 126,99)</c:v>
                </c:pt>
                <c:pt idx="4">
                  <c:v>DCF (WACC y g ± 0,5) (58,83 – 75,27)</c:v>
                </c:pt>
                <c:pt idx="5">
                  <c:v>Escenarios (bajista – alcista) (39,41 – 79,27)</c:v>
                </c:pt>
                <c:pt idx="6">
                  <c:v>Suma de partes (55,24 – 75,37)</c:v>
                </c:pt>
                <c:pt idx="7">
                  <c:v>DCF con la prima implícita del mercado (4,2 %)</c:v>
                </c:pt>
                <c:pt idx="8">
                  <c:v>Precio actual (58,75)</c:v>
                </c:pt>
              </c:strCache>
            </c:strRef>
          </c:cat>
          <c:val>
            <c:numRef>
              <c:f>Hoja1!$B$2:$B$10</c:f>
              <c:numCache>
                <c:formatCode>#,##0</c:formatCode>
                <c:ptCount val="9"/>
                <c:pt idx="0">
                  <c:v>48.26</c:v>
                </c:pt>
                <c:pt idx="1">
                  <c:v>53</c:v>
                </c:pt>
                <c:pt idx="2">
                  <c:v>66.06</c:v>
                </c:pt>
                <c:pt idx="3">
                  <c:v>60.25</c:v>
                </c:pt>
                <c:pt idx="4">
                  <c:v>58.83</c:v>
                </c:pt>
                <c:pt idx="5">
                  <c:v>39.41</c:v>
                </c:pt>
                <c:pt idx="6">
                  <c:v>55.24</c:v>
                </c:pt>
                <c:pt idx="7">
                  <c:v>74.29</c:v>
                </c:pt>
                <c:pt idx="8">
                  <c:v>58.46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(48,26 – 86,35)</c:v>
                </c:pt>
                <c:pt idx="1">
                  <c:v>Precio objetivo de los analistas (53,00 – 100,00)</c:v>
                </c:pt>
                <c:pt idx="2">
                  <c:v>Comparables: EV/EBITDA NTM (66,06 – 98,77)</c:v>
                </c:pt>
                <c:pt idx="3">
                  <c:v>Comparables: PER NTM (60,25 – 126,99)</c:v>
                </c:pt>
                <c:pt idx="4">
                  <c:v>DCF (WACC y g ± 0,5) (58,83 – 75,27)</c:v>
                </c:pt>
                <c:pt idx="5">
                  <c:v>Escenarios (bajista – alcista) (39,41 – 79,27)</c:v>
                </c:pt>
                <c:pt idx="6">
                  <c:v>Suma de partes (55,24 – 75,37)</c:v>
                </c:pt>
                <c:pt idx="7">
                  <c:v>DCF con la prima implícita del mercado (4,2 %)</c:v>
                </c:pt>
                <c:pt idx="8">
                  <c:v>Precio actual (58,75)</c:v>
                </c:pt>
              </c:strCache>
            </c:strRef>
          </c:cat>
          <c:val>
            <c:numRef>
              <c:f>Hoja1!$C$2:$C$10</c:f>
              <c:numCache>
                <c:formatCode>#,##0</c:formatCode>
                <c:ptCount val="9"/>
                <c:pt idx="0">
                  <c:v>38.089999999999996</c:v>
                </c:pt>
                <c:pt idx="1">
                  <c:v>47</c:v>
                </c:pt>
                <c:pt idx="2">
                  <c:v>32.709999999999994</c:v>
                </c:pt>
                <c:pt idx="3">
                  <c:v>66.74</c:v>
                </c:pt>
                <c:pt idx="4">
                  <c:v>16.439999999999998</c:v>
                </c:pt>
                <c:pt idx="5">
                  <c:v>39.86</c:v>
                </c:pt>
                <c:pt idx="6">
                  <c:v>20.130000000000003</c:v>
                </c:pt>
                <c:pt idx="7">
                  <c:v>14.629999999999995</c:v>
                </c:pt>
                <c:pt idx="8">
                  <c:v>0.5799999999999983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Ticketing</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395.1</c:v>
                </c:pt>
                <c:pt idx="1">
                  <c:v>418.4</c:v>
                </c:pt>
                <c:pt idx="2">
                  <c:v>447.1</c:v>
                </c:pt>
                <c:pt idx="3">
                  <c:v>481.6</c:v>
                </c:pt>
                <c:pt idx="4">
                  <c:v>126.6</c:v>
                </c:pt>
                <c:pt idx="5">
                  <c:v>224.1</c:v>
                </c:pt>
                <c:pt idx="6">
                  <c:v>541.4</c:v>
                </c:pt>
                <c:pt idx="7">
                  <c:v>717.3</c:v>
                </c:pt>
                <c:pt idx="8">
                  <c:v>879.9</c:v>
                </c:pt>
                <c:pt idx="9">
                  <c:v>977.1</c:v>
                </c:pt>
              </c:numCache>
            </c:numRef>
          </c:val>
        </c:ser>
        <c:ser>
          <c:idx val="1"/>
          <c:order val="1"/>
          <c:tx>
            <c:strRef>
              <c:f>Hoja1!$C$1</c:f>
              <c:strCache>
                <c:ptCount val="1"/>
                <c:pt idx="0">
                  <c:v>Live Entertainment</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439.2</c:v>
                </c:pt>
                <c:pt idx="1">
                  <c:v>626.7</c:v>
                </c:pt>
                <c:pt idx="2">
                  <c:v>812.5</c:v>
                </c:pt>
                <c:pt idx="3">
                  <c:v>985.8</c:v>
                </c:pt>
                <c:pt idx="4">
                  <c:v>136.8</c:v>
                </c:pt>
                <c:pt idx="5">
                  <c:v>191.1</c:v>
                </c:pt>
                <c:pt idx="6">
                  <c:v>1410.2</c:v>
                </c:pt>
                <c:pt idx="7">
                  <c:v>1677.1</c:v>
                </c:pt>
                <c:pt idx="8">
                  <c:v>1971.4</c:v>
                </c:pt>
                <c:pt idx="9">
                  <c:v>2152.2</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-4.4</c:v>
                </c:pt>
                <c:pt idx="1">
                  <c:v>-11.1</c:v>
                </c:pt>
                <c:pt idx="2">
                  <c:v>-17.9</c:v>
                </c:pt>
                <c:pt idx="3">
                  <c:v>-24.3</c:v>
                </c:pt>
                <c:pt idx="4">
                  <c:v>-6.6</c:v>
                </c:pt>
                <c:pt idx="5">
                  <c:v>-7.4</c:v>
                </c:pt>
                <c:pt idx="6">
                  <c:v>-25.8</c:v>
                </c:pt>
                <c:pt idx="7">
                  <c:v>-35.8</c:v>
                </c:pt>
                <c:pt idx="8">
                  <c:v>-42.7</c:v>
                </c:pt>
                <c:pt idx="9">
                  <c:v>-49.9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Ticketing</c:v>
                </c:pt>
                <c:pt idx="1">
                  <c:v>Live Entertainment</c:v>
                </c:pt>
                <c:pt idx="2">
                  <c:v>Eliminaciones</c:v>
                </c:pt>
              </c:strCache>
            </c:strRef>
          </c:cat>
          <c:val>
            <c:numRef>
              <c:f>Hoja1!$B$2:$B$4</c:f>
              <c:numCache>
                <c:formatCode>General</c:formatCode>
                <c:ptCount val="3"/>
                <c:pt idx="0">
                  <c:v>31.7</c:v>
                </c:pt>
                <c:pt idx="1">
                  <c:v>69.9</c:v>
                </c:pt>
                <c:pt idx="2">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Alemania</c:v>
                </c:pt>
                <c:pt idx="1">
                  <c:v>Italia</c:v>
                </c:pt>
                <c:pt idx="2">
                  <c:v>Suiza</c:v>
                </c:pt>
                <c:pt idx="3">
                  <c:v>Austria</c:v>
                </c:pt>
                <c:pt idx="4">
                  <c:v>EE. UU.</c:v>
                </c:pt>
                <c:pt idx="5">
                  <c:v>Reino Unido</c:v>
                </c:pt>
                <c:pt idx="6">
                  <c:v>Países Bajos</c:v>
                </c:pt>
                <c:pt idx="7">
                  <c:v>Otros</c:v>
                </c:pt>
              </c:strCache>
            </c:strRef>
          </c:cat>
          <c:val>
            <c:numRef>
              <c:f>Hoja1!$B$2:$B$9</c:f>
              <c:numCache>
                <c:formatCode>0"%"</c:formatCode>
                <c:ptCount val="8"/>
                <c:pt idx="0">
                  <c:v>43.8</c:v>
                </c:pt>
                <c:pt idx="1">
                  <c:v>19.7</c:v>
                </c:pt>
                <c:pt idx="2">
                  <c:v>7.1</c:v>
                </c:pt>
                <c:pt idx="3">
                  <c:v>6.1</c:v>
                </c:pt>
                <c:pt idx="4">
                  <c:v>5.5</c:v>
                </c:pt>
                <c:pt idx="5">
                  <c:v>3.4</c:v>
                </c:pt>
                <c:pt idx="6">
                  <c:v>2.7</c:v>
                </c:pt>
                <c:pt idx="7">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(música en directo en Alemania, PwC))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2026e</c:v>
                </c:pt>
                <c:pt idx="3">
                  <c:v>2029e</c:v>
                </c:pt>
              </c:strCache>
            </c:strRef>
          </c:cat>
          <c:val>
            <c:numRef>
              <c:f>Hoja1!$B$2:$B$5</c:f>
              <c:numCache>
                <c:formatCode>#,##0</c:formatCode>
                <c:ptCount val="4"/>
                <c:pt idx="0">
                  <c:v>2581</c:v>
                </c:pt>
                <c:pt idx="1">
                  <c:v>2653</c:v>
                </c:pt>
                <c:pt idx="2">
                  <c:v>2705</c:v>
                </c:pt>
                <c:pt idx="3">
                  <c:v>2784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CTS Eventim</c:v>
                </c:pt>
                <c:pt idx="1">
                  <c:v>Live Nation Entertainment (Ticketmaster)</c:v>
                </c:pt>
                <c:pt idx="2">
                  <c:v>Vivid Seats</c:v>
                </c:pt>
                <c:pt idx="3">
                  <c:v>Eventbrite</c:v>
                </c:pt>
                <c:pt idx="4">
                  <c:v>Madison Square Garden Entertainment</c:v>
                </c:pt>
                <c:pt idx="5">
                  <c:v>AEG Presents</c:v>
                </c:pt>
                <c:pt idx="6">
                  <c:v>Fever / DICE</c:v>
                </c:pt>
                <c:pt idx="7">
                  <c:v>Superstruct Entertainment</c:v>
                </c:pt>
                <c:pt idx="8">
                  <c:v>TEG (Ticketek)</c:v>
                </c:pt>
              </c:strCache>
            </c:strRef>
          </c:cat>
          <c:val>
            <c:numRef>
              <c:f>Hoja1!$B$2:$B$10</c:f>
              <c:numCache>
                <c:formatCode>0.0"%"</c:formatCode>
                <c:ptCount val="9"/>
                <c:pt idx="0">
                  <c:v>15.7</c:v>
                </c:pt>
                <c:pt idx="1">
                  <c:v>5</c:v>
                </c:pt>
                <c:pt idx="2">
                  <c:v>-136.6</c:v>
                </c:pt>
                <c:pt idx="3">
                  <c:v>-8.9</c:v>
                </c:pt>
                <c:pt idx="4">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829.9</c:v>
                </c:pt>
                <c:pt idx="1">
                  <c:v>1034</c:v>
                </c:pt>
                <c:pt idx="2">
                  <c:v>1241.7</c:v>
                </c:pt>
                <c:pt idx="3">
                  <c:v>1443.1</c:v>
                </c:pt>
                <c:pt idx="4">
                  <c:v>256.8</c:v>
                </c:pt>
                <c:pt idx="5">
                  <c:v>407.8</c:v>
                </c:pt>
                <c:pt idx="6">
                  <c:v>1925.8</c:v>
                </c:pt>
                <c:pt idx="7">
                  <c:v>2358.6</c:v>
                </c:pt>
                <c:pt idx="8">
                  <c:v>2808.6</c:v>
                </c:pt>
                <c:pt idx="9">
                  <c:v>3079.3</c:v>
                </c:pt>
                <c:pt idx="10">
                  <c:v>3310</c:v>
                </c:pt>
                <c:pt idx="11">
                  <c:v>3492</c:v>
                </c:pt>
                <c:pt idx="12">
                  <c:v>3667</c:v>
                </c:pt>
                <c:pt idx="13">
                  <c:v>3832</c:v>
                </c:pt>
                <c:pt idx="14">
                  <c:v>3985</c:v>
                </c:pt>
                <c:pt idx="15">
                  <c:v>4125</c:v>
                </c:pt>
                <c:pt idx="16">
                  <c:v>4248</c:v>
                </c:pt>
                <c:pt idx="17">
                  <c:v>4355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194.5</c:v>
                </c:pt>
                <c:pt idx="1">
                  <c:v>204.7</c:v>
                </c:pt>
                <c:pt idx="2">
                  <c:v>228.1</c:v>
                </c:pt>
                <c:pt idx="3">
                  <c:v>286.5</c:v>
                </c:pt>
                <c:pt idx="4">
                  <c:v>-25</c:v>
                </c:pt>
                <c:pt idx="5">
                  <c:v>10.099999999999994</c:v>
                </c:pt>
                <c:pt idx="6">
                  <c:v>316.3</c:v>
                </c:pt>
                <c:pt idx="7">
                  <c:v>444.9</c:v>
                </c:pt>
                <c:pt idx="8">
                  <c:v>542.2</c:v>
                </c:pt>
                <c:pt idx="9">
                  <c:v>584.1</c:v>
                </c:pt>
                <c:pt idx="10">
                  <c:v>616</c:v>
                </c:pt>
                <c:pt idx="11">
                  <c:v>660</c:v>
                </c:pt>
                <c:pt idx="12">
                  <c:v>700</c:v>
                </c:pt>
                <c:pt idx="13">
                  <c:v>736</c:v>
                </c:pt>
                <c:pt idx="14">
                  <c:v>769</c:v>
                </c:pt>
                <c:pt idx="15">
                  <c:v>796</c:v>
                </c:pt>
                <c:pt idx="16">
                  <c:v>820</c:v>
                </c:pt>
                <c:pt idx="17">
                  <c:v>840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34.2</c:v>
                </c:pt>
                <c:pt idx="1">
                  <c:v>29.5</c:v>
                </c:pt>
                <c:pt idx="2">
                  <c:v>27.4</c:v>
                </c:pt>
                <c:pt idx="3">
                  <c:v>27.8</c:v>
                </c:pt>
                <c:pt idx="4">
                  <c:v>3.8</c:v>
                </c:pt>
                <c:pt idx="5">
                  <c:v>19.8</c:v>
                </c:pt>
                <c:pt idx="6">
                  <c:v>23.3</c:v>
                </c:pt>
                <c:pt idx="7">
                  <c:v>25.6</c:v>
                </c:pt>
                <c:pt idx="8">
                  <c:v>26.4</c:v>
                </c:pt>
                <c:pt idx="9">
                  <c:v>27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23.4</c:v>
                </c:pt>
                <c:pt idx="1">
                  <c:v>19.8</c:v>
                </c:pt>
                <c:pt idx="2">
                  <c:v>18.4</c:v>
                </c:pt>
                <c:pt idx="3">
                  <c:v>19.9</c:v>
                </c:pt>
                <c:pt idx="4">
                  <c:v>-9.7</c:v>
                </c:pt>
                <c:pt idx="5">
                  <c:v>2.5</c:v>
                </c:pt>
                <c:pt idx="6">
                  <c:v>16.4</c:v>
                </c:pt>
                <c:pt idx="7">
                  <c:v>18.9</c:v>
                </c:pt>
                <c:pt idx="8">
                  <c:v>19.3</c:v>
                </c:pt>
                <c:pt idx="9">
                  <c:v>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19.6</c:v>
                </c:pt>
                <c:pt idx="1">
                  <c:v>16.3</c:v>
                </c:pt>
                <c:pt idx="2">
                  <c:v>15.3</c:v>
                </c:pt>
                <c:pt idx="3">
                  <c:v>16.1</c:v>
                </c:pt>
                <c:pt idx="4">
                  <c:v>-31.5</c:v>
                </c:pt>
                <c:pt idx="5">
                  <c:v>-11.1</c:v>
                </c:pt>
                <c:pt idx="6">
                  <c:v>13.3</c:v>
                </c:pt>
                <c:pt idx="7">
                  <c:v>15</c:v>
                </c:pt>
                <c:pt idx="8">
                  <c:v>16</c:v>
                </c:pt>
                <c:pt idx="9">
                  <c:v>15.7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11.4</c:v>
                </c:pt>
                <c:pt idx="1">
                  <c:v>10.9</c:v>
                </c:pt>
                <c:pt idx="2">
                  <c:v>9.5</c:v>
                </c:pt>
                <c:pt idx="3">
                  <c:v>9.2</c:v>
                </c:pt>
                <c:pt idx="4">
                  <c:v>-32</c:v>
                </c:pt>
                <c:pt idx="5">
                  <c:v>21.6</c:v>
                </c:pt>
                <c:pt idx="6">
                  <c:v>10.6</c:v>
                </c:pt>
                <c:pt idx="7">
                  <c:v>11.6</c:v>
                </c:pt>
                <c:pt idx="8">
                  <c:v>11.4</c:v>
                </c:pt>
                <c:pt idx="9">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22</c:v>
                </c:pt>
                <c:pt idx="3">
                  <c:v>0.3</c:v>
                </c:pt>
                <c:pt idx="4">
                  <c:v>3.5</c:v>
                </c:pt>
                <c:pt idx="5">
                  <c:v>19.2</c:v>
                </c:pt>
                <c:pt idx="6">
                  <c:v>23</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c:v>
                </c:pt>
                <c:pt idx="1">
                  <c:v>21</c:v>
                </c:pt>
                <c:pt idx="2">
                  <c:v>18</c:v>
                </c:pt>
                <c:pt idx="3">
                  <c:v>18</c:v>
                </c:pt>
                <c:pt idx="4">
                  <c:v>36</c:v>
                </c:pt>
                <c:pt idx="5">
                  <c:v>49</c:v>
                </c:pt>
                <c:pt idx="6">
                  <c:v>22</c:v>
                </c:pt>
                <c:pt idx="7">
                  <c:v>19</c:v>
                </c:pt>
                <c:pt idx="8">
                  <c:v>19</c:v>
                </c:pt>
                <c:pt idx="9">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c:v>
                </c:pt>
                <c:pt idx="1">
                  <c:v>2</c:v>
                </c:pt>
                <c:pt idx="2">
                  <c:v>2</c:v>
                </c:pt>
                <c:pt idx="3">
                  <c:v>2</c:v>
                </c:pt>
                <c:pt idx="4">
                  <c:v>7</c:v>
                </c:pt>
                <c:pt idx="5">
                  <c:v>5</c:v>
                </c:pt>
                <c:pt idx="6">
                  <c:v>1</c:v>
                </c:pt>
                <c:pt idx="7">
                  <c:v>3</c:v>
                </c:pt>
                <c:pt idx="8">
                  <c:v>3</c:v>
                </c:pt>
                <c:pt idx="9">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54</c:v>
                </c:pt>
                <c:pt idx="1">
                  <c:v>52</c:v>
                </c:pt>
                <c:pt idx="2">
                  <c:v>56</c:v>
                </c:pt>
                <c:pt idx="3">
                  <c:v>49</c:v>
                </c:pt>
                <c:pt idx="4">
                  <c:v>102</c:v>
                </c:pt>
                <c:pt idx="5">
                  <c:v>134</c:v>
                </c:pt>
                <c:pt idx="6">
                  <c:v>57</c:v>
                </c:pt>
                <c:pt idx="7">
                  <c:v>61</c:v>
                </c:pt>
                <c:pt idx="8">
                  <c:v>63</c:v>
                </c:pt>
                <c:pt idx="9">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121</c:v>
                </c:pt>
                <c:pt idx="1">
                  <c:v>186.4</c:v>
                </c:pt>
                <c:pt idx="2">
                  <c:v>308.1</c:v>
                </c:pt>
                <c:pt idx="3">
                  <c:v>81.7</c:v>
                </c:pt>
                <c:pt idx="4">
                  <c:v>-158.79999999999998</c:v>
                </c:pt>
                <c:pt idx="5">
                  <c:v>450.5</c:v>
                </c:pt>
                <c:pt idx="6">
                  <c:v>273.8</c:v>
                </c:pt>
                <c:pt idx="7">
                  <c:v>437.3</c:v>
                </c:pt>
                <c:pt idx="8">
                  <c:v>306</c:v>
                </c:pt>
                <c:pt idx="9">
                  <c:v>60.000000000000014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94.6</c:v>
                </c:pt>
                <c:pt idx="1">
                  <c:v>112.8</c:v>
                </c:pt>
                <c:pt idx="2">
                  <c:v>118.5</c:v>
                </c:pt>
                <c:pt idx="3">
                  <c:v>132.9</c:v>
                </c:pt>
                <c:pt idx="4">
                  <c:v>-82.3</c:v>
                </c:pt>
                <c:pt idx="5">
                  <c:v>87.9</c:v>
                </c:pt>
                <c:pt idx="6">
                  <c:v>203.7</c:v>
                </c:pt>
                <c:pt idx="7">
                  <c:v>274.6</c:v>
                </c:pt>
                <c:pt idx="8">
                  <c:v>318.9</c:v>
                </c:pt>
                <c:pt idx="9">
                  <c:v>277.3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-267</c:v>
                </c:pt>
                <c:pt idx="1">
                  <c:v>-136.7</c:v>
                </c:pt>
                <c:pt idx="2">
                  <c:v>-57.5</c:v>
                </c:pt>
                <c:pt idx="3">
                  <c:v>-86.5</c:v>
                </c:pt>
                <c:pt idx="4">
                  <c:v>-222</c:v>
                </c:pt>
                <c:pt idx="5">
                  <c:v>38.2</c:v>
                </c:pt>
                <c:pt idx="6">
                  <c:v>-87.6</c:v>
                </c:pt>
                <c:pt idx="7">
                  <c:v>-594</c:v>
                </c:pt>
                <c:pt idx="8">
                  <c:v>-577.8</c:v>
                </c:pt>
                <c:pt idx="9">
                  <c:v>-312.8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8.9</c:v>
                </c:pt>
                <c:pt idx="1">
                  <c:v>8.9</c:v>
                </c:pt>
                <c:pt idx="2">
                  <c:v>8.9</c:v>
                </c:pt>
                <c:pt idx="3">
                  <c:v>8.9</c:v>
                </c:pt>
                <c:pt idx="4">
                  <c:v>8.9</c:v>
                </c:pt>
                <c:pt idx="5">
                  <c:v>8.9</c:v>
                </c:pt>
                <c:pt idx="6">
                  <c:v>8.9</c:v>
                </c:pt>
                <c:pt idx="7">
                  <c:v>8.9</c:v>
                </c:pt>
                <c:pt idx="8">
                  <c:v>8.9</c:v>
                </c:pt>
                <c:pt idx="9">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26.6</c:v>
                </c:pt>
                <c:pt idx="1">
                  <c:v>31.1</c:v>
                </c:pt>
                <c:pt idx="2">
                  <c:v>29.3</c:v>
                </c:pt>
                <c:pt idx="3">
                  <c:v>28</c:v>
                </c:pt>
                <c:pt idx="4">
                  <c:v>-17.3</c:v>
                </c:pt>
                <c:pt idx="5">
                  <c:v>18.1</c:v>
                </c:pt>
                <c:pt idx="6">
                  <c:v>32.3</c:v>
                </c:pt>
                <c:pt idx="7">
                  <c:v>33.7</c:v>
                </c:pt>
                <c:pt idx="8">
                  <c:v>33.2</c:v>
                </c:pt>
                <c:pt idx="9">
                  <c:v>26.3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-2.19</c:v>
                </c:pt>
                <c:pt idx="1">
                  <c:v>-2.56</c:v>
                </c:pt>
                <c:pt idx="2">
                  <c:v>-3.46</c:v>
                </c:pt>
                <c:pt idx="3">
                  <c:v>-2.03</c:v>
                </c:pt>
                <c:pt idx="4">
                  <c:v>15.97</c:v>
                </c:pt>
                <c:pt idx="5">
                  <c:v>-82.14</c:v>
                </c:pt>
                <c:pt idx="6">
                  <c:v>-3.25</c:v>
                </c:pt>
                <c:pt idx="7">
                  <c:v>-2.03</c:v>
                </c:pt>
                <c:pt idx="8">
                  <c:v>-2.58</c:v>
                </c:pt>
                <c:pt idx="9">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0.9</c:v>
                </c:pt>
                <c:pt idx="1">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c:v>
                </c:pt>
                <c:pt idx="1">
                  <c:v>-12.4</c:v>
                </c:pt>
                <c:pt idx="2">
                  <c:v>-15.7</c:v>
                </c:pt>
                <c:pt idx="3">
                  <c:v>4.1</c:v>
                </c:pt>
                <c:pt idx="4">
                  <c:v>17.5</c:v>
                </c:pt>
                <c:pt idx="5">
                  <c:v>16.4</c:v>
                </c:pt>
                <c:pt idx="6">
                  <c:v>-6.1</c:v>
                </c:pt>
                <c:pt idx="7">
                  <c:v>-12.1</c:v>
                </c:pt>
                <c:pt idx="8">
                  <c:v>122.3</c:v>
                </c:pt>
                <c:pt idx="9">
                  <c:v>4.9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44.2</c:v>
                </c:pt>
                <c:pt idx="1">
                  <c:v>94.1</c:v>
                </c:pt>
                <c:pt idx="2">
                  <c:v>56.6</c:v>
                </c:pt>
                <c:pt idx="3">
                  <c:v>59.5</c:v>
                </c:pt>
                <c:pt idx="4">
                  <c:v>0</c:v>
                </c:pt>
                <c:pt idx="5">
                  <c:v>0</c:v>
                </c:pt>
                <c:pt idx="6">
                  <c:v>0</c:v>
                </c:pt>
                <c:pt idx="7">
                  <c:v>101.8</c:v>
                </c:pt>
                <c:pt idx="8">
                  <c:v>137.3</c:v>
                </c:pt>
                <c:pt idx="9">
                  <c:v>159.3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4</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KPS Stiftung (Klaus-Peter Schulenberg)</c:v>
                </c:pt>
                <c:pt idx="1">
                  <c:v>BlackRock, Inc.</c:v>
                </c:pt>
                <c:pt idx="2">
                  <c:v>Autocartera</c:v>
                </c:pt>
                <c:pt idx="3">
                  <c:v>Capital libre restante</c:v>
                </c:pt>
              </c:strCache>
            </c:strRef>
          </c:cat>
          <c:val>
            <c:numRef>
              <c:f>Hoja1!$B$2:$B$5</c:f>
              <c:numCache>
                <c:formatCode>0.0"%"</c:formatCode>
                <c:ptCount val="4"/>
                <c:pt idx="0">
                  <c:v>39.51</c:v>
                </c:pt>
                <c:pt idx="1">
                  <c:v>6.33</c:v>
                </c:pt>
                <c:pt idx="2">
                  <c:v>0.01</c:v>
                </c:pt>
                <c:pt idx="3">
                  <c:v>54.15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-17.2</c:v>
                </c:pt>
                <c:pt idx="1">
                  <c:v>33.2</c:v>
                </c:pt>
                <c:pt idx="2">
                  <c:v>-14.8</c:v>
                </c:pt>
                <c:pt idx="3">
                  <c:v>74.4</c:v>
                </c:pt>
                <c:pt idx="4">
                  <c:v>-2.9</c:v>
                </c:pt>
                <c:pt idx="5">
                  <c:v>18.3</c:v>
                </c:pt>
                <c:pt idx="6">
                  <c:v>-7.4</c:v>
                </c:pt>
                <c:pt idx="7">
                  <c:v>6.9</c:v>
                </c:pt>
                <c:pt idx="8">
                  <c:v>32.8</c:v>
                </c:pt>
                <c:pt idx="9">
                  <c:v>-2.4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6.2</c:v>
                </c:pt>
                <c:pt idx="1">
                  <c:v>17.4</c:v>
                </c:pt>
                <c:pt idx="2">
                  <c:v>-18.4</c:v>
                </c:pt>
                <c:pt idx="3">
                  <c:v>30.3</c:v>
                </c:pt>
                <c:pt idx="4">
                  <c:v>8.2</c:v>
                </c:pt>
                <c:pt idx="5">
                  <c:v>13.2</c:v>
                </c:pt>
                <c:pt idx="6">
                  <c:v>-29.1</c:v>
                </c:pt>
                <c:pt idx="7">
                  <c:v>7.9</c:v>
                </c:pt>
                <c:pt idx="8">
                  <c:v>-6.5</c:v>
                </c:pt>
                <c:pt idx="9">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12.7</c:v>
                </c:pt>
                <c:pt idx="1">
                  <c:v>15.8</c:v>
                </c:pt>
                <c:pt idx="2">
                  <c:v>10.4</c:v>
                </c:pt>
                <c:pt idx="3">
                  <c:v>16.9</c:v>
                </c:pt>
                <c:pt idx="5">
                  <c:v>535.1</c:v>
                </c:pt>
                <c:pt idx="6">
                  <c:v>15.2</c:v>
                </c:pt>
                <c:pt idx="7">
                  <c:v>11.7</c:v>
                </c:pt>
                <c:pt idx="8">
                  <c:v>12.2</c:v>
                </c:pt>
                <c:pt idx="9">
                  <c:v>11.1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12.5</c:v>
                </c:pt>
                <c:pt idx="1">
                  <c:v>12.5</c:v>
                </c:pt>
                <c:pt idx="2">
                  <c:v>12.5</c:v>
                </c:pt>
                <c:pt idx="3">
                  <c:v>12.5</c:v>
                </c:pt>
                <c:pt idx="4">
                  <c:v>12.5</c:v>
                </c:pt>
                <c:pt idx="5">
                  <c:v>12.5</c:v>
                </c:pt>
                <c:pt idx="6">
                  <c:v>12.5</c:v>
                </c:pt>
                <c:pt idx="7">
                  <c:v>12.5</c:v>
                </c:pt>
                <c:pt idx="8">
                  <c:v>12.5</c:v>
                </c:pt>
                <c:pt idx="9">
                  <c:v>12.5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CTS Eventim</c:v>
                </c:pt>
                <c:pt idx="1">
                  <c:v>Live Nation</c:v>
                </c:pt>
                <c:pt idx="2">
                  <c:v>TKO Group</c:v>
                </c:pt>
                <c:pt idx="3">
                  <c:v>Universal Music Group</c:v>
                </c:pt>
                <c:pt idx="4">
                  <c:v>Warner Music Group</c:v>
                </c:pt>
                <c:pt idx="5">
                  <c:v>MSG Entertainment</c:v>
                </c:pt>
                <c:pt idx="6">
                  <c:v>Sphere Entertainment</c:v>
                </c:pt>
                <c:pt idx="7">
                  <c:v>Kinepolis</c:v>
                </c:pt>
              </c:strCache>
            </c:strRef>
          </c:cat>
          <c:val>
            <c:numRef>
              <c:f>Hoja1!$B$2:$B$9</c:f>
              <c:numCache>
                <c:formatCode>0.0"x"</c:formatCode>
                <c:ptCount val="8"/>
                <c:pt idx="0">
                  <c:v>8.8</c:v>
                </c:pt>
                <c:pt idx="1">
                  <c:v>14</c:v>
                </c:pt>
                <c:pt idx="2">
                  <c:v>15.3</c:v>
                </c:pt>
                <c:pt idx="3">
                  <c:v>9.8</c:v>
                </c:pt>
                <c:pt idx="4">
                  <c:v>9.9</c:v>
                </c:pt>
                <c:pt idx="5">
                  <c:v>15.2</c:v>
                </c:pt>
                <c:pt idx="6">
                  <c:v>13.2</c:v>
                </c:pt>
                <c:pt idx="7">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CTS Eventim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3.6</c:v>
                </c:pt>
              </c:numCache>
            </c:numRef>
          </c:xVal>
          <c:yVal>
            <c:numRef>
              <c:f>Hoja1!$C$2</c:f>
              <c:numCache>
                <c:formatCode>0.0"x"</c:formatCode>
                <c:ptCount val="1"/>
                <c:pt idx="0">
                  <c:v>8.8</c:v>
                </c:pt>
              </c:numCache>
            </c:numRef>
          </c:yVal>
          <c:smooth val="0"/>
        </c:ser>
        <c:ser>
          <c:idx val="1"/>
          <c:order val="1"/>
          <c:tx>
            <c:strRef>
              <c:f>Hoja1!$A$3</c:f>
              <c:strCache>
                <c:ptCount val="1"/>
                <c:pt idx="0">
                  <c:v>Live Nation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9.7</c:v>
                </c:pt>
              </c:numCache>
            </c:numRef>
          </c:xVal>
          <c:yVal>
            <c:numRef>
              <c:f>Hoja1!$C$3</c:f>
              <c:numCache>
                <c:formatCode>0.0"x"</c:formatCode>
                <c:ptCount val="1"/>
                <c:pt idx="0">
                  <c:v>14</c:v>
                </c:pt>
              </c:numCache>
            </c:numRef>
          </c:yVal>
          <c:smooth val="0"/>
        </c:ser>
        <c:ser>
          <c:idx val="2"/>
          <c:order val="2"/>
          <c:tx>
            <c:strRef>
              <c:f>Hoja1!$A$4</c:f>
              <c:strCache>
                <c:ptCount val="1"/>
                <c:pt idx="0">
                  <c:v>TKO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15.3</c:v>
                </c:pt>
              </c:numCache>
            </c:numRef>
          </c:yVal>
          <c:smooth val="0"/>
        </c:ser>
        <c:ser>
          <c:idx val="3"/>
          <c:order val="3"/>
          <c:tx>
            <c:strRef>
              <c:f>Hoja1!$A$5</c:f>
              <c:strCache>
                <c:ptCount val="1"/>
                <c:pt idx="0">
                  <c:v>Universal Music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7.1</c:v>
                </c:pt>
              </c:numCache>
            </c:numRef>
          </c:xVal>
          <c:yVal>
            <c:numRef>
              <c:f>Hoja1!$C$5</c:f>
              <c:numCache>
                <c:formatCode>0.0"x"</c:formatCode>
                <c:ptCount val="1"/>
                <c:pt idx="0">
                  <c:v>9.8</c:v>
                </c:pt>
              </c:numCache>
            </c:numRef>
          </c:yVal>
          <c:smooth val="0"/>
        </c:ser>
        <c:ser>
          <c:idx val="4"/>
          <c:order val="4"/>
          <c:tx>
            <c:strRef>
              <c:f>Hoja1!$A$6</c:f>
              <c:strCache>
                <c:ptCount val="1"/>
                <c:pt idx="0">
                  <c:v>Warner Music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6.1</c:v>
                </c:pt>
              </c:numCache>
            </c:numRef>
          </c:xVal>
          <c:yVal>
            <c:numRef>
              <c:f>Hoja1!$C$6</c:f>
              <c:numCache>
                <c:formatCode>0.0"x"</c:formatCode>
                <c:ptCount val="1"/>
                <c:pt idx="0">
                  <c:v>9.9</c:v>
                </c:pt>
              </c:numCache>
            </c:numRef>
          </c:yVal>
          <c:smooth val="0"/>
        </c:ser>
        <c:ser>
          <c:idx val="5"/>
          <c:order val="5"/>
          <c:tx>
            <c:strRef>
              <c:f>Hoja1!$A$7</c:f>
              <c:strCache>
                <c:ptCount val="1"/>
                <c:pt idx="0">
                  <c:v>MSG Entertainment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5.7</c:v>
                </c:pt>
              </c:numCache>
            </c:numRef>
          </c:xVal>
          <c:yVal>
            <c:numRef>
              <c:f>Hoja1!$C$7</c:f>
              <c:numCache>
                <c:formatCode>0.0"x"</c:formatCode>
                <c:ptCount val="1"/>
                <c:pt idx="0">
                  <c:v>15.2</c:v>
                </c:pt>
              </c:numCache>
            </c:numRef>
          </c:yVal>
          <c:smooth val="0"/>
        </c:ser>
        <c:ser>
          <c:idx val="6"/>
          <c:order val="6"/>
          <c:tx>
            <c:strRef>
              <c:f>Hoja1!$A$8</c:f>
              <c:strCache>
                <c:ptCount val="1"/>
                <c:pt idx="0">
                  <c:v>Sphere Entertainment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2.6</c:v>
                </c:pt>
              </c:numCache>
            </c:numRef>
          </c:xVal>
          <c:yVal>
            <c:numRef>
              <c:f>Hoja1!$C$8</c:f>
              <c:numCache>
                <c:formatCode>0.0"x"</c:formatCode>
                <c:ptCount val="1"/>
                <c:pt idx="0">
                  <c:v>13.2</c:v>
                </c:pt>
              </c:numCache>
            </c:numRef>
          </c:yVal>
          <c:smooth val="0"/>
        </c:ser>
        <c:ser>
          <c:idx val="7"/>
          <c:order val="7"/>
          <c:tx>
            <c:strRef>
              <c:f>Hoja1!$A$9</c:f>
              <c:strCache>
                <c:ptCount val="1"/>
                <c:pt idx="0">
                  <c:v>Kinepolis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15.3</c:v>
                </c:pt>
              </c:numCache>
            </c:numRef>
          </c:xVal>
          <c:yVal>
            <c:numRef>
              <c:f>Hoja1!$C$9</c:f>
              <c:numCache>
                <c:formatCode>0.0"x"</c:formatCode>
                <c:ptCount val="1"/>
                <c:pt idx="0">
                  <c:v>7.3</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See Tickets (internacional) y 11 festivales de Vivendi</c:v>
                </c:pt>
                <c:pt idx="1">
                  <c:v>Total Ticketing Group (51 %)</c:v>
                </c:pt>
                <c:pt idx="2">
                  <c:v>Superstruct Entertainment (más de 80 festivales en Europa y Australia)</c:v>
                </c:pt>
                <c:pt idx="3">
                  <c:v>Eventbrite (ticketing de autoservicio)</c:v>
                </c:pt>
                <c:pt idx="4">
                  <c:v>TEG (Ticketek, Australia)</c:v>
                </c:pt>
                <c:pt idx="5">
                  <c:v>OCESA Entretenimiento (51 %, México)</c:v>
                </c:pt>
              </c:strCache>
            </c:strRef>
          </c:cat>
          <c:val>
            <c:numRef>
              <c:f>Hoja1!$B$2:$B$7</c:f>
              <c:numCache>
                <c:formatCode>0.0"x"</c:formatCode>
                <c:ptCount val="6"/>
                <c:pt idx="4">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352</c:v>
                </c:pt>
                <c:pt idx="1">
                  <c:v>422</c:v>
                </c:pt>
                <c:pt idx="2">
                  <c:v>444</c:v>
                </c:pt>
                <c:pt idx="3">
                  <c:v>462</c:v>
                </c:pt>
                <c:pt idx="4">
                  <c:v>475</c:v>
                </c:pt>
                <c:pt idx="5">
                  <c:v>486</c:v>
                </c:pt>
                <c:pt idx="6">
                  <c:v>496</c:v>
                </c:pt>
                <c:pt idx="7">
                  <c:v>503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2481</c:v>
                </c:pt>
                <c:pt idx="1">
                  <c:v>4015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58,75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39.41</c:v>
                </c:pt>
                <c:pt idx="1">
                  <c:v>65.88</c:v>
                </c:pt>
                <c:pt idx="2">
                  <c:v>79.27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58,75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(48,26 – 86,35)</c:v>
                </c:pt>
                <c:pt idx="1">
                  <c:v>Precio objetivo de los analistas (53,00 – 100,00)</c:v>
                </c:pt>
                <c:pt idx="2">
                  <c:v>Comparables: EV/EBITDA NTM (66,06 – 98,77)</c:v>
                </c:pt>
                <c:pt idx="3">
                  <c:v>Comparables: PER NTM (60,25 – 126,99)</c:v>
                </c:pt>
                <c:pt idx="4">
                  <c:v>DCF (WACC y g ± 0,5) (58,83 – 75,27)</c:v>
                </c:pt>
                <c:pt idx="5">
                  <c:v>Escenarios (bajista – alcista) (39,41 – 79,27)</c:v>
                </c:pt>
                <c:pt idx="6">
                  <c:v>Suma de partes (55,24 – 75,37)</c:v>
                </c:pt>
                <c:pt idx="7">
                  <c:v>DCF con la prima implícita del mercado (4,2 %)</c:v>
                </c:pt>
                <c:pt idx="8">
                  <c:v>Precio actual (58,75)</c:v>
                </c:pt>
              </c:strCache>
            </c:strRef>
          </c:cat>
          <c:val>
            <c:numRef>
              <c:f>Hoja1!$B$2:$B$10</c:f>
              <c:numCache>
                <c:formatCode>#,##0</c:formatCode>
                <c:ptCount val="9"/>
                <c:pt idx="0">
                  <c:v>48.26</c:v>
                </c:pt>
                <c:pt idx="1">
                  <c:v>53</c:v>
                </c:pt>
                <c:pt idx="2">
                  <c:v>66.06</c:v>
                </c:pt>
                <c:pt idx="3">
                  <c:v>60.25</c:v>
                </c:pt>
                <c:pt idx="4">
                  <c:v>58.83</c:v>
                </c:pt>
                <c:pt idx="5">
                  <c:v>39.41</c:v>
                </c:pt>
                <c:pt idx="6">
                  <c:v>55.24</c:v>
                </c:pt>
                <c:pt idx="7">
                  <c:v>74.29</c:v>
                </c:pt>
                <c:pt idx="8">
                  <c:v>58.46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(48,26 – 86,35)</c:v>
                </c:pt>
                <c:pt idx="1">
                  <c:v>Precio objetivo de los analistas (53,00 – 100,00)</c:v>
                </c:pt>
                <c:pt idx="2">
                  <c:v>Comparables: EV/EBITDA NTM (66,06 – 98,77)</c:v>
                </c:pt>
                <c:pt idx="3">
                  <c:v>Comparables: PER NTM (60,25 – 126,99)</c:v>
                </c:pt>
                <c:pt idx="4">
                  <c:v>DCF (WACC y g ± 0,5) (58,83 – 75,27)</c:v>
                </c:pt>
                <c:pt idx="5">
                  <c:v>Escenarios (bajista – alcista) (39,41 – 79,27)</c:v>
                </c:pt>
                <c:pt idx="6">
                  <c:v>Suma de partes (55,24 – 75,37)</c:v>
                </c:pt>
                <c:pt idx="7">
                  <c:v>DCF con la prima implícita del mercado (4,2 %)</c:v>
                </c:pt>
                <c:pt idx="8">
                  <c:v>Precio actual (58,75)</c:v>
                </c:pt>
              </c:strCache>
            </c:strRef>
          </c:cat>
          <c:val>
            <c:numRef>
              <c:f>Hoja1!$C$2:$C$10</c:f>
              <c:numCache>
                <c:formatCode>#,##0</c:formatCode>
                <c:ptCount val="9"/>
                <c:pt idx="0">
                  <c:v>38.089999999999996</c:v>
                </c:pt>
                <c:pt idx="1">
                  <c:v>47</c:v>
                </c:pt>
                <c:pt idx="2">
                  <c:v>32.709999999999994</c:v>
                </c:pt>
                <c:pt idx="3">
                  <c:v>66.74</c:v>
                </c:pt>
                <c:pt idx="4">
                  <c:v>16.439999999999998</c:v>
                </c:pt>
                <c:pt idx="5">
                  <c:v>39.86</c:v>
                </c:pt>
                <c:pt idx="6">
                  <c:v>20.130000000000003</c:v>
                </c:pt>
                <c:pt idx="7">
                  <c:v>14.629999999999995</c:v>
                </c:pt>
                <c:pt idx="8">
                  <c:v>0.5799999999999983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