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Default Extension="xlsx" ContentType="application/vnd.openxmlformats-officedocument.spreadsheetml.sheet"/>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charts/chart5.xml" ContentType="application/vnd.openxmlformats-officedocument.drawingml.chart+xml"/>
  <Override PartName="/word/charts/chart6.xml" ContentType="application/vnd.openxmlformats-officedocument.drawingml.chart+xml"/>
  <Override PartName="/word/charts/chart7.xml" ContentType="application/vnd.openxmlformats-officedocument.drawingml.chart+xml"/>
  <Override PartName="/word/charts/chart8.xml" ContentType="application/vnd.openxmlformats-officedocument.drawingml.chart+xml"/>
  <Override PartName="/word/charts/chart9.xml" ContentType="application/vnd.openxmlformats-officedocument.drawingml.chart+xml"/>
  <Override PartName="/word/charts/chart10.xml" ContentType="application/vnd.openxmlformats-officedocument.drawingml.chart+xml"/>
  <Override PartName="/word/charts/chart11.xml" ContentType="application/vnd.openxmlformats-officedocument.drawingml.chart+xml"/>
  <Override PartName="/word/charts/chart12.xml" ContentType="application/vnd.openxmlformats-officedocument.drawingml.chart+xml"/>
  <Override PartName="/word/charts/chart13.xml" ContentType="application/vnd.openxmlformats-officedocument.drawingml.chart+xml"/>
  <Override PartName="/word/charts/chart14.xml" ContentType="application/vnd.openxmlformats-officedocument.drawingml.chart+xml"/>
  <Override PartName="/word/charts/chart15.xml" ContentType="application/vnd.openxmlformats-officedocument.drawingml.chart+xml"/>
  <Override PartName="/word/charts/chart16.xml" ContentType="application/vnd.openxmlformats-officedocument.drawingml.chart+xml"/>
  <Override PartName="/word/charts/chart17.xml" ContentType="application/vnd.openxmlformats-officedocument.drawingml.chart+xml"/>
  <Override PartName="/word/charts/chart18.xml" ContentType="application/vnd.openxmlformats-officedocument.drawingml.chart+xml"/>
  <Override PartName="/word/charts/chart19.xml" ContentType="application/vnd.openxmlformats-officedocument.drawingml.chart+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600"/>
      </w:pPr>
      <w:r>
        <w:rPr>
          <w:rFonts w:ascii="Calibri" w:cs="Calibri" w:eastAsia="Calibri" w:hAnsi="Calibri"/>
          <w:b/>
          <w:bCs/>
          <w:color w:val="2A78D6"/>
          <w:spacing w:val="40"/>
          <w:sz w:val="18"/>
          <w:szCs w:val="18"/>
        </w:rPr>
        <w:t xml:space="preserve">ANÁLISIS DE EMPRESA COTIZADA</w:t>
      </w:r>
    </w:p>
    <w:p>
      <w:pPr>
        <w:pStyle w:val="Title"/>
      </w:pPr>
      <w:r>
        <w:t xml:space="preserve">Danaher Corporation</w:t>
      </w:r>
    </w:p>
    <w:p>
      <w:pPr>
        <w:spacing w:after="60"/>
        <w:rPr>
          <w:color w:val="52514E"/>
          <w:sz w:val="22"/>
          <w:szCs w:val="22"/>
        </w:rPr>
      </w:pPr>
      <w:r>
        <w:rPr>
          <w:color w:val="52514E"/>
          <w:sz w:val="22"/>
          <w:szCs w:val="22"/>
        </w:rPr>
        <w:t xml:space="preserve">DHR · NYSE · ISIN US2358511028 · Salud</w:t>
      </w:r>
    </w:p>
    <w:p>
      <w:pPr>
        <w:spacing w:after="360"/>
        <w:rPr>
          <w:color w:val="52514E"/>
          <w:sz w:val="18"/>
          <w:szCs w:val="18"/>
        </w:rPr>
      </w:pPr>
      <w:r>
        <w:rPr>
          <w:color w:val="52514E"/>
          <w:sz w:val="18"/>
          <w:szCs w:val="18"/>
        </w:rPr>
        <w:t xml:space="preserve">Fecha de corte de los datos: </w:t>
      </w:r>
      <w:r>
        <w:rPr>
          <w:b/>
          <w:bCs/>
          <w:color w:val="52514E"/>
          <w:sz w:val="18"/>
          <w:szCs w:val="18"/>
        </w:rPr>
        <w:t xml:space="preserve">14 oct 2026</w:t>
      </w:r>
      <w:r>
        <w:rPr>
          <w:color w:val="52514E"/>
          <w:sz w:val="18"/>
          <w:szCs w:val="18"/>
        </w:rPr>
        <w:t xml:space="preserve"> · Divisa: </w:t>
      </w:r>
      <w:r>
        <w:rPr>
          <w:b/>
          <w:bCs/>
          <w:color w:val="52514E"/>
          <w:sz w:val="18"/>
          <w:szCs w:val="18"/>
        </w:rPr>
        <w:t xml:space="preserve">USD</w:t>
      </w:r>
      <w:r>
        <w:rPr>
          <w:color w:val="52514E"/>
          <w:sz w:val="18"/>
          <w:szCs w:val="18"/>
        </w:rPr>
        <w:t xml:space="preserve"> · Cifras en </w:t>
      </w:r>
      <w:r>
        <w:rPr>
          <w:b/>
          <w:bCs/>
          <w:color w:val="52514E"/>
          <w:sz w:val="18"/>
          <w:szCs w:val="18"/>
        </w:rPr>
        <w:t xml:space="preserve">millones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2409"/>
        <w:gridCol w:w="2409"/>
        <w:gridCol w:w="2411"/>
      </w:tblGrid>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Recomendación</w:t>
            </w:r>
          </w:p>
          <w:p>
            <w:pPr>
              <w:spacing w:after="0"/>
            </w:pPr>
            <w:r>
              <w:rPr>
                <w:rFonts w:ascii="Calibri" w:cs="Calibri" w:eastAsia="Calibri" w:hAnsi="Calibri"/>
                <w:b/>
                <w:bCs/>
                <w:color w:val="1F2A3C"/>
                <w:sz w:val="26"/>
                <w:szCs w:val="26"/>
              </w:rPr>
              <w:t xml:space="preserve">Mantener</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Precio</w:t>
            </w:r>
          </w:p>
          <w:p>
            <w:pPr>
              <w:spacing w:after="0"/>
            </w:pPr>
            <w:r>
              <w:rPr>
                <w:rFonts w:ascii="Calibri" w:cs="Calibri" w:eastAsia="Calibri" w:hAnsi="Calibri"/>
                <w:b/>
                <w:bCs/>
                <w:color w:val="1F2A3C"/>
                <w:sz w:val="26"/>
                <w:szCs w:val="26"/>
              </w:rPr>
              <w:t xml:space="preserve">215,60 USD</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Objetivo 12 m</w:t>
            </w:r>
          </w:p>
          <w:p>
            <w:pPr>
              <w:spacing w:after="0"/>
            </w:pPr>
            <w:r>
              <w:rPr>
                <w:rFonts w:ascii="Calibri" w:cs="Calibri" w:eastAsia="Calibri" w:hAnsi="Calibri"/>
                <w:b/>
                <w:bCs/>
                <w:color w:val="1F2A3C"/>
                <w:sz w:val="26"/>
                <w:szCs w:val="26"/>
              </w:rPr>
              <w:t xml:space="preserve">270,66 USD</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Rentabilidad 12 m</w:t>
            </w:r>
          </w:p>
          <w:p>
            <w:pPr>
              <w:spacing w:after="0"/>
            </w:pPr>
            <w:r>
              <w:rPr>
                <w:rFonts w:ascii="Calibri" w:cs="Calibri" w:eastAsia="Calibri" w:hAnsi="Calibri"/>
                <w:b/>
                <w:bCs/>
                <w:color w:val="1F2A3C"/>
                <w:sz w:val="26"/>
                <w:szCs w:val="26"/>
              </w:rPr>
              <w:t xml:space="preserve">+26,1 % (base +21,0 %)</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Valor intrínseco</w:t>
            </w:r>
          </w:p>
          <w:p>
            <w:pPr>
              <w:spacing w:after="0"/>
            </w:pPr>
            <w:r>
              <w:rPr>
                <w:rFonts w:ascii="Calibri" w:cs="Calibri" w:eastAsia="Calibri" w:hAnsi="Calibri"/>
                <w:b/>
                <w:bCs/>
                <w:color w:val="1F2A3C"/>
                <w:sz w:val="26"/>
                <w:szCs w:val="26"/>
              </w:rPr>
              <w:t xml:space="preserve">150,84 USD · mercado 167,52</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Convicción</w:t>
            </w:r>
          </w:p>
          <w:p>
            <w:pPr>
              <w:spacing w:after="0"/>
            </w:pPr>
            <w:r>
              <w:rPr>
                <w:rFonts w:ascii="Calibri" w:cs="Calibri" w:eastAsia="Calibri" w:hAnsi="Calibri"/>
                <w:b/>
                <w:bCs/>
                <w:color w:val="1F2A3C"/>
                <w:sz w:val="26"/>
                <w:szCs w:val="26"/>
              </w:rPr>
              <w:t xml:space="preserve">Media</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Capitalización</w:t>
            </w:r>
          </w:p>
          <w:p>
            <w:pPr>
              <w:spacing w:after="0"/>
            </w:pPr>
            <w:r>
              <w:rPr>
                <w:rFonts w:ascii="Calibri" w:cs="Calibri" w:eastAsia="Calibri" w:hAnsi="Calibri"/>
                <w:b/>
                <w:bCs/>
                <w:color w:val="1F2A3C"/>
                <w:sz w:val="26"/>
                <w:szCs w:val="26"/>
              </w:rPr>
              <w:t xml:space="preserve">151.545 M</w:t>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EV/EBITDA próx. 12 m</w:t>
            </w:r>
          </w:p>
          <w:p>
            <w:pPr>
              <w:spacing w:after="0"/>
            </w:pPr>
            <w:r>
              <w:rPr>
                <w:rFonts w:ascii="Calibri" w:cs="Calibri" w:eastAsia="Calibri" w:hAnsi="Calibri"/>
                <w:b/>
                <w:bCs/>
                <w:color w:val="1F2A3C"/>
                <w:sz w:val="26"/>
                <w:szCs w:val="26"/>
              </w:rPr>
              <w:t xml:space="preserve">n.d.</w:t>
            </w:r>
          </w:p>
        </w:tc>
      </w:tr>
      <w:tr>
        <w:trPr>
          <w:cantSplit/>
        </w:trPr>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Deuda neta aj. / EBITDA</w:t>
            </w:r>
          </w:p>
          <w:p>
            <w:pPr>
              <w:spacing w:after="0"/>
            </w:pPr>
            <w:r>
              <w:rPr>
                <w:rFonts w:ascii="Calibri" w:cs="Calibri" w:eastAsia="Calibri" w:hAnsi="Calibri"/>
                <w:b/>
                <w:bCs/>
                <w:color w:val="1F2A3C"/>
                <w:sz w:val="26"/>
                <w:szCs w:val="26"/>
              </w:rPr>
              <w:t xml:space="preserve">3,1x</w:t>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09"/>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c>
          <w:tcPr>
            <w:tcW w:type="dxa" w:w="2411"/>
            <w:tcBorders>
              <w:top w:val="single" w:color="FFFFFF" w:sz="24"/>
              <w:left w:val="single" w:color="FFFFFF" w:sz="24"/>
              <w:bottom w:val="single" w:color="FFFFFF" w:sz="24"/>
              <w:right w:val="single" w:color="FFFFFF" w:sz="24"/>
            </w:tcBorders>
            <w:shd w:fill="F3F2EE" w:color="auto" w:val="clear"/>
            <w:tcMar>
              <w:top w:type="dxa" w:w="100"/>
              <w:left w:type="dxa" w:w="140"/>
              <w:bottom w:type="dxa" w:w="100"/>
              <w:right w:type="dxa" w:w="100"/>
            </w:tcMar>
          </w:tcPr>
          <w:p>
            <w:pPr>
              <w:spacing w:after="20"/>
            </w:pPr>
            <w:r>
              <w:rPr>
                <w:rFonts w:ascii="Calibri" w:cs="Calibri" w:eastAsia="Calibri" w:hAnsi="Calibri"/>
                <w:color w:val="52514E"/>
                <w:sz w:val="15"/>
                <w:szCs w:val="15"/>
              </w:rPr>
              <w:t xml:space="preserve"/>
            </w:r>
          </w:p>
          <w:p>
            <w:pPr>
              <w:spacing w:after="0"/>
            </w:pPr>
            <w:r>
              <w:rPr>
                <w:rFonts w:ascii="Calibri" w:cs="Calibri" w:eastAsia="Calibri" w:hAnsi="Calibri"/>
                <w:b/>
                <w:bCs/>
                <w:color w:val="1F2A3C"/>
                <w:sz w:val="26"/>
                <w:szCs w:val="26"/>
              </w:rPr>
              <w:t xml:space="preserve"/>
            </w:r>
          </w:p>
        </w:tc>
      </w:tr>
    </w:tbl>
    <w:p>
      <w:pPr>
        <w:spacing w:after="20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Nombre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Danaher Corporation</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Ticker / ISIN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DHR / US2358511028</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Mercado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NYSE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Índice de referencia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S&amp;P 500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Sector / industria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Salud / Herramientas de ciencias de la vida y diagnóstico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Sede · fundación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Washington D. C. · 1969</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Web</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www.danaher.com</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(fecha)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215,60 (7 oct 2026)</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52 semanas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160,93 – 242,80</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Acciones diluidas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702,9</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Capitalización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151.545 M USD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Valor empresa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173.755 M USD</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Próximos resultados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21 oct 2026</w:t>
            </w:r>
          </w:p>
        </w:tc>
      </w:tr>
    </w:tbl>
    <w:p>
      <w:pPr>
        <w:spacing w:after="160" w:before="0"/>
      </w:pPr>
    </w:p>
    <w:p>
      <w:pPr>
        <w:pStyle w:val="Heading2"/>
      </w:pPr>
      <w:r>
        <w:t xml:space="preserve">Contenido</w:t>
      </w:r>
    </w:p>
    <w:p>
      <w:pPr>
        <w:pStyle w:val="ListParagraph"/>
        <w:numPr>
          <w:ilvl w:val="0"/>
          <w:numId w:val="2"/>
        </w:numPr>
        <w:spacing w:after="40"/>
      </w:pPr>
      <w:r>
        <w:rPr>
          <w:sz w:val="18"/>
          <w:szCs w:val="18"/>
        </w:rPr>
        <w:t xml:space="preserve">Síntesis y recomendación (una página)</w:t>
      </w:r>
    </w:p>
    <w:p>
      <w:pPr>
        <w:pStyle w:val="ListParagraph"/>
        <w:numPr>
          <w:ilvl w:val="0"/>
          <w:numId w:val="2"/>
        </w:numPr>
        <w:spacing w:after="40"/>
      </w:pPr>
      <w:r>
        <w:rPr>
          <w:sz w:val="18"/>
          <w:szCs w:val="18"/>
        </w:rPr>
        <w:t xml:space="preserve">Resumen ejecutivo</w:t>
      </w:r>
    </w:p>
    <w:p>
      <w:pPr>
        <w:pStyle w:val="ListParagraph"/>
        <w:numPr>
          <w:ilvl w:val="0"/>
          <w:numId w:val="2"/>
        </w:numPr>
        <w:spacing w:after="40"/>
      </w:pPr>
      <w:r>
        <w:rPr>
          <w:sz w:val="18"/>
          <w:szCs w:val="18"/>
        </w:rPr>
        <w:t xml:space="preserve">Parte I — Negocio y sector: 1. Historia · 2. Modelo de negocio · 3. Sector y mercado · 4. Posición competitiva</w:t>
      </w:r>
    </w:p>
    <w:p>
      <w:pPr>
        <w:pStyle w:val="ListParagraph"/>
        <w:numPr>
          <w:ilvl w:val="0"/>
          <w:numId w:val="2"/>
        </w:numPr>
        <w:spacing w:after="40"/>
      </w:pPr>
      <w:r>
        <w:rPr>
          <w:sz w:val="18"/>
          <w:szCs w:val="18"/>
        </w:rPr>
        <w:t xml:space="preserve">Parte II — Finanzas: 5. Cuenta de resultados · 6. Resultados recientes · 7. Balance y circulante · 8. Flujos de caja · 9. Calidad contable · 10. Rentabilidad · 11. Deuda y solvencia · 12. Asignación de capital</w:t>
      </w:r>
    </w:p>
    <w:p>
      <w:pPr>
        <w:pStyle w:val="ListParagraph"/>
        <w:numPr>
          <w:ilvl w:val="0"/>
          <w:numId w:val="2"/>
        </w:numPr>
        <w:spacing w:after="40"/>
      </w:pPr>
      <w:r>
        <w:rPr>
          <w:sz w:val="18"/>
          <w:szCs w:val="18"/>
        </w:rPr>
        <w:t xml:space="preserve">Parte III — Equipo y gobierno: 13. Equipo directivo · 14. Gobierno corporativo</w:t>
      </w:r>
    </w:p>
    <w:p>
      <w:pPr>
        <w:pStyle w:val="ListParagraph"/>
        <w:numPr>
          <w:ilvl w:val="0"/>
          <w:numId w:val="2"/>
        </w:numPr>
        <w:spacing w:after="40"/>
      </w:pPr>
      <w:r>
        <w:rPr>
          <w:sz w:val="18"/>
          <w:szCs w:val="18"/>
        </w:rPr>
        <w:t xml:space="preserve">Parte IV — Mercado y valoración: 15. Consenso · 16. Bolsa · 17. Múltiplos históricos · 18. Comparables · 19. Transacciones · 20. DCF · 21. Escenarios · 22. Suma de partes · 23. Síntesis</w:t>
      </w:r>
    </w:p>
    <w:p>
      <w:pPr>
        <w:pStyle w:val="ListParagraph"/>
        <w:numPr>
          <w:ilvl w:val="0"/>
          <w:numId w:val="2"/>
        </w:numPr>
        <w:spacing w:after="40"/>
      </w:pPr>
      <w:r>
        <w:rPr>
          <w:sz w:val="18"/>
          <w:szCs w:val="18"/>
        </w:rPr>
        <w:t xml:space="preserve">Parte V — Tesis, riesgos y seguimiento: 24. Catalizadores · 25. Riesgos y pre-mortem · 26. ESG · 27. Preguntas abiertas · 28. Sentimiento en foros y comentarios</w:t>
      </w:r>
    </w:p>
    <w:p>
      <w:pPr>
        <w:pStyle w:val="ListParagraph"/>
        <w:numPr>
          <w:ilvl w:val="0"/>
          <w:numId w:val="2"/>
        </w:numPr>
        <w:spacing w:after="40"/>
      </w:pPr>
      <w:r>
        <w:rPr>
          <w:sz w:val="18"/>
          <w:szCs w:val="18"/>
        </w:rPr>
        <w:t xml:space="preserve">Anexos: controles de calidad, información no disponible y fuentes</w:t>
      </w:r>
    </w:p>
    <w:p>
      <w:pPr>
        <w:pStyle w:val="ListParagraph"/>
        <w:numPr>
          <w:ilvl w:val="0"/>
          <w:numId w:val="2"/>
        </w:numPr>
        <w:spacing w:after="40"/>
      </w:pPr>
      <w:r>
        <w:rPr>
          <w:sz w:val="18"/>
          <w:szCs w:val="18"/>
        </w:rPr>
        <w:t xml:space="preserve">Las secciones sin información verificable no se imprimen; quedan listadas en el anexo «Información no disponible».</w:t>
      </w:r>
    </w:p>
    <w:p>
      <w:r>
        <w:br w:type="page"/>
      </w:r>
    </w:p>
    <w:p>
      <w:pPr>
        <w:pStyle w:val="Heading1"/>
      </w:pPr>
      <w:r>
        <w:t xml:space="preserve">Síntesis y recomendación</w:t>
      </w:r>
    </w:p>
    <w:p>
      <w:pPr>
        <w:spacing w:after="100"/>
      </w:pPr>
      <w:r>
        <w:rPr>
          <w:b/>
          <w:bCs/>
        </w:rPr>
        <w:t xml:space="preserve">Mantener</w:t>
      </w:r>
      <w:r>
        <w:t xml:space="preserve"> · Convicción Media · Objetivo a 12 meses </w:t>
      </w:r>
      <w:r>
        <w:rPr>
          <w:b/>
          <w:bCs/>
        </w:rPr>
        <w:t xml:space="preserve">270,66 USD</w:t>
      </w:r>
      <w:r>
        <w:t xml:space="preserve"> frente a 215,60 · Rentabilidad a 12 meses </w:t>
      </w:r>
      <w:r>
        <w:rPr>
          <w:b/>
          <w:bCs/>
        </w:rPr>
        <w:t xml:space="preserve">+26,1 % (base +21,0 %)</w:t>
      </w:r>
      <w:r>
        <w:t xml:space="preserve"> · Valor intrínseco 150,84 USD · con la prima implícita del mercado: 167,52 (-22,3 %) · Alcista / bajista -36,0 % / -58,7 %</w:t>
      </w:r>
    </w:p>
    <w:p>
      <w:pPr>
        <w:spacing w:after="100"/>
      </w:pPr>
      <w:r>
        <w:rPr>
          <w:b/>
        </w:rPr>
        <w:t xml:space="preserve">La recomendación y por qué.</w:t>
      </w:r>
      <w:r>
        <w:t xml:space="preserve"> Mantener, con convicción media. Con nuestro BPA ajustado de 2028e (10,30 USD en el base) y el PER actual de 22,9x, el objetivo a 12 meses es de 245,70 USD frente a 215,60 USD (precio implícito en la capitalización del 7 de octubre): +14,6 % ponderado y +10,0 % en el caso base, cerca pero por debajo del 15 % y el 12 % que pedimos. El objetivo medio de los analistas (230,89 USD, de julio) queda un 2,2 % por debajo de nuestro base. La asimetría a 12 meses es buena (3,72x), pero el valor intrínseco (150,84 USD, −30,0 %) no deja margen de seguridad y el ROIC (5,5 %) está 3,7 puntos por debajo del WACC (9,20 %). La convicción es media: subiría si el 3T26 confirma la recuperación de los pedidos de bioprocesado y el precio baja hacia 190 USD; bajaría si los retrasos de clientes se repiten.</w:t>
      </w:r>
    </w:p>
    <w:p>
      <w:pPr>
        <w:spacing w:after="100"/>
      </w:pPr>
      <w:r>
        <w:rPr>
          <w:b/>
        </w:rPr>
        <w:t xml:space="preserve">El negocio.</w:t>
      </w:r>
      <w:r>
        <w:t xml:space="preserve"> Danaher es el n.º 2 mundial en herramientas de ciencias de la vida y uno de los líderes del bioprocesado (Cytiva, Pall), con diagnóstico (Cepheid, Beckman) y, desde el 2T26, Masimo [4, 6]. Más del 80 % de las ventas son consumibles validados en procesos regulados: el foso es amplio. El capital comprado pesa: 47.414 M de fondo de comercio [5].</w:t>
      </w:r>
    </w:p>
    <w:p>
      <w:pPr>
        <w:spacing w:after="100"/>
      </w:pPr>
      <w:r>
        <w:rPr>
          <w:b/>
        </w:rPr>
        <w:t xml:space="preserve">Ciclo.</w:t>
      </w:r>
      <w:r>
        <w:t xml:space="preserve"> El 2T26 creció un 5,5 % (orgánico del 3 %), con Ciencias de la vida en su mejor trimestre en años pero ≈100 M de resinas de bioprocesado desplazados a 2027; la guía de BPA subió a 8,45-8,60 USD [4]. La acción cayó con el dato y cotiza a ≈25x el BPA de 2026e, por debajo de los 29-31x de 2023-2025.</w:t>
      </w:r>
    </w:p>
    <w:p>
      <w:pPr>
        <w:spacing w:after="100"/>
      </w:pPr>
      <w:r>
        <w:rPr>
          <w:b/>
        </w:rPr>
        <w:t xml:space="preserve">Valoración.</w:t>
      </w:r>
      <w:r>
        <w:t xml:space="preserve"> El DCF da 119,97 USD con un WACC del 9,20 %; el DCF inverso dice que el precio descuenta un crecimiento del 12,4 % anual frente al 4,6 % de nuestro base. Como en Thermo Fisher, el mercado paga un múltiplo de calidad que el flujo libre (3,5 % de rentabilidad) no justifica con el bono al 5,22 %. Compraríamos por debajo de 150,84 USD.</w:t>
      </w:r>
    </w:p>
    <w:p>
      <w:pPr>
        <w:spacing w:after="100"/>
      </w:pPr>
      <w:r>
        <w:rPr>
          <w:b/>
        </w:rPr>
        <w:t xml:space="preserve">Qué vigilar.</w:t>
      </w:r>
      <w:r>
        <w:t xml:space="preserve"> El 3T26 del 21 de octubre: pedidos de bioprocesado y la aportación de Masimo. La sostenibilidad del crecimiento proyectado es «Sí». Confianza baja en los datos: análisis corto desde la nube y precio no de cierre.</w:t>
      </w:r>
    </w:p>
    <w:p>
      <w:r>
        <w:br w:type="page"/>
      </w:r>
    </w:p>
    <w:p>
      <w:pPr>
        <w:pStyle w:val="Heading1"/>
      </w:pPr>
      <w:r>
        <w:t xml:space="preserve">Resumen ejecutivo</w:t>
      </w:r>
    </w:p>
    <w:p>
      <w:pPr>
        <w:spacing w:after="100"/>
      </w:pPr>
      <w:r>
        <w:rPr>
          <w:b/>
          <w:bCs/>
        </w:rPr>
        <w:t xml:space="preserve">Recomendación: Mantener</w:t>
      </w:r>
      <w:r>
        <w:t xml:space="preserve"> · Convicción: Media · Horizonte: 12 meses · Objetivo a 12 meses: </w:t>
      </w:r>
      <w:r>
        <w:rPr>
          <w:b/>
          <w:bCs/>
        </w:rPr>
        <w:t xml:space="preserve">270,66 USD</w:t>
      </w:r>
      <w:r>
        <w:t xml:space="preserve"> (rentabilidad +26,1 % (base +21,0 %)) · Valor intrínseco: 150,84 USD (-30,0 % sobre 215,60) · con la prima implícita del mercado: 167,52 (-22,3 %)</w:t>
      </w:r>
    </w:p>
    <w:p>
      <w:pPr>
        <w:pStyle w:val="Heading2"/>
      </w:pPr>
      <w:r>
        <w:t xml:space="preserve">La decisión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425"/>
        <w:gridCol w:w="3213"/>
      </w:tblGrid>
      <w:tr>
        <w:trPr>
          <w:cantSplit/>
          <w:tblHeader/>
        </w:trPr>
        <w:tc>
          <w:tcPr>
            <w:tcW w:type="dxa" w:w="64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Elemento de la decisión</w:t>
            </w:r>
          </w:p>
        </w:tc>
        <w:tc>
          <w:tcPr>
            <w:tcW w:type="dxa" w:w="32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Objetivo a 12 meses (nuestro PER × nuestro BPA 2028e, ponderado 25/50/25)</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270,66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 / base / alcista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 × 9,55 = 192,91 · 25,2x × 10,30 = 259,56 · 34,0x × 10,90 = 370,60</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 12 meses: ponderada / del base (con dividendo)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26,1 % / 21,0 %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de múltiplos aplicada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v3: base a mitad de camino hacia la mediana adelantada, sin alejarse del actual más de ×1,1; bajista mín. 5 a (adelantado) o base × 0,80; alcista techo base × 1,35</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medio de los analistas (solo contraste)</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230,89 (nuestro base +12,4 %)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intrínseco (síntesis ponderada, largo plazo)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150,84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Potencial sobre el precio actual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por dividendo ordinario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a 12 meses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-29,4 %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 alcista /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 / -58,7 %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(ganancia alcista / pérdida bajista)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-0,61x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anual implícita en el precio frente al WACC y al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6,8 % frente a 9,2 % y 8,2 %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objetivo con la prima implícita del mercado (4,2 %, WACC 8,2 %)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167,52 USD</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Rentabilidad total esperada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-21,7 %</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Asimetría con la prima del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-0,42x</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absoluta (frente a su coste de capital)</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Regla relativa (frente a lo que pide el mercado)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calidad de la empresa sostiene el crecimiento previsto?</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Sí (5,0 % anual proyectado; sin inversión neta)</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Señal del valor intrínseco (regla del DCF, referencia)</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Vender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según la regla a 12 meses (Comprar: ponderada ≥ 15 %, base ≥ 12 % y valor intrínseco ≥ precio; Vender: ponderada ≤ -10 %)</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Mantener</w:t>
            </w:r>
          </w:p>
        </w:tc>
      </w:tr>
      <w:tr>
        <w:trPr>
          <w:cantSplit/>
        </w:trPr>
        <w:tc>
          <w:tcPr>
            <w:tcW w:type="dxa" w:w="64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Convicción según los criterios (Mantener con las dos reglas de acuerdo y lejos de los umbrales)</w:t>
            </w:r>
          </w:p>
        </w:tc>
        <w:tc>
          <w:tcPr>
            <w:tcW w:type="dxa" w:w="32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Media</w:t>
            </w:r>
          </w:p>
        </w:tc>
      </w:tr>
    </w:tbl>
    <w:p>
      <w:pPr>
        <w:spacing w:after="160" w:before="0"/>
      </w:pPr>
    </w:p>
    <w:p>
      <w:pPr>
        <w:pStyle w:val="Nota"/>
        <w:spacing w:after="100"/>
      </w:pPr>
      <w:r>
        <w:t xml:space="preserve">Regla (método v2): la recomendación sigue al objetivo a 12 meses, que es nuestro PER × nuestro BPA del ejercicio que mirará el mercado dentro de un año, con la misma regla de múltiplos para todas las empresas (base: el menor entre el PER actual y la mediana de 5 años; bajista: el mínimo de 5 años, o el base −15 % si ya cotiza por debajo; alcista: la media histórica o la de los comparables, sin pasar de base +30 %), ponderado con las probabilidades de los escenarios. Comprar si la rentabilidad ponderada es ≥ 15 %, la del base ≥ 12 % y el valor intrínseco no queda por debajo del precio; Vender si la ponderada es ≤ −10 %; Mantener en el resto. El consenso de analistas solo se compara. El valor intrínseco (DCF) es la referencia a largo plazo; su regla, la de siempre: Comprar si la rentabilidad total esperada a 12 meses es ≥ 15 % y el alcista gana al menos lo que pierde el bajista; Vender si es ≤ −10 %, o negativa con asimetría &lt; 0,5; Mantener en el resto. Se aplica dos veces: con el WACC del análisis (regla absoluta: ¿rinde más que su coste de capital?) y con el WACC que resulta de la prima de riesgo implícita del mercado (regla relativa: ¿rinde más que lo que hoy pide el mercado, ajustado por su beta?). Manda la relativa, salvo que las dos se contradigan (una Comprar y otra Vender): entonces, Mantener.</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8032"/>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Acción</w:t>
            </w:r>
          </w:p>
        </w:tc>
        <w:tc>
          <w:tcPr>
            <w:tcW w:type="dxa" w:w="8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 qué precio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Comprar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Por debajo de 150,84 (ponderada a 12 meses ≥ 15 %, base ≥ 12 % y precio ≤ valor intrínseco)</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Mantener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Entre 150,84 y 302,20</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Vender o reducir</w:t>
            </w:r>
          </w:p>
        </w:tc>
        <w:tc>
          <w:tcPr>
            <w:tcW w:type="dxa" w:w="8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Por encima de 302,20 (ponderada a 12 meses ≤ -10 %)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880000"/>
            <wp:effectExtent l="0" t="0" r="0" b="0"/>
            <wp:docPr id="1001" name="Gráfico 1" descr="Valor por acción según cada método (USD) · precio actual 215,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pStyle w:val="Heading2"/>
      </w:pPr>
      <w:r>
        <w:t xml:space="preserve">Datos clave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EV/EBITDA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24,5x / n.d.</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PER últimos 12 m / próx.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38,3x / 25,3x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EV/EBIT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37,0x</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EV/Ventas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6,92x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FCF</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por dividendo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0,6 %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de ingresos (2021-2025)</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-0,2 %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28,2 %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ROIC último ejercicio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5,5 %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WACC</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9,2 %</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(contable · ajustada)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 · 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Gobierno (criterios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r>
        <w:br w:type="page"/>
      </w:r>
    </w:p>
    <w:p>
      <w:pPr>
        <w:pStyle w:val="Parte"/>
      </w:pPr>
      <w:r>
        <w:t xml:space="preserve">Parte I — Negocio y sector</w:t>
      </w:r>
    </w:p>
    <w:p>
      <w:pPr>
        <w:pStyle w:val="Heading1"/>
      </w:pPr>
      <w:r>
        <w:t xml:space="preserve">1. Historia e hitos</w:t>
      </w:r>
    </w:p>
    <w:p>
      <w:pPr>
        <w:pStyle w:val="Confianza"/>
        <w:spacing w:after="100"/>
      </w:pPr>
      <w:r>
        <w:t xml:space="preserve">Confianza: Media</w:t>
      </w:r>
    </w:p>
    <w:p>
      <w:pPr>
        <w:spacing w:after="100"/>
      </w:pPr>
      <w:r>
        <w:t xml:space="preserve">Danaher nace en 1984 como vehículo de compras de los hermanos Rales y se hace famosa por su sistema de gestión (Danaher Business System). Desde 2016 se ha concentrado en ciencias de la vida y diagnóstico: escindió Fortive (2016), Envista (2019) y Veralto (2023), y compró Pall (2015), Cepheid (2016), Cytiva (2020), Aldevron (2021), Abcam (2023) y Masimo (2026). Rainer Blair es consejero delegado desde 2020.</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33"/>
        <w:gridCol w:w="8505"/>
      </w:tblGrid>
      <w:tr>
        <w:trPr>
          <w:cantSplit/>
          <w:tblHeader/>
        </w:trPr>
        <w:tc>
          <w:tcPr>
            <w:tcW w:type="dxa" w:w="11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8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Hito</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2016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Fortive y compra de Cepheid.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Compra de Cytiva (21.100 M USD).</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Escisión de Veralto; compra de Abcam.</w:t>
            </w:r>
          </w:p>
        </w:tc>
      </w:tr>
      <w:tr>
        <w:trPr>
          <w:cantSplit/>
        </w:trPr>
        <w:tc>
          <w:tcPr>
            <w:tcW w:type="dxa" w:w="11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8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Compra de Masimo (≈9.900 M USD).</w:t>
            </w:r>
          </w:p>
        </w:tc>
      </w:tr>
    </w:tbl>
    <w:p>
      <w:pPr>
        <w:spacing w:after="160" w:before="0"/>
      </w:pPr>
    </w:p>
    <w:p>
      <w:pPr>
        <w:pStyle w:val="Heading1"/>
      </w:pPr>
      <w:r>
        <w:t xml:space="preserve">2. Modelo de negocio</w:t>
      </w:r>
    </w:p>
    <w:p>
      <w:pPr>
        <w:pStyle w:val="Confianza"/>
        <w:spacing w:after="100"/>
      </w:pPr>
      <w:r>
        <w:t xml:space="preserve">Confianza: Media</w:t>
      </w:r>
    </w:p>
    <w:p>
      <w:pPr>
        <w:spacing w:after="100"/>
      </w:pPr>
      <w:r>
        <w:t xml:space="preserve">Danaher es un conglomerado de ciencias de la vida y diagnóstico con 24.568 M USD de ingresos en 2025 [1, 2]. Tres segmentos: Biotecnología (bioprocesado de Cytiva y Pall: medios, resinas de cromatografía, filtración y bolsas de un solo uso para fabricar biológicos), Ciencias de la vida (Beckman Coulter Life Sciences, Leica Microsystems, SCIEX, Abcam, IDT) y Diagnóstico (Beckman Coulter Diagnostics, Cepheid, Radiometer, Leica Biosystems y, desde 2026, Masimo) [4, 6]. Más del 80 % de las ventas son consumibles recurrentes.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Segmento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Biotecnología (bioprocesado)</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r>
      <w:tr>
        <w:trPr>
          <w:cantSplit/>
        </w:trPr>
        <w:tc>
          <w:tcPr>
            <w:tcW w:type="dxa" w:w="3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Diagnóstico</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638"/>
      </w:tblGrid>
      <w:tr>
        <w:trPr>
          <w:cantSplit/>
          <w:tblHeader/>
        </w:trPr>
        <w:tc>
          <w:tcPr>
            <w:tcW w:type="dxa" w:w="31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Ingresos por segmento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Biotecnología (bioprocesado)</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Ciencias de la vida</w:t>
            </w:r>
          </w:p>
        </w:tc>
      </w:tr>
      <w:tr>
        <w:trPr>
          <w:cantSplit/>
        </w:trPr>
        <w:tc>
          <w:tcPr>
            <w:tcW w:type="dxa" w:w="31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Diagnóstico</w:t>
            </w:r>
          </w:p>
        </w:tc>
      </w:tr>
    </w:tbl>
    <w:p>
      <w:pPr>
        <w:spacing w:after="160" w:before="0"/>
      </w:pPr>
    </w:p>
    <w:p>
      <w:pPr>
        <w:pStyle w:val="Heading1"/>
      </w:pPr>
      <w:r>
        <w:t xml:space="preserve">3. Sector y mercado</w:t>
      </w:r>
    </w:p>
    <w:p>
      <w:pPr>
        <w:pStyle w:val="Confianza"/>
        <w:spacing w:after="100"/>
      </w:pPr>
      <w:r>
        <w:t xml:space="preserve">Confianza: Baja</w:t>
      </w:r>
    </w:p>
    <w:p>
      <w:pPr>
        <w:spacing w:after="100"/>
      </w:pPr>
      <w:r>
        <w:t xml:space="preserve">El mercado relevante son las herramientas, consumibles y servicios para la investigación, el desarrollo y la fabricación de medicamentos, el diagnóstico y el laboratorio industrial, mundial. No se ha podido contrastar el tamaño con dos fuentes (hueco registrado): Thermo Fisher, con 44.556 M USD, es el mayor proveedor, y Danaher, Agilent, Waters, Mettler-Toledo, Merck KGaA y Sartorius son sus rivales directos según el segmento [1,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 en el ciclo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Recuperación</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Estructura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Moderadamente concentrada</w:t>
            </w:r>
          </w:p>
        </w:tc>
      </w:tr>
    </w:tbl>
    <w:p>
      <w:pPr>
        <w:spacing w:after="160" w:before="0"/>
      </w:pPr>
    </w:p>
    <w:p>
      <w:pPr>
        <w:pStyle w:val="Heading2"/>
      </w:pPr>
      <w:r>
        <w:t xml:space="preserve">Motores de la demanda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03"/>
        <w:gridCol w:w="876"/>
        <w:gridCol w:w="1251"/>
        <w:gridCol w:w="5008"/>
      </w:tblGrid>
      <w:tr>
        <w:trPr>
          <w:cantSplit/>
          <w:tblHeader/>
        </w:trPr>
        <w:tc>
          <w:tcPr>
            <w:tcW w:type="dxa" w:w="25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Motor</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Horizonte</w:t>
            </w:r>
          </w:p>
        </w:tc>
        <w:tc>
          <w:tcPr>
            <w:tcW w:type="dxa" w:w="50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Gasto en I+D y fabricación de farmacéuticas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Estructural</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Bioproducción creció 548 M en 2025 por la demanda de farmacéuticas y biotecnológicas [1].</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de las biotecnológicas</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de Thermo Fisher pasó del 1 % en el 1T26 al 5 % en el 2T26 y la dirección habla de más gasto de las biotecnológicas [3, 4].</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Financiación pública y académica (NIH)</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recortes federales mantienen débil Instrumentos analíticos: +1,2 % en 2025 [1, 12].</w:t>
            </w:r>
          </w:p>
        </w:tc>
      </w:tr>
      <w:tr>
        <w:trPr>
          <w:cantSplit/>
        </w:trPr>
        <w:tc>
          <w:tcPr>
            <w:tcW w:type="dxa" w:w="25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Fin de las ventas de covid</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Cíclico</w:t>
            </w:r>
          </w:p>
        </w:tc>
        <w:tc>
          <w:tcPr>
            <w:tcW w:type="dxa" w:w="50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ingresos cayeron de 44.915 M en 2022 a 42.857 M en 2023 y no recuperaron hasta 2025 [5].</w:t>
            </w:r>
          </w:p>
        </w:tc>
      </w:tr>
    </w:tbl>
    <w:p>
      <w:pPr>
        <w:spacing w:after="160" w:before="0"/>
      </w:pPr>
    </w:p>
    <w:p>
      <w:pPr>
        <w:pStyle w:val="Heading2"/>
      </w:pPr>
      <w:r>
        <w:t xml:space="preserve">Las cinco fuerzas</w:t>
      </w:r>
    </w:p>
    <w:p>
      <w:pPr>
        <w:keepNext w:val="false"/>
        <w:spacing w:after="160" w:before="120"/>
        <w:jc w:val="center"/>
      </w:pPr>
      <w:r>
        <w:drawing>
          <wp:inline xmlns:wp="http://schemas.openxmlformats.org/drawingml/2006/wordprocessingDrawing" distT="0" distB="0" distL="0" distR="0">
            <wp:extent cx="5760000" cy="2700000"/>
            <wp:effectExtent l="0" t="0" r="0" b="0"/>
            <wp:docPr id="1002" name="Gráfico 2" descr="Cinco fuerzas: intensidad (1 = favorable, 5 = desfavorabl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09"/>
        <w:gridCol w:w="1204"/>
        <w:gridCol w:w="6025"/>
      </w:tblGrid>
      <w:tr>
        <w:trPr>
          <w:cantSplit/>
          <w:tblHeader/>
        </w:trPr>
        <w:tc>
          <w:tcPr>
            <w:tcW w:type="dxa" w:w="24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Fuerza</w:t>
            </w:r>
          </w:p>
        </w:tc>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Intensidad (1-5)</w:t>
            </w:r>
          </w:p>
        </w:tc>
        <w:tc>
          <w:tcPr>
            <w:tcW w:type="dxa" w:w="60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Justificación</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Rivalidad</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Pocos grandes y especializados por segmento; Barclays rebajó el sector por valoraciones altas, no por guerra de precios [13].</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clientes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Las grandes farmacéuticas negocian, pero el coste del consumible es pequeño frente al del medicamento.</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Poder de los proveedores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Insumos variados; Thermo Fisher integra fabricación propia.</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Amenaza de entrada</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Validación regulatoria, catálogo y red comercial mundial.</w:t>
            </w:r>
          </w:p>
        </w:tc>
      </w:tr>
      <w:tr>
        <w:trPr>
          <w:cantSplit/>
        </w:trPr>
        <w:tc>
          <w:tcPr>
            <w:tcW w:type="dxa" w:w="24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Amenaza de sustitutos</w:t>
            </w:r>
          </w:p>
        </w:tc>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60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Los métodos nuevos (proteómica, datos digitales de ensayos) los compra la propia empresa: Olink en 2024, Clario en 2026 .</w:t>
            </w:r>
          </w:p>
        </w:tc>
      </w:tr>
    </w:tbl>
    <w:p>
      <w:pPr>
        <w:spacing w:after="160" w:before="0"/>
      </w:pPr>
    </w:p>
    <w:p>
      <w:pPr>
        <w:pStyle w:val="Heading2"/>
      </w:pPr>
      <w:r>
        <w:t xml:space="preserve">Ciclo</w:t>
      </w:r>
    </w:p>
    <w:p>
      <w:pPr>
        <w:spacing w:after="100"/>
      </w:pPr>
      <w:r>
        <w:t xml:space="preserve">Tras dos años planos (orgánico del 2 % en 2025), el 2T26 marcó un 5 % orgánico y la empresa subió dos veces la guía de 2026 [2, 4]. En septiembre, Casper habló de mejora de la demanda en varios mercados finales [14]. La academia y los Gobiernos siguen débiles [12]. En 2020 el sector creció por la covid y en 2023-24 sufrió la resaca de ese pico y la caída de la financiación biotecnológica.</w:t>
      </w:r>
    </w:p>
    <w:p>
      <w:pPr>
        <w:pStyle w:val="Heading2"/>
      </w:pPr>
      <w:r>
        <w:t xml:space="preserve">Regulación</w:t>
      </w:r>
    </w:p>
    <w:p>
      <w:pPr>
        <w:spacing w:after="100"/>
      </w:pPr>
      <w:r>
        <w:t xml:space="preserve">Afectan a las cifras los presupuestos de los NIH en EE. UU. (recortes de 2025-26 que pesan en instrumentos y academia) y los aranceles entre EE. UU. y China; no se ha podido leer el detalle en el 10-K [12].</w:t>
      </w:r>
    </w:p>
    <w:p>
      <w:pPr>
        <w:pStyle w:val="Heading2"/>
      </w:pPr>
      <w:r>
        <w:t xml:space="preserve">Tendencias y disrupción</w:t>
      </w:r>
    </w:p>
    <w:p>
      <w:pPr>
        <w:spacing w:after="100"/>
      </w:pPr>
      <w:r>
        <w:t xml:space="preserve">La demanda se desplaza hacia la bioproducción de biológicos, la proteómica y los datos digitales de ensayos clínicos; Thermo Fisher compra para estar en ellas (Olink, Clario, filtración de Solventum) y vende lo que crece menos (microbiología a Astorg) [1].</w:t>
      </w:r>
    </w:p>
    <w:p>
      <w:pPr>
        <w:pStyle w:val="Heading1"/>
      </w:pPr>
      <w:r>
        <w:t xml:space="preserve">4. Posición competitiva y foso</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Posición</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N.º 2 mundial en herramientas de ciencias de la vida tras Thermo Fisher (44.556 M USD), y líder con Thermo Fisher, Merck KGaA y Sartorius en bioprocesado.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Amplio</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Tendencia del foso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Estable</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3" name="Gráfico 3" descr="Margen EBIT: la empresa frente a sus competidores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3"/>
              </a:graphicData>
            </a:graphic>
          </wp:inline>
        </w:drawing>
      </w:r>
    </w:p>
    <w:p>
      <w:pPr>
        <w:pStyle w:val="Heading2"/>
      </w:pPr>
      <w:r>
        <w:t xml:space="preserve">Fuentes de ventaja competitiva</w:t>
      </w:r>
    </w:p>
    <w:p>
      <w:pPr>
        <w:keepNext w:val="false"/>
        <w:spacing w:after="160" w:before="120"/>
        <w:jc w:val="center"/>
      </w:pPr>
      <w:r>
        <w:drawing>
          <wp:inline xmlns:wp="http://schemas.openxmlformats.org/drawingml/2006/wordprocessingDrawing" distT="0" distB="0" distL="0" distR="0">
            <wp:extent cx="5760000" cy="1980000"/>
            <wp:effectExtent l="0" t="0" r="0" b="0"/>
            <wp:docPr id="1004" name="Gráfico 4" descr="Fuentes de ventaja competitiva (0 = inexistente, 5 = muy fuerte)"/>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4"/>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24"/>
        <w:gridCol w:w="1235"/>
        <w:gridCol w:w="6179"/>
      </w:tblGrid>
      <w:tr>
        <w:trPr>
          <w:cantSplit/>
          <w:tblHeader/>
        </w:trPr>
        <w:tc>
          <w:tcPr>
            <w:tcW w:type="dxa" w:w="22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c>
          <w:tcPr>
            <w:tcW w:type="dxa" w:w="12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Puntuación (0-5)</w:t>
            </w:r>
          </w:p>
        </w:tc>
        <w:tc>
          <w:tcPr>
            <w:tcW w:type="dxa" w:w="61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Evidencia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Efectos de red</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Poco relevante.</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Costes de cambio</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Los consumibles de bioprocesado se fijan en el expediente regulatorio del medicamento: cambiar exige revalidar.</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Intangibles (marca, patentes, licencias)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Cytiva, Pall, Cepheid, Beckman, Leica.</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Ventaja en costes</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Business System.</w:t>
            </w:r>
          </w:p>
        </w:tc>
      </w:tr>
      <w:tr>
        <w:trPr>
          <w:cantSplit/>
        </w:trPr>
        <w:tc>
          <w:tcPr>
            <w:tcW w:type="dxa" w:w="22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Escala eficiente</w:t>
            </w:r>
          </w:p>
        </w:tc>
        <w:tc>
          <w:tcPr>
            <w:tcW w:type="dxa" w:w="12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61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Base instalada de GeneXpert y analizadores que tira de reactivos.</w:t>
            </w:r>
          </w:p>
        </w:tc>
      </w:tr>
    </w:tbl>
    <w:p>
      <w:pPr>
        <w:spacing w:after="160" w:before="0"/>
      </w:pPr>
    </w:p>
    <w:p>
      <w:r>
        <w:br w:type="page"/>
      </w:r>
    </w:p>
    <w:p>
      <w:pPr>
        <w:pStyle w:val="Parte"/>
      </w:pPr>
      <w:r>
        <w:t xml:space="preserve">Parte II — Finanzas</w:t>
      </w:r>
    </w:p>
    <w:p>
      <w:pPr>
        <w:pStyle w:val="Heading1"/>
      </w:pPr>
      <w:r>
        <w:t xml:space="preserve">5. Cuenta de resultados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90"/>
        <w:gridCol w:w="973"/>
        <w:gridCol w:w="778"/>
        <w:gridCol w:w="876"/>
        <w:gridCol w:w="827"/>
        <w:gridCol w:w="827"/>
        <w:gridCol w:w="778"/>
        <w:gridCol w:w="827"/>
        <w:gridCol w:w="681"/>
        <w:gridCol w:w="681"/>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9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w:t>
            </w:r>
          </w:p>
        </w:tc>
        <w:tc>
          <w:tcPr>
            <w:tcW w:type="dxa" w:w="77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w:t>
            </w:r>
          </w:p>
        </w:tc>
        <w:tc>
          <w:tcPr>
            <w:tcW w:type="dxa" w:w="8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6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24.802</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0,84</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26.643</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8,47</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6,38</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23.875</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7.350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30,8 %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4.950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20,7 %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9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24.568</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+2,9 %</w:t>
            </w:r>
          </w:p>
        </w:tc>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7.090</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28,9 %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4.690</w:t>
            </w:r>
          </w:p>
        </w:tc>
        <w:tc>
          <w:tcPr>
            <w:tcW w:type="dxa" w:w="77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19,1 %</w:t>
            </w:r>
          </w:p>
        </w:tc>
        <w:tc>
          <w:tcPr>
            <w:tcW w:type="dxa" w:w="8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5,05</w:t>
            </w:r>
          </w:p>
        </w:tc>
        <w:tc>
          <w:tcPr>
            <w:tcW w:type="dxa" w:w="6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1,28</w:t>
            </w:r>
          </w:p>
        </w:tc>
      </w:tr>
    </w:tbl>
    <w:p>
      <w:pPr>
        <w:spacing w:after="160" w:before="0"/>
      </w:pPr>
    </w:p>
    <w:p>
      <w:pPr>
        <w:spacing w:after="100"/>
      </w:pPr>
      <w:r>
        <w:t xml:space="preserve">Crecimiento anual compuesto 2021-2025: ingresos </w:t>
      </w:r>
      <w:r>
        <w:rPr>
          <w:b/>
          <w:bCs/>
        </w:rPr>
        <w:t xml:space="preserve">-0,2 %</w:t>
      </w:r>
      <w:r>
        <w:t xml:space="preserve">, EBITDA </w:t>
      </w:r>
      <w:r>
        <w:rPr>
          <w:b/>
          <w:bCs/>
        </w:rPr>
        <w:t xml:space="preserve">n.d.</w:t>
      </w:r>
      <w:r>
        <w:t xml:space="preserve">, BPA </w:t>
      </w:r>
      <w:r>
        <w:rPr>
          <w:b/>
          <w:bCs/>
        </w:rPr>
        <w:t xml:space="preserve">-8,7 %</w:t>
      </w:r>
      <w:r>
        <w:t xml:space="preserve">.</w:t>
      </w:r>
    </w:p>
    <w:p>
      <w:pPr>
        <w:keepNext w:val="false"/>
        <w:spacing w:after="160" w:before="120"/>
        <w:jc w:val="center"/>
      </w:pPr>
      <w:r>
        <w:drawing>
          <wp:inline xmlns:wp="http://schemas.openxmlformats.org/drawingml/2006/wordprocessingDrawing" distT="0" distB="0" distL="0" distR="0">
            <wp:extent cx="5760000" cy="2700000"/>
            <wp:effectExtent l="0" t="0" r="0" b="0"/>
            <wp:docPr id="1005" name="Gráfico 5" descr="Ingresos y EBITDA (USD, millones) · «e» = proyección propia del DCF"/>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5"/>
              </a:graphicData>
            </a:graphic>
          </wp:inline>
        </w:drawing>
      </w:r>
    </w:p>
    <w:p>
      <w:pPr>
        <w:keepNext w:val="false"/>
        <w:spacing w:after="160" w:before="120"/>
        <w:jc w:val="center"/>
      </w:pPr>
      <w:r>
        <w:drawing>
          <wp:inline xmlns:wp="http://schemas.openxmlformats.org/drawingml/2006/wordprocessingDrawing" distT="0" distB="0" distL="0" distR="0">
            <wp:extent cx="5760000" cy="2700000"/>
            <wp:effectExtent l="0" t="0" r="0" b="0"/>
            <wp:docPr id="1006" name="Gráfico 6" descr="Márgenes (% de ingres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6"/>
              </a:graphicData>
            </a:graphic>
          </wp:inline>
        </w:drawing>
      </w:r>
    </w:p>
    <w:p>
      <w:pPr>
        <w:pStyle w:val="Heading2"/>
      </w:pPr>
      <w:r>
        <w:t xml:space="preserve">Ajustes y partidas no recurrentes</w:t>
      </w:r>
    </w:p>
    <w:p>
      <w:pPr>
        <w:spacing w:after="100"/>
      </w:pPr>
      <w:r>
        <w:t xml:space="preserve">La empresa publica BPA ajustado sin amortización de intangibles comprados ni otras partidas: 7,80 USD en 2025 frente a 5,05 USD GAAP; 7,48 frente a 5,29 en 2024; 7,58 en 2023 y 9,71 en 2022 (operaciones continuadas) [2, 3, 7]. La diferencia (≈2,75 USD, ≈1.950 M) es sobre todo amortización de intangibles de compras.</w:t>
      </w:r>
    </w:p>
    <w:p>
      <w:pPr>
        <w:pStyle w:val="Heading1"/>
      </w:pPr>
      <w:r>
        <w:t xml:space="preserve">6. Resultados recientes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3538"/>
        <w:gridCol w:w="1220"/>
        <w:gridCol w:w="1220"/>
        <w:gridCol w:w="1220"/>
        <w:gridCol w:w="976"/>
        <w:gridCol w:w="1464"/>
      </w:tblGrid>
      <w:tr>
        <w:trPr>
          <w:cantSplit/>
          <w:tblHeader/>
        </w:trPr>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interanual</w:t>
            </w:r>
          </w:p>
        </w:tc>
        <w:tc>
          <w:tcPr>
            <w:tcW w:type="dxa" w:w="122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orgánico</w:t>
            </w:r>
          </w:p>
        </w:tc>
        <w:tc>
          <w:tcPr>
            <w:tcW w:type="dxa" w:w="9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46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Frente al consenso</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3T25</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6.050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1,89</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Superior</w:t>
            </w:r>
          </w:p>
        </w:tc>
      </w:tr>
      <w:tr>
        <w:trPr>
          <w:cantSplit/>
        </w:trPr>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6.300</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22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9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1,94</w:t>
            </w:r>
          </w:p>
        </w:tc>
        <w:tc>
          <w:tcPr>
            <w:tcW w:type="dxa" w:w="146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Superior</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340000"/>
            <wp:effectExtent l="0" t="0" r="0" b="0"/>
            <wp:docPr id="1007" name="Gráfico 7" descr="Crecimiento interanual por trimestre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7"/>
              </a:graphicData>
            </a:graphic>
          </wp:inline>
        </w:drawing>
      </w:r>
    </w:p>
    <w:p>
      <w:pPr>
        <w:pStyle w:val="Heading1"/>
      </w:pPr>
      <w:r>
        <w:t xml:space="preserve">7. Balance y capital circulante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2"/>
        <w:gridCol w:w="1171"/>
        <w:gridCol w:w="958"/>
        <w:gridCol w:w="851"/>
        <w:gridCol w:w="958"/>
        <w:gridCol w:w="851"/>
        <w:gridCol w:w="958"/>
        <w:gridCol w:w="958"/>
        <w:gridCol w:w="911"/>
      </w:tblGrid>
      <w:tr>
        <w:trPr>
          <w:cantSplit/>
          <w:tblHeader/>
        </w:trPr>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7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Fondo com. + intang.</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Caja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fin.</w:t>
            </w:r>
          </w:p>
        </w:tc>
        <w:tc>
          <w:tcPr>
            <w:tcW w:type="dxa" w:w="8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Deuda neta</w:t>
            </w:r>
          </w:p>
        </w:tc>
        <w:tc>
          <w:tcPr>
            <w:tcW w:type="dxa" w:w="9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Patrimonio</w:t>
            </w:r>
          </w:p>
        </w:tc>
        <w:tc>
          <w:tcPr>
            <w:tcW w:type="dxa" w:w="91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DN/EBITDA</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43.151</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4.615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17.000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12.385</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51.500</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1,8x</w:t>
            </w:r>
          </w:p>
        </w:tc>
      </w:tr>
      <w:tr>
        <w:trPr>
          <w:cantSplit/>
        </w:trPr>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17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47.414</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4.348</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26.558</w:t>
            </w:r>
          </w:p>
        </w:tc>
        <w:tc>
          <w:tcPr>
            <w:tcW w:type="dxa" w:w="8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22.210</w:t>
            </w:r>
          </w:p>
        </w:tc>
        <w:tc>
          <w:tcPr>
            <w:tcW w:type="dxa" w:w="9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52.581</w:t>
            </w:r>
          </w:p>
        </w:tc>
        <w:tc>
          <w:tcPr>
            <w:tcW w:type="dxa" w:w="91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166"/>
        <w:gridCol w:w="1472"/>
      </w:tblGrid>
      <w:tr>
        <w:trPr>
          <w:cantSplit/>
          <w:tblHeader/>
        </w:trPr>
        <w:tc>
          <w:tcPr>
            <w:tcW w:type="dxa" w:w="13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47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Circulante / ventas</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2025</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r>
      <w:tr>
        <w:trPr>
          <w:cantSplit/>
        </w:trPr>
        <w:tc>
          <w:tcPr>
            <w:tcW w:type="dxa" w:w="13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2T26</w:t>
            </w:r>
          </w:p>
        </w:tc>
        <w:tc>
          <w:tcPr>
            <w:tcW w:type="dxa" w:w="147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r>
    </w:tbl>
    <w:p>
      <w:pPr>
        <w:spacing w:after="160" w:before="0"/>
      </w:pPr>
    </w:p>
    <w:p>
      <w:pPr>
        <w:pStyle w:val="Nota"/>
        <w:spacing w:after="100"/>
      </w:pPr>
      <w:r>
        <w:t xml:space="preserve">Días de inventario y de pago calculados sobre el coste de ventas.</w:t>
      </w:r>
    </w:p>
    <w:p>
      <w:pPr>
        <w:pStyle w:val="Nota"/>
        <w:spacing w:after="100"/>
      </w:pPr>
      <w:r>
        <w:t xml:space="preserve">Cambio de perímetro (2023: Escisión de Veralto (agua y calidad de producto, ≈5.000 M de ingresos) en septiembre de 2023: las cifras de 2021-2022 son de operaciones continuadas reexpresadas [1].; 2026: Compra de Masimo (≈9.900 M USD con deuda, 180 USD por acción) cerrada antes de lo previsto en el 2T26 [4, 6].). Los ratios de balance de ese año (días, circulante, deuda neta / EBITDA, ROIC) y los indicadores de calidad contable no son comparables con los anteriores.</w:t>
      </w:r>
    </w:p>
    <w:p>
      <w:pPr>
        <w:pStyle w:val="Heading1"/>
      </w:pPr>
      <w:r>
        <w:t xml:space="preserve">8. Flujos de caja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997"/>
        <w:gridCol w:w="1107"/>
        <w:gridCol w:w="886"/>
        <w:gridCol w:w="886"/>
        <w:gridCol w:w="886"/>
        <w:gridCol w:w="886"/>
        <w:gridCol w:w="997"/>
        <w:gridCol w:w="997"/>
        <w:gridCol w:w="997"/>
        <w:gridCol w:w="999"/>
      </w:tblGrid>
      <w:tr>
        <w:trPr>
          <w:cantSplit/>
          <w:tblHeader/>
        </w:trPr>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Flujo operativo</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Arrend.</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8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 B. neto</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ventas</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 / amort.</w:t>
            </w:r>
          </w:p>
        </w:tc>
        <w:tc>
          <w:tcPr>
            <w:tcW w:type="dxa" w:w="9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por acción</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8.358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5.300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9,75</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8.519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6.240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10,04</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6.490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4.764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121 %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0,3x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7,81</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6.688</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1.392</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3.899</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0,6x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7,19</w:t>
            </w:r>
          </w:p>
        </w:tc>
      </w:tr>
      <w:tr>
        <w:trPr>
          <w:cantSplit/>
        </w:trPr>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6.416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1.156</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5.260</w:t>
            </w:r>
          </w:p>
        </w:tc>
        <w:tc>
          <w:tcPr>
            <w:tcW w:type="dxa" w:w="8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3.610</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146 %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4,7 %</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0,5x</w:t>
            </w:r>
          </w:p>
        </w:tc>
        <w:tc>
          <w:tcPr>
            <w:tcW w:type="dxa" w:w="9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7,36</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8" name="Gráfico 8" descr="Flujo de caja libre frente a beneficio net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8"/>
              </a:graphicData>
            </a:graphic>
          </wp:inline>
        </w:drawing>
      </w:r>
    </w:p>
    <w:p>
      <w:pPr>
        <w:spacing w:after="100"/>
      </w:pPr>
      <w:r>
        <w:t xml:space="preserve">Acumulado 2021-2025: FCF </w:t>
      </w:r>
      <w:r>
        <w:rPr>
          <w:b/>
          <w:bCs/>
        </w:rPr>
        <w:t xml:space="preserve">30.856</w:t>
      </w:r>
      <w:r>
        <w:t xml:space="preserve">, conversión </w:t>
      </w:r>
      <w:r>
        <w:rPr>
          <w:b/>
          <w:bCs/>
        </w:rPr>
        <w:t xml:space="preserve">130 %</w:t>
      </w:r>
      <w:r>
        <w:t xml:space="preserve"> del beneficio neto; adquisiciones 0, dividendos 3.790, recompras 3.000.</w:t>
      </w:r>
    </w:p>
    <w:p>
      <w:pPr>
        <w:pStyle w:val="Heading1"/>
      </w:pPr>
      <w:r>
        <w:t xml:space="preserve">9. Calidad contable</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Auditor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Ernst &amp; Young LLP</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Opinión del último informe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Favorable</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Ejercicio analizado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2025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53"/>
        <w:gridCol w:w="1147"/>
        <w:gridCol w:w="5738"/>
      </w:tblGrid>
      <w:tr>
        <w:trPr>
          <w:cantSplit/>
          <w:tblHeader/>
        </w:trPr>
        <w:tc>
          <w:tcPr>
            <w:tcW w:type="dxa" w:w="275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Indicador</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57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Lectura</w:t>
            </w:r>
          </w:p>
        </w:tc>
      </w:tr>
      <w:tr>
        <w:trPr>
          <w:cantSplit/>
        </w:trPr>
        <w:tc>
          <w:tcPr>
            <w:tcW w:type="dxa" w:w="275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Flujo operativo / beneficio neto (acumulado)</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1,53x</w:t>
            </w:r>
          </w:p>
        </w:tc>
        <w:tc>
          <w:tcPr>
            <w:tcW w:type="dxa" w:w="57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beneficio se cobra.</w:t>
            </w:r>
          </w:p>
        </w:tc>
      </w:tr>
    </w:tbl>
    <w:p>
      <w:pPr>
        <w:spacing w:after="160" w:before="0"/>
      </w:pPr>
    </w:p>
    <w:p>
      <w:pPr>
        <w:spacing w:after="160" w:before="0"/>
      </w:pPr>
    </w:p>
    <w:p>
      <w:pPr>
        <w:pStyle w:val="Heading1"/>
      </w:pPr>
      <w:r>
        <w:t xml:space="preserve">10. Rentabilidad sobre el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754"/>
        <w:gridCol w:w="1126"/>
        <w:gridCol w:w="1126"/>
        <w:gridCol w:w="1251"/>
        <w:gridCol w:w="138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ROE</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neto</w:t>
            </w:r>
          </w:p>
        </w:tc>
        <w:tc>
          <w:tcPr>
            <w:tcW w:type="dxa" w:w="13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 invertido</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21,4 %</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23,4 %</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19,9 %</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16,3 %</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7,0 %</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14,7 %</w:t>
            </w:r>
          </w:p>
        </w:tc>
        <w:tc>
          <w:tcPr>
            <w:tcW w:type="dxa" w:w="13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63.885</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09" name="Gráfico 9" descr="ROIC y ROE frente al coste del capital (%)"/>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9"/>
              </a:graphicData>
            </a:graphic>
          </wp:inline>
        </w:drawing>
      </w:r>
    </w:p>
    <w:p>
      <w:pPr>
        <w:spacing w:after="100"/>
      </w:pPr>
      <w:r>
        <w:rPr>
          <w:b/>
          <w:bCs/>
        </w:rPr>
        <w:t xml:space="preserve">ROIC incremental</w:t>
      </w:r>
      <w:r>
        <w:t xml:space="preserve"> (variación del NOPAT sobre variación del capital invertido en el periodo): n.d. · </w:t>
      </w:r>
      <w:r>
        <w:rPr>
          <w:b/>
          <w:bCs/>
        </w:rPr>
        <w:t xml:space="preserve">WACC</w:t>
      </w:r>
      <w:r>
        <w:t xml:space="preserve">: 9,2 %.</w:t>
      </w:r>
    </w:p>
    <w:p>
      <w:pPr>
        <w:spacing w:after="100"/>
      </w:pPr>
      <w:r>
        <w:t xml:space="preserve">Danaher no crea valor sobre el capital total tras sus grandes compras: con 47.414 M de fondo de comercio y 21.358 M de intangibles a junio de 2026, el NOPAT de ≈3.900 M rinde ≈5-6 % sobre ≈80.000 M de capital invertido, por debajo del WACC del 9,2 % [5]. Sin fondo de comercio, el ROIC operativo es muy alto (los consumibles de bioprocesado tienen márgenes de más del 30 %).</w:t>
      </w:r>
    </w:p>
    <w:p>
      <w:pPr>
        <w:pStyle w:val="Heading1"/>
      </w:pPr>
      <w:r>
        <w:t xml:space="preserve">11. Deuda y solvencia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 26 jun 2026</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22.210 M</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 EBITDA últimos 12 m</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Deuda neta ajustada / EBITDA</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3,1x</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Liquidez disponible</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Caja de 4.348 M a junio de 2026 [5]; deuda neta ≈22.200 M, ≈3x el EBITDA estimado tras Masimo.</w:t>
            </w:r>
          </w:p>
        </w:tc>
      </w:tr>
      <w:tr>
        <w:trPr>
          <w:cantSplit/>
        </w:trPr>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0" name="Gráfico 10" descr="Deuda neta / EBITDA al cierre de cada ejercicio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0"/>
              </a:graphicData>
            </a:graphic>
          </wp:inline>
        </w:drawing>
      </w:r>
    </w:p>
    <w:p>
      <w:pPr>
        <w:pStyle w:val="Heading1"/>
      </w:pPr>
      <w:r>
        <w:t xml:space="preserve">12. Asignación de capital</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77"/>
        <w:gridCol w:w="1126"/>
        <w:gridCol w:w="1251"/>
        <w:gridCol w:w="1251"/>
        <w:gridCol w:w="1251"/>
        <w:gridCol w:w="1251"/>
        <w:gridCol w:w="1131"/>
      </w:tblGrid>
      <w:tr>
        <w:trPr>
          <w:cantSplit/>
          <w:tblHeader/>
        </w:trPr>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Dividendos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Recompras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Ampliaciones</w:t>
            </w:r>
          </w:p>
        </w:tc>
        <w:tc>
          <w:tcPr>
            <w:tcW w:type="dxa" w:w="12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Retorno / B. neto</w:t>
            </w:r>
          </w:p>
        </w:tc>
        <w:tc>
          <w:tcPr>
            <w:tcW w:type="dxa" w:w="11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Acciones (M)</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2021</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7.118</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2022</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5.781</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790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740,0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2024</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5.296</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71 %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737,0</w:t>
            </w:r>
          </w:p>
        </w:tc>
      </w:tr>
      <w:tr>
        <w:trPr>
          <w:cantSplit/>
        </w:trPr>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2025</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5.260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w:t>
            </w:r>
          </w:p>
        </w:tc>
        <w:tc>
          <w:tcPr>
            <w:tcW w:type="dxa" w:w="12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53 %</w:t>
            </w:r>
          </w:p>
        </w:tc>
        <w:tc>
          <w:tcPr>
            <w:tcW w:type="dxa" w:w="11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715,0</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1" name="Gráfico 11" descr="Usos de la caja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1"/>
              </a:graphicData>
            </a:graphic>
          </wp:inline>
        </w:drawing>
      </w:r>
    </w:p>
    <w:p>
      <w:pPr>
        <w:pStyle w:val="Heading2"/>
      </w:pPr>
      <w:r>
        <w:t xml:space="preserve">Historial de adquisiciones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
        <w:gridCol w:w="2141"/>
        <w:gridCol w:w="951"/>
        <w:gridCol w:w="951"/>
        <w:gridCol w:w="1308"/>
        <w:gridCol w:w="3574"/>
      </w:tblGrid>
      <w:tr>
        <w:trPr>
          <w:cantSplit/>
          <w:tblHeader/>
        </w:trPr>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21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c>
          <w:tcPr>
            <w:tcW w:type="dxa" w:w="95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13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Financiación</w:t>
            </w:r>
          </w:p>
        </w:tc>
        <w:tc>
          <w:tcPr>
            <w:tcW w:type="dxa" w:w="357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Resultado</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2020</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Cytiva (biofarma de GE)</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21.100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Deuda y acciones</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Núcleo del bioprocesado; disparada por covid y con años de desestocaje en 2023-24.</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2023</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Abcam</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Caja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Anticuerpos y reactivos en Ciencias de la vida.</w:t>
            </w:r>
          </w:p>
        </w:tc>
      </w:tr>
      <w:tr>
        <w:trPr>
          <w:cantSplit/>
        </w:trPr>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2026</w:t>
            </w:r>
          </w:p>
        </w:tc>
        <w:tc>
          <w:tcPr>
            <w:tcW w:type="dxa" w:w="21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Masimo</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9.900</w:t>
            </w:r>
          </w:p>
        </w:tc>
        <w:tc>
          <w:tcPr>
            <w:tcW w:type="dxa" w:w="95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18,0x</w:t>
            </w:r>
          </w:p>
        </w:tc>
        <w:tc>
          <w:tcPr>
            <w:tcW w:type="dxa" w:w="13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Caja, bonos en euros de 2.980 M y deuda</w:t>
            </w:r>
          </w:p>
        </w:tc>
        <w:tc>
          <w:tcPr>
            <w:tcW w:type="dxa" w:w="357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Cerrada en el 2T26, antes de lo previsto; ≈18x EBITDA de 2027e (≈15x con sinergias) [6].</w:t>
            </w:r>
          </w:p>
        </w:tc>
      </w:tr>
    </w:tbl>
    <w:p>
      <w:pPr>
        <w:spacing w:after="160" w:before="0"/>
      </w:pPr>
    </w:p>
    <w:p>
      <w:r>
        <w:br w:type="page"/>
      </w:r>
    </w:p>
    <w:p>
      <w:pPr>
        <w:pStyle w:val="Parte"/>
      </w:pPr>
      <w:r>
        <w:t xml:space="preserve">Parte III — Equipo y gobierno</w:t>
      </w:r>
    </w:p>
    <w:p>
      <w:pPr>
        <w:pStyle w:val="Heading1"/>
      </w:pPr>
      <w:r>
        <w:t xml:space="preserve">13. Equipo directivo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3"/>
        <w:gridCol w:w="1527"/>
        <w:gridCol w:w="705"/>
        <w:gridCol w:w="4703"/>
      </w:tblGrid>
      <w:tr>
        <w:trPr>
          <w:cantSplit/>
          <w:tblHeader/>
        </w:trPr>
        <w:tc>
          <w:tcPr>
            <w:tcW w:type="dxa" w:w="17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Nombre</w:t>
            </w:r>
          </w:p>
        </w:tc>
        <w:tc>
          <w:tcPr>
            <w:tcW w:type="dxa" w:w="15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7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470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Trayectoria y resultados</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Rainer M. Blair</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 y consejero delegado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 desde septiembre de 2020; antes dirigió SCIEX y la plataforma de ciencias de la vida. Ha llevado la compra de Abcam y de Masimo y la escisión de Veralto.</w:t>
            </w:r>
          </w:p>
        </w:tc>
      </w:tr>
      <w:tr>
        <w:trPr>
          <w:cantSplit/>
        </w:trPr>
        <w:tc>
          <w:tcPr>
            <w:tcW w:type="dxa" w:w="17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Matthew McGrew</w:t>
            </w:r>
          </w:p>
        </w:tc>
        <w:tc>
          <w:tcPr>
            <w:tcW w:type="dxa" w:w="15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w:t>
            </w:r>
          </w:p>
        </w:tc>
        <w:tc>
          <w:tcPr>
            <w:tcW w:type="dxa" w:w="7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2019</w:t>
            </w:r>
          </w:p>
        </w:tc>
        <w:tc>
          <w:tcPr>
            <w:tcW w:type="dxa" w:w="470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Director financiero desde 2019 (de memoria).</w:t>
            </w:r>
          </w:p>
        </w:tc>
      </w:tr>
    </w:tbl>
    <w:p>
      <w:pPr>
        <w:spacing w:after="160" w:before="0"/>
      </w:pPr>
    </w:p>
    <w:p>
      <w:pPr>
        <w:pStyle w:val="Heading2"/>
      </w:pPr>
      <w:r>
        <w:t xml:space="preserve">¿Cumple lo que promete?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76"/>
        <w:gridCol w:w="3796"/>
        <w:gridCol w:w="3796"/>
        <w:gridCol w:w="1170"/>
      </w:tblGrid>
      <w:tr>
        <w:trPr>
          <w:cantSplit/>
          <w:tblHeader/>
        </w:trPr>
        <w:tc>
          <w:tcPr>
            <w:tcW w:type="dxa" w:w="8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Año</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prometió</w:t>
            </w:r>
          </w:p>
        </w:tc>
        <w:tc>
          <w:tcPr>
            <w:tcW w:type="dxa" w:w="379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Lo que logró</w:t>
            </w:r>
          </w:p>
        </w:tc>
        <w:tc>
          <w:tcPr>
            <w:tcW w:type="dxa" w:w="117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Cumplió</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2026</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ajustado 8,35-8,50 USD (enero), 8,45-8,60 (julio)</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En curso</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Parcial</w:t>
            </w:r>
          </w:p>
        </w:tc>
      </w:tr>
      <w:tr>
        <w:trPr>
          <w:cantSplit/>
        </w:trPr>
        <w:tc>
          <w:tcPr>
            <w:tcW w:type="dxa" w:w="8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BPA ajustado 7,70-7,80 USD (octubre de 2025)</w:t>
            </w:r>
          </w:p>
        </w:tc>
        <w:tc>
          <w:tcPr>
            <w:tcW w:type="dxa" w:w="3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7,80 USD [2]</w:t>
            </w:r>
          </w:p>
        </w:tc>
        <w:tc>
          <w:tcPr>
            <w:tcW w:type="dxa" w:w="117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Sí</w:t>
            </w:r>
          </w:p>
        </w:tc>
      </w:tr>
    </w:tbl>
    <w:p>
      <w:pPr>
        <w:spacing w:after="160" w:before="0"/>
      </w:pPr>
    </w:p>
    <w:p>
      <w:pPr>
        <w:pStyle w:val="Heading1"/>
      </w:pPr>
      <w:r>
        <w:t xml:space="preserve">14. Gobierno corporativo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Consejeros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Independientes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0 %</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Antigüedad media en el consejo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30,7 años</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Criterios de buen gobierno cumplidos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8 de 13 (4 sin dato)</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Cambios de presidente o primer ejecutivo (24 meses)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2" name="Gráfico 12" descr="Composición del consejo (número de consejero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2"/>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443"/>
        <w:gridCol w:w="1900"/>
        <w:gridCol w:w="1493"/>
        <w:gridCol w:w="814"/>
        <w:gridCol w:w="2988"/>
      </w:tblGrid>
      <w:tr>
        <w:trPr>
          <w:cantSplit/>
          <w:tblHeader/>
        </w:trPr>
        <w:tc>
          <w:tcPr>
            <w:tcW w:type="dxa" w:w="244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Consejero</w:t>
            </w:r>
          </w:p>
        </w:tc>
        <w:tc>
          <w:tcPr>
            <w:tcW w:type="dxa" w:w="190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Cargo</w:t>
            </w:r>
          </w:p>
        </w:tc>
        <w:tc>
          <w:tcPr>
            <w:tcW w:type="dxa" w:w="14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81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Desde</w:t>
            </w:r>
          </w:p>
        </w:tc>
        <w:tc>
          <w:tcPr>
            <w:tcW w:type="dxa" w:w="29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Comisiones</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Rainer M. Blair</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Consejero delegado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Ejecutivo</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2020</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Steven M. Rales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Presidente</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1983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244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Mitchell P. Rales</w:t>
            </w:r>
          </w:p>
        </w:tc>
        <w:tc>
          <w:tcPr>
            <w:tcW w:type="dxa" w:w="190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Presidente del comité ejecutivo</w:t>
            </w:r>
          </w:p>
        </w:tc>
        <w:tc>
          <w:tcPr>
            <w:tcW w:type="dxa" w:w="14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Dominical</w:t>
            </w:r>
          </w:p>
        </w:tc>
        <w:tc>
          <w:tcPr>
            <w:tcW w:type="dxa" w:w="81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1983</w:t>
            </w:r>
          </w:p>
        </w:tc>
        <w:tc>
          <w:tcPr>
            <w:tcW w:type="dxa" w:w="29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236"/>
        <w:gridCol w:w="1984"/>
        <w:gridCol w:w="1418"/>
      </w:tblGrid>
      <w:tr>
        <w:trPr>
          <w:cantSplit/>
          <w:tblHeader/>
        </w:trPr>
        <w:tc>
          <w:tcPr>
            <w:tcW w:type="dxa" w:w="62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Criterio</w:t>
            </w:r>
          </w:p>
        </w:tc>
        <w:tc>
          <w:tcPr>
            <w:tcW w:type="dxa" w:w="19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Dato</w:t>
            </w:r>
          </w:p>
        </w:tc>
        <w:tc>
          <w:tcPr>
            <w:tcW w:type="dxa" w:w="141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Consejeros independientes ≥ 50 % (≥ 33 % si hay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Presidencia sin vínculo familiar ni profesional con el accionista de control</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control</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Presidente no ejecutivo, o consejero coordinador independiente</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ejecutivo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Comisión de auditoría con mayoría de independientes y presidida por uno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Ningún consejero «otro externo» con más de 12 años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Ninguno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Estabilidad de la cúpula: como mucho un cambio de presidente o primer ejecutivo en 24 meses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0 cambios</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Peor voto a favor sobre remuneración (3 juntas) ≥ 80 %</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Variable a largo plazo ligado a rentabilidad (ROIC, TSR, FCF)</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Una acción, un voto, sin blindajes ni límites de voto estatutarios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Sí</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Sin operaciones vinculadas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No hay</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Auditor con 10 años o menos en el cargo</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Sin dato</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Opinión de auditoría sin salvedades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Favorable</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Cumple</w:t>
            </w:r>
          </w:p>
        </w:tc>
      </w:tr>
      <w:tr>
        <w:trPr>
          <w:cantSplit/>
        </w:trPr>
        <w:tc>
          <w:tcPr>
            <w:tcW w:type="dxa" w:w="62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Directivos compradores netos en 12 meses (o sin ventas relevantes)</w:t>
            </w:r>
          </w:p>
        </w:tc>
        <w:tc>
          <w:tcPr>
            <w:tcW w:type="dxa" w:w="19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c>
          <w:tcPr>
            <w:tcW w:type="dxa" w:w="141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Sin dato</w:t>
            </w:r>
          </w:p>
        </w:tc>
      </w:tr>
    </w:tbl>
    <w:p>
      <w:pPr>
        <w:spacing w:after="160" w:before="0"/>
      </w:pPr>
    </w:p>
    <w:p>
      <w:pPr>
        <w:pStyle w:val="Heading2"/>
      </w:pPr>
      <w:r>
        <w:t xml:space="preserve">Accionariado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39"/>
        <w:gridCol w:w="1799"/>
      </w:tblGrid>
      <w:tr>
        <w:trPr>
          <w:cantSplit/>
          <w:tblHeader/>
        </w:trPr>
        <w:tc>
          <w:tcPr>
            <w:tcW w:type="dxa" w:w="33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Accionista</w:t>
            </w:r>
          </w:p>
        </w:tc>
        <w:tc>
          <w:tcPr>
            <w:tcW w:type="dxa" w:w="17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r>
      <w:tr>
        <w:trPr>
          <w:cantSplit/>
        </w:trPr>
        <w:tc>
          <w:tcPr>
            <w:tcW w:type="dxa" w:w="33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Familia Rales (Steven y Mitchell)</w:t>
            </w:r>
          </w:p>
        </w:tc>
        <w:tc>
          <w:tcPr>
            <w:tcW w:type="dxa" w:w="17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Fundadores</w:t>
            </w:r>
          </w:p>
        </w:tc>
      </w:tr>
    </w:tbl>
    <w:p>
      <w:pPr>
        <w:spacing w:after="160" w:before="0"/>
      </w:pPr>
    </w:p>
    <w:p>
      <w:r>
        <w:br w:type="page"/>
      </w:r>
    </w:p>
    <w:p>
      <w:pPr>
        <w:pStyle w:val="Parte"/>
      </w:pPr>
      <w:r>
        <w:t xml:space="preserve">Parte IV — Mercado y valoración</w:t>
      </w:r>
    </w:p>
    <w:p>
      <w:pPr>
        <w:pStyle w:val="Heading1"/>
      </w:pPr>
      <w:r>
        <w:t xml:space="preserve">15. Previsiones de la compañía y consenso</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947"/>
        <w:gridCol w:w="1041"/>
        <w:gridCol w:w="1041"/>
        <w:gridCol w:w="2609"/>
      </w:tblGrid>
      <w:tr>
        <w:trPr>
          <w:cantSplit/>
          <w:tblHeader/>
        </w:trPr>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104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DPA</w:t>
            </w:r>
          </w:p>
        </w:tc>
        <w:tc>
          <w:tcPr>
            <w:tcW w:type="dxa" w:w="260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Fuente</w:t>
            </w:r>
          </w:p>
        </w:tc>
      </w:tr>
      <w:tr>
        <w:trPr>
          <w:cantSplit/>
        </w:trPr>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8,53</w:t>
            </w:r>
          </w:p>
        </w:tc>
        <w:tc>
          <w:tcPr>
            <w:tcW w:type="dxa" w:w="104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1,36</w:t>
            </w:r>
          </w:p>
        </w:tc>
        <w:tc>
          <w:tcPr>
            <w:tcW w:type="dxa" w:w="260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Punto medio de la guía de julio (8,45-8,60) [A4]</w:t>
            </w:r>
          </w:p>
        </w:tc>
      </w:tr>
    </w:tbl>
    <w:p>
      <w:pPr>
        <w:spacing w:after="160" w:before="0"/>
      </w:pPr>
    </w:p>
    <w:p>
      <w:pPr>
        <w:pStyle w:val="Heading2"/>
      </w:pPr>
      <w:r>
        <w:t xml:space="preserve">Nuestra proyección frente al consenso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28"/>
        <w:gridCol w:w="1505"/>
        <w:gridCol w:w="1505"/>
      </w:tblGrid>
      <w:tr>
        <w:trPr>
          <w:cantSplit/>
          <w:tblHeader/>
        </w:trPr>
        <w:tc>
          <w:tcPr>
            <w:tcW w:type="dxa" w:w="12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Periodo</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 propios</w:t>
            </w:r>
          </w:p>
        </w:tc>
        <w:tc>
          <w:tcPr>
            <w:tcW w:type="dxa" w:w="15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 propio</w:t>
            </w:r>
          </w:p>
        </w:tc>
      </w:tr>
      <w:tr>
        <w:trPr>
          <w:cantSplit/>
        </w:trPr>
        <w:tc>
          <w:tcPr>
            <w:tcW w:type="dxa" w:w="12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2026e</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26.533</w:t>
            </w:r>
          </w:p>
        </w:tc>
        <w:tc>
          <w:tcPr>
            <w:tcW w:type="dxa" w:w="15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7.695</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Analistas</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43</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Comprar / mantener / vender</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30 / 12 / 1</w:t>
            </w:r>
          </w:p>
        </w:tc>
      </w:tr>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Precio objetivo medio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230,89</w:t>
            </w:r>
          </w:p>
        </w:tc>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Rango de precios objetivo</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200,00 – 265,00</w:t>
            </w:r>
          </w:p>
        </w:tc>
      </w:tr>
    </w:tbl>
    <w:p>
      <w:pPr>
        <w:spacing w:after="160" w:before="0"/>
      </w:pPr>
    </w:p>
    <w:p>
      <w:pPr>
        <w:pStyle w:val="Heading1"/>
      </w:pPr>
      <w:r>
        <w:t xml:space="preserve">16. Comportamiento en bolsa</w:t>
      </w:r>
    </w:p>
    <w:p>
      <w:pPr>
        <w:pStyle w:val="Confianza"/>
        <w:spacing w:after="100"/>
      </w:pPr>
      <w:r>
        <w:t xml:space="preserve">Confianza: Baja</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023"/>
        <w:gridCol w:w="2796"/>
        <w:gridCol w:w="2023"/>
        <w:gridCol w:w="2796"/>
      </w:tblGrid>
      <w:tr>
        <w:trPr>
          <w:cantSplit/>
        </w:trPr>
        <w:tc>
          <w:tcPr>
            <w:tcW w:type="dxa" w:w="2023"/>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Beta (5 años, mensual)</w:t>
            </w: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0,85</w:t>
            </w:r>
          </w:p>
        </w:tc>
        <w:tc>
          <w:tcPr>
            <w:tcW w:type="dxa" w:w="2023"/>
            <w:tcBorders>
              <w:top w:val="none" w:color="FFFFFF" w:sz="0"/>
              <w:left w:val="none" w:color="FFFFFF" w:sz="0"/>
              <w:bottom w:val="single" w:color="D9D8D3" w:sz="4"/>
              <w:right w:val="none" w:color="FFFFFF" w:sz="0"/>
            </w:tcBorders>
            <w:tcMar>
              <w:top w:type="dxa" w:w="50"/>
              <w:left w:type="dxa" w:w="80"/>
              <w:bottom w:type="dxa" w:w="50"/>
              <w:right w:type="dxa" w:w="80"/>
            </w:tcMar>
          </w:tcPr>
          <w:p/>
        </w:tc>
        <w:tc>
          <w:tcPr>
            <w:tcW w:type="dxa" w:w="2796"/>
            <w:tcBorders>
              <w:top w:val="none" w:color="FFFFFF" w:sz="0"/>
              <w:left w:val="none" w:color="FFFFFF" w:sz="0"/>
              <w:bottom w:val="single" w:color="D9D8D3" w:sz="4"/>
              <w:right w:val="none" w:color="FFFFFF" w:sz="0"/>
            </w:tcBorders>
            <w:tcMar>
              <w:top w:type="dxa" w:w="50"/>
              <w:left w:type="dxa" w:w="80"/>
              <w:bottom w:type="dxa" w:w="50"/>
              <w:right w:type="dxa" w:w="80"/>
            </w:tcMar>
          </w:tcPr>
          <w:p/>
        </w:tc>
      </w:tr>
    </w:tbl>
    <w:p>
      <w:pPr>
        <w:spacing w:after="160" w:before="0"/>
      </w:pPr>
    </w:p>
    <w:p>
      <w:pPr>
        <w:pStyle w:val="Heading1"/>
      </w:pPr>
      <w:r>
        <w:t xml:space="preserve">17. Múltiplos frente a su historia</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927"/>
        <w:gridCol w:w="1098"/>
        <w:gridCol w:w="1098"/>
        <w:gridCol w:w="1098"/>
        <w:gridCol w:w="1098"/>
        <w:gridCol w:w="1098"/>
        <w:gridCol w:w="1221"/>
      </w:tblGrid>
      <w:tr>
        <w:trPr>
          <w:cantSplit/>
          <w:tblHeader/>
        </w:trPr>
        <w:tc>
          <w:tcPr>
            <w:tcW w:type="dxa" w:w="2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Actual</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Mediana</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c>
          <w:tcPr>
            <w:tcW w:type="dxa" w:w="109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Percentil</w:t>
            </w:r>
          </w:p>
        </w:tc>
        <w:tc>
          <w:tcPr>
            <w:tcW w:type="dxa" w:w="122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 / descuento</w:t>
            </w:r>
          </w:p>
        </w:tc>
      </w:tr>
      <w:tr>
        <w:trPr>
          <w:cantSplit/>
        </w:trPr>
        <w:tc>
          <w:tcPr>
            <w:tcW w:type="dxa" w:w="2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últimos 12 meses (cierre de cada año)</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43,4x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45,3x</w:t>
            </w:r>
          </w:p>
        </w:tc>
        <w:tc>
          <w:tcPr>
            <w:tcW w:type="dxa" w:w="109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33 %</w:t>
            </w:r>
          </w:p>
        </w:tc>
        <w:tc>
          <w:tcPr>
            <w:tcW w:type="dxa" w:w="122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-12 %</w:t>
            </w:r>
          </w:p>
        </w:tc>
      </w:tr>
    </w:tbl>
    <w:p>
      <w:pPr>
        <w:spacing w:after="160" w:before="0"/>
      </w:pPr>
    </w:p>
    <w:p>
      <w:pPr>
        <w:pStyle w:val="Heading1"/>
      </w:pPr>
      <w:r>
        <w:t xml:space="preserve">18. Comparables cotizados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715"/>
        <w:gridCol w:w="504"/>
        <w:gridCol w:w="908"/>
        <w:gridCol w:w="706"/>
        <w:gridCol w:w="807"/>
        <w:gridCol w:w="807"/>
        <w:gridCol w:w="706"/>
        <w:gridCol w:w="706"/>
        <w:gridCol w:w="756"/>
        <w:gridCol w:w="655"/>
        <w:gridCol w:w="655"/>
        <w:gridCol w:w="713"/>
      </w:tblGrid>
      <w:tr>
        <w:trPr>
          <w:cantSplit/>
          <w:tblHeader/>
        </w:trPr>
        <w:tc>
          <w:tcPr>
            <w:tcW w:type="dxa" w:w="171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Empresa</w:t>
            </w:r>
          </w:p>
        </w:tc>
        <w:tc>
          <w:tcPr>
            <w:tcW w:type="dxa" w:w="50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País</w:t>
            </w:r>
          </w:p>
        </w:tc>
        <w:tc>
          <w:tcPr>
            <w:tcW w:type="dxa" w:w="9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Capitaliz.</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8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7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7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c>
          <w:tcPr>
            <w:tcW w:type="dxa" w:w="6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DN/ EBITDA</w:t>
            </w:r>
          </w:p>
        </w:tc>
        <w:tc>
          <w:tcPr>
            <w:tcW w:type="dxa" w:w="7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 yield</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Danaher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151.545</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6,9x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Thermo Fisher</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250.000</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24,0x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Agilent</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Waters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Mettler-Toledo</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IQVIA</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42.777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14,5x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13,4x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18,5x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5,1 %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Charles River Laboratories</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US</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14.407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18,8x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15,9x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-0,1 %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8,6 %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r>
      <w:tr>
        <w:trPr>
          <w:cantSplit/>
        </w:trPr>
        <w:tc>
          <w:tcPr>
            <w:tcW w:type="dxa" w:w="171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Qiagen</w:t>
            </w:r>
          </w:p>
        </w:tc>
        <w:tc>
          <w:tcPr>
            <w:tcW w:type="dxa" w:w="50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NL</w:t>
            </w:r>
          </w:p>
        </w:tc>
        <w:tc>
          <w:tcPr>
            <w:tcW w:type="dxa" w:w="9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8.287</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13,1x</w:t>
            </w:r>
          </w:p>
        </w:tc>
        <w:tc>
          <w:tcPr>
            <w:tcW w:type="dxa" w:w="8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12,2x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21,0x</w:t>
            </w:r>
          </w:p>
        </w:tc>
        <w:tc>
          <w:tcPr>
            <w:tcW w:type="dxa" w:w="7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+3,8 %</w:t>
            </w:r>
          </w:p>
        </w:tc>
        <w:tc>
          <w:tcPr>
            <w:tcW w:type="dxa" w:w="7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35,7 %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11,4 %</w:t>
            </w:r>
          </w:p>
        </w:tc>
        <w:tc>
          <w:tcPr>
            <w:tcW w:type="dxa" w:w="6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1,1x</w:t>
            </w:r>
          </w:p>
        </w:tc>
        <w:tc>
          <w:tcPr>
            <w:tcW w:type="dxa" w:w="7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r>
    </w:tbl>
    <w:p>
      <w:pPr>
        <w:spacing w:after="160" w:before="0"/>
      </w:pPr>
    </w:p>
    <w:p>
      <w:pPr>
        <w:pStyle w:val="Nota"/>
        <w:spacing w:after="100"/>
      </w:pPr>
      <w:r>
        <w:t xml:space="preserve">La primera fila es la empresa analizada (calculada con sus propios datos). Los estadísticos excluyen a la empresa.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848"/>
        <w:gridCol w:w="1056"/>
        <w:gridCol w:w="1188"/>
        <w:gridCol w:w="1188"/>
        <w:gridCol w:w="1056"/>
        <w:gridCol w:w="1056"/>
        <w:gridCol w:w="1188"/>
        <w:gridCol w:w="1058"/>
      </w:tblGrid>
      <w:tr>
        <w:trPr>
          <w:cantSplit/>
          <w:tblHeader/>
        </w:trPr>
        <w:tc>
          <w:tcPr>
            <w:tcW w:type="dxa" w:w="184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Estadístico</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EV/Vtas</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LTM</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 NTM</w:t>
            </w:r>
          </w:p>
        </w:tc>
        <w:tc>
          <w:tcPr>
            <w:tcW w:type="dxa" w:w="10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11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10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ROIC</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Mediana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9,3 %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Media</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15,7x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+3,2 %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Percentil 25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13,1x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20,8x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23,7 %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8,7 %</w:t>
            </w:r>
          </w:p>
        </w:tc>
      </w:tr>
      <w:tr>
        <w:trPr>
          <w:cantSplit/>
        </w:trPr>
        <w:tc>
          <w:tcPr>
            <w:tcW w:type="dxa" w:w="184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Percentil 75</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20,1x</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24,3x</w:t>
            </w:r>
          </w:p>
        </w:tc>
        <w:tc>
          <w:tcPr>
            <w:tcW w:type="dxa" w:w="10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+4,8 %</w:t>
            </w:r>
          </w:p>
        </w:tc>
        <w:tc>
          <w:tcPr>
            <w:tcW w:type="dxa" w:w="11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30,0 %</w:t>
            </w:r>
          </w:p>
        </w:tc>
        <w:tc>
          <w:tcPr>
            <w:tcW w:type="dxa" w:w="10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10,2 %</w:t>
            </w:r>
          </w:p>
        </w:tc>
      </w:tr>
    </w:tbl>
    <w:p>
      <w:pPr>
        <w:spacing w:after="160" w:before="0"/>
      </w:pPr>
    </w:p>
    <w:p>
      <w:pPr>
        <w:pStyle w:val="Heading2"/>
      </w:pPr>
      <w:r>
        <w:t xml:space="preserve">Valor implícito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524"/>
        <w:gridCol w:w="1147"/>
        <w:gridCol w:w="1835"/>
        <w:gridCol w:w="1032"/>
        <w:gridCol w:w="1032"/>
        <w:gridCol w:w="1032"/>
        <w:gridCol w:w="1036"/>
      </w:tblGrid>
      <w:tr>
        <w:trPr>
          <w:cantSplit/>
          <w:tblHeader/>
        </w:trPr>
        <w:tc>
          <w:tcPr>
            <w:tcW w:type="dxa" w:w="252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Múltiplo aplicado</w:t>
            </w:r>
          </w:p>
        </w:tc>
        <w:tc>
          <w:tcPr>
            <w:tcW w:type="dxa" w:w="11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Métrica de la empresa</w:t>
            </w:r>
          </w:p>
        </w:tc>
        <w:tc>
          <w:tcPr>
            <w:tcW w:type="dxa" w:w="183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Múltiplo p25 / mediana / p75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p25</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mediana</w:t>
            </w:r>
          </w:p>
        </w:tc>
        <w:tc>
          <w:tcPr>
            <w:tcW w:type="dxa" w:w="10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p75</w:t>
            </w:r>
          </w:p>
        </w:tc>
        <w:tc>
          <w:tcPr>
            <w:tcW w:type="dxa" w:w="10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EV/EBITDA últimos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7.090</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14,2x / 16,6x / 20,1x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111,13</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136,35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171,15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-36,8 %</w:t>
            </w:r>
          </w:p>
        </w:tc>
      </w:tr>
      <w:tr>
        <w:trPr>
          <w:cantSplit/>
        </w:trPr>
        <w:tc>
          <w:tcPr>
            <w:tcW w:type="dxa" w:w="252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PER próximos 12 meses</w:t>
            </w:r>
          </w:p>
        </w:tc>
        <w:tc>
          <w:tcPr>
            <w:tcW w:type="dxa" w:w="11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8,5</w:t>
            </w:r>
          </w:p>
        </w:tc>
        <w:tc>
          <w:tcPr>
            <w:tcW w:type="dxa" w:w="183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20,8x / 23,3x / 24,3x</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177,42</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198,75</w:t>
            </w:r>
          </w:p>
        </w:tc>
        <w:tc>
          <w:tcPr>
            <w:tcW w:type="dxa" w:w="10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206,85</w:t>
            </w:r>
          </w:p>
        </w:tc>
        <w:tc>
          <w:tcPr>
            <w:tcW w:type="dxa" w:w="10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-7,8 %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700000"/>
            <wp:effectExtent l="0" t="0" r="0" b="0"/>
            <wp:docPr id="1013" name="Gráfico 13" descr="EV/EBITDA de los próximos 12 meses: empresa y comparables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3"/>
              </a:graphicData>
            </a:graphic>
          </wp:inline>
        </w:drawing>
      </w:r>
    </w:p>
    <w:p>
      <w:pPr>
        <w:keepNext w:val="false"/>
        <w:spacing w:after="160" w:before="120"/>
        <w:jc w:val="center"/>
      </w:pPr>
      <w:r>
        <w:drawing>
          <wp:inline xmlns:wp="http://schemas.openxmlformats.org/drawingml/2006/wordprocessingDrawing" distT="0" distB="0" distL="0" distR="0">
            <wp:extent cx="5760000" cy="3060000"/>
            <wp:effectExtent l="0" t="0" r="0" b="0"/>
            <wp:docPr id="1014" name="Gráfico 14" descr="Crecimiento esperado frente a múltiplo"/>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4"/>
              </a:graphicData>
            </a:graphic>
          </wp:inline>
        </w:drawing>
      </w:r>
    </w:p>
    <w:p>
      <w:pPr>
        <w:pStyle w:val="Heading1"/>
      </w:pPr>
      <w:r>
        <w:t xml:space="preserve">19. Transacciones precedentes</w:t>
      </w:r>
    </w:p>
    <w:p>
      <w:pPr>
        <w:pStyle w:val="Confianza"/>
        <w:spacing w:after="100"/>
      </w:pPr>
      <w:r>
        <w:t xml:space="preserve">Confianza: Baja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838"/>
        <w:gridCol w:w="1780"/>
        <w:gridCol w:w="1676"/>
        <w:gridCol w:w="838"/>
        <w:gridCol w:w="838"/>
        <w:gridCol w:w="838"/>
        <w:gridCol w:w="733"/>
        <w:gridCol w:w="2097"/>
      </w:tblGrid>
      <w:tr>
        <w:trPr>
          <w:cantSplit/>
          <w:tblHeader/>
        </w:trPr>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7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Objetivo</w:t>
            </w:r>
          </w:p>
        </w:tc>
        <w:tc>
          <w:tcPr>
            <w:tcW w:type="dxa" w:w="16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Comprador</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 (M)</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EV/Ventas</w:t>
            </w:r>
          </w:p>
        </w:tc>
        <w:tc>
          <w:tcPr>
            <w:tcW w:type="dxa" w:w="83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EV/EBITDA</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Prima</w:t>
            </w:r>
          </w:p>
        </w:tc>
        <w:tc>
          <w:tcPr>
            <w:tcW w:type="dxa" w:w="20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Comentario</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2026-04</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Masimo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18,0x</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38 %</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≈18x EBITDA 2027e, ≈15x con sinergias [A6].</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2023-12</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Abcam</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Anticuerpos.</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Clario</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Thermo Fisher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8.875</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9,86x</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Del análisis de Thermo Fisher de hoy.</w:t>
            </w:r>
          </w:p>
        </w:tc>
      </w:tr>
      <w:tr>
        <w:trPr>
          <w:cantSplit/>
        </w:trPr>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2020-03</w:t>
            </w:r>
          </w:p>
        </w:tc>
        <w:tc>
          <w:tcPr>
            <w:tcW w:type="dxa" w:w="17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Cytiva</w:t>
            </w:r>
          </w:p>
        </w:tc>
        <w:tc>
          <w:tcPr>
            <w:tcW w:type="dxa" w:w="16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21.100</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83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w:t>
            </w:r>
          </w:p>
        </w:tc>
        <w:tc>
          <w:tcPr>
            <w:tcW w:type="dxa" w:w="20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Bioprocesado de GE.</w:t>
            </w:r>
          </w:p>
        </w:tc>
      </w:tr>
    </w:tbl>
    <w:p>
      <w:pPr>
        <w:spacing w:after="160" w:before="0"/>
      </w:pPr>
    </w:p>
    <w:p>
      <w:pPr>
        <w:spacing w:after="160" w:before="0"/>
      </w:pPr>
    </w:p>
    <w:p>
      <w:pPr>
        <w:keepNext w:val="false"/>
        <w:spacing w:after="160" w:before="120"/>
        <w:jc w:val="center"/>
      </w:pPr>
      <w:r>
        <w:drawing>
          <wp:inline xmlns:wp="http://schemas.openxmlformats.org/drawingml/2006/wordprocessingDrawing" distT="0" distB="0" distL="0" distR="0">
            <wp:extent cx="5760000" cy="2520000"/>
            <wp:effectExtent l="0" t="0" r="0" b="0"/>
            <wp:docPr id="1015" name="Gráfico 15" descr="EV/EBITDA pagado en transacciones del sector (vec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5"/>
              </a:graphicData>
            </a:graphic>
          </wp:inline>
        </w:drawing>
      </w:r>
    </w:p>
    <w:p>
      <w:pPr>
        <w:pStyle w:val="Heading1"/>
      </w:pPr>
      <w:r>
        <w:t xml:space="preserve">20. Descuento de flujos de caja (DCF)</w:t>
      </w:r>
    </w:p>
    <w:p>
      <w:pPr>
        <w:pStyle w:val="Confianza"/>
        <w:spacing w:after="100"/>
      </w:pPr>
      <w:r>
        <w:t xml:space="preserve">Confianza: Media</w:t>
      </w:r>
    </w:p>
    <w:p>
      <w:pPr>
        <w:pStyle w:val="Heading2"/>
      </w:pPr>
      <w:r>
        <w:t xml:space="preserve">Coste medio ponderado del capital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413"/>
        <w:gridCol w:w="2225"/>
      </w:tblGrid>
      <w:tr>
        <w:trPr>
          <w:cantSplit/>
          <w:tblHeader/>
        </w:trPr>
        <w:tc>
          <w:tcPr>
            <w:tcW w:type="dxa" w:w="741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Componente</w:t>
            </w:r>
          </w:p>
        </w:tc>
        <w:tc>
          <w:tcPr>
            <w:tcW w:type="dxa" w:w="222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Tasa libre de riesgo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5,22 %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Beta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0,85</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de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adicional (país, tamaño, específica)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los fondos propios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9,89 %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antes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Tipo impositivo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Coste de la deuda después de impuestos</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Peso de la deuda (D / (D + E))</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12,00 %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WACC</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 de riesgo implícita del mercado (regla relativa)</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4,20 %</w:t>
            </w:r>
          </w:p>
        </w:tc>
      </w:tr>
      <w:tr>
        <w:trPr>
          <w:cantSplit/>
        </w:trPr>
        <w:tc>
          <w:tcPr>
            <w:tcW w:type="dxa" w:w="741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WACC con la prima implícita del mercado</w:t>
            </w:r>
          </w:p>
        </w:tc>
        <w:tc>
          <w:tcPr>
            <w:tcW w:type="dxa" w:w="222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8,23 %</w:t>
            </w:r>
          </w:p>
        </w:tc>
      </w:tr>
    </w:tbl>
    <w:p>
      <w:pPr>
        <w:spacing w:after="160" w:before="0"/>
      </w:pPr>
    </w:p>
    <w:p>
      <w:pPr>
        <w:pStyle w:val="Heading2"/>
      </w:pPr>
      <w:r>
        <w:t xml:space="preserve">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81"/>
        <w:gridCol w:w="937"/>
        <w:gridCol w:w="729"/>
        <w:gridCol w:w="885"/>
        <w:gridCol w:w="833"/>
        <w:gridCol w:w="781"/>
        <w:gridCol w:w="833"/>
        <w:gridCol w:w="781"/>
        <w:gridCol w:w="729"/>
        <w:gridCol w:w="833"/>
        <w:gridCol w:w="729"/>
        <w:gridCol w:w="787"/>
      </w:tblGrid>
      <w:tr>
        <w:trPr>
          <w:cantSplit/>
          <w:tblHeader/>
        </w:trPr>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93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Ingresos</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w:t>
            </w:r>
          </w:p>
        </w:tc>
        <w:tc>
          <w:tcPr>
            <w:tcW w:type="dxa" w:w="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EBITDA</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 EBITDA</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Amort.</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Impuestos</w:t>
            </w:r>
          </w:p>
        </w:tc>
        <w:tc>
          <w:tcPr>
            <w:tcW w:type="dxa" w:w="78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Capex</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Δ Circ.</w:t>
            </w:r>
          </w:p>
        </w:tc>
        <w:tc>
          <w:tcPr>
            <w:tcW w:type="dxa" w:w="8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FCFF</w:t>
            </w:r>
          </w:p>
        </w:tc>
        <w:tc>
          <w:tcPr>
            <w:tcW w:type="dxa" w:w="72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Fracción</w:t>
            </w:r>
          </w:p>
        </w:tc>
        <w:tc>
          <w:tcPr>
            <w:tcW w:type="dxa" w:w="78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7.695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3.980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0,21</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28.391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8.375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1.278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5.797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5.441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30.094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9.028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2.708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1.138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6.281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5.401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9.684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30,5 %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1.429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6.749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5.311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2030e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33.337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10.334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2.667</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1.500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238</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7.216</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5.201</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2031e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34.837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10.799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2.613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1.474</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7.533</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4.972</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2032e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36.231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2.536</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1.565</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1.630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7.827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4.733</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2033e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37.499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3,5 %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11.625</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2.250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1.687</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4.460</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2034e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38.624</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11.973</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1.931</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1.808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1.738</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169</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8.259</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4.186</w:t>
            </w:r>
          </w:p>
        </w:tc>
      </w:tr>
      <w:tr>
        <w:trPr>
          <w:cantSplit/>
        </w:trPr>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2035e</w:t>
            </w:r>
          </w:p>
        </w:tc>
        <w:tc>
          <w:tcPr>
            <w:tcW w:type="dxa" w:w="93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39.782</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3,0 %</w:t>
            </w:r>
          </w:p>
        </w:tc>
        <w:tc>
          <w:tcPr>
            <w:tcW w:type="dxa" w:w="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12.332</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31,0 %</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1.898</w:t>
            </w:r>
          </w:p>
        </w:tc>
        <w:tc>
          <w:tcPr>
            <w:tcW w:type="dxa" w:w="78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1.790</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174</w:t>
            </w:r>
          </w:p>
        </w:tc>
        <w:tc>
          <w:tcPr>
            <w:tcW w:type="dxa" w:w="8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8.471</w:t>
            </w:r>
          </w:p>
        </w:tc>
        <w:tc>
          <w:tcPr>
            <w:tcW w:type="dxa" w:w="72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1,00</w:t>
            </w:r>
          </w:p>
        </w:tc>
        <w:tc>
          <w:tcPr>
            <w:tcW w:type="dxa" w:w="78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3.932</w:t>
            </w:r>
          </w:p>
        </w:tc>
      </w:tr>
    </w:tbl>
    <w:p>
      <w:pPr>
        <w:spacing w:after="160" w:before="0"/>
      </w:pPr>
    </w:p>
    <w:p>
      <w:pPr>
        <w:pStyle w:val="Nota"/>
        <w:spacing w:after="100"/>
      </w:pPr>
      <w:r>
        <w:t xml:space="preserve">FCFF = EBIT × (1 − t) + amortizaciones − capex − variación del circulante. «Fracción» es la parte del ejercicio que queda por delante desde la fecha de valoración; VA, el valor actual.</w:t>
      </w:r>
    </w:p>
    <w:p>
      <w:pPr>
        <w:keepNext w:val="false"/>
        <w:spacing w:after="160" w:before="120"/>
        <w:jc w:val="center"/>
      </w:pPr>
      <w:r>
        <w:drawing>
          <wp:inline xmlns:wp="http://schemas.openxmlformats.org/drawingml/2006/wordprocessingDrawing" distT="0" distB="0" distL="0" distR="0">
            <wp:extent cx="5760000" cy="2160000"/>
            <wp:effectExtent l="0" t="0" r="0" b="0"/>
            <wp:docPr id="1016" name="Gráfico 16" descr="Flujo de caja libre para la empresa proyectado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6"/>
              </a:graphicData>
            </a:graphic>
          </wp:inline>
        </w:drawing>
      </w:r>
    </w:p>
    <w:p>
      <w:pPr>
        <w:pStyle w:val="Heading2"/>
      </w:pPr>
      <w:r>
        <w:t xml:space="preserve">Valor terminal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Método principal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Crecimiento a perpetuidad</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a perpetuidad</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3,0 %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EV/EBITDA de salida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140.735</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terminal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246.650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Múltiplo de salida implícito en Gordon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11,4x</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implícito en el múltiplo</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5,57 %</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en el 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59 %</w:t>
            </w:r>
          </w:p>
        </w:tc>
      </w:tr>
    </w:tbl>
    <w:p>
      <w:pPr>
        <w:spacing w:after="160" w:before="0"/>
      </w:pPr>
    </w:p>
    <w:p>
      <w:pPr>
        <w:pStyle w:val="Heading2"/>
      </w:pPr>
      <w:r>
        <w:t xml:space="preserve">Del valor empresa al valor por acción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139"/>
        <w:gridCol w:w="2499"/>
      </w:tblGrid>
      <w:tr>
        <w:trPr>
          <w:cantSplit/>
          <w:tblHeader/>
        </w:trPr>
        <w:tc>
          <w:tcPr>
            <w:tcW w:type="dxa" w:w="71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Concepto</w:t>
            </w:r>
          </w:p>
        </w:tc>
        <w:tc>
          <w:tcPr>
            <w:tcW w:type="dxa" w:w="249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Importe</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 los flujos proyectados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43.978</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actual del valor terminal</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62.557</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empresa</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106.536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Deuda financiera neta (con arrendamientos)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-22.210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 Minoritarios, pensiones y otros; + asociadas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Valor de los fondos propios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84.326</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Acciones diluidas (millones)</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702,9</w:t>
            </w:r>
          </w:p>
        </w:tc>
      </w:tr>
      <w:tr>
        <w:trPr>
          <w:cantSplit/>
        </w:trPr>
        <w:tc>
          <w:tcPr>
            <w:tcW w:type="dxa" w:w="71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 por acción</w:t>
            </w:r>
          </w:p>
        </w:tc>
        <w:tc>
          <w:tcPr>
            <w:tcW w:type="dxa" w:w="249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119,97</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7" name="Gráfico 17" descr="De dónde sale el valor empresa del DCF (USD, millones)"/>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7"/>
              </a:graphicData>
            </a:graphic>
          </wp:inline>
        </w:drawing>
      </w:r>
    </w:p>
    <w:p>
      <w:pPr>
        <w:pStyle w:val="Heading2"/>
      </w:pPr>
      <w:r>
        <w:t xml:space="preserve">Sensibilidad: WACC × Crecimiento a perpetuidad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WACC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2,5 %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3,0 %</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3,5 %</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4,0 %</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129,51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138,43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149,08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161,99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177,97</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8,7 %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117,33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124,64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155,92</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106,86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112,93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128,25</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138,11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9,7 %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97,77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108,69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115,47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123,44</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10,2 %</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89,79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94,09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98,98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104,61</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111,14</w:t>
            </w:r>
          </w:p>
        </w:tc>
      </w:tr>
    </w:tbl>
    <w:p>
      <w:pPr>
        <w:spacing w:after="160" w:before="0"/>
      </w:pPr>
    </w:p>
    <w:p>
      <w:pPr>
        <w:pStyle w:val="Heading2"/>
      </w:pPr>
      <w:r>
        <w:t xml:space="preserve">Sensibilidad: margen EBITDA × crecimiento de ingresos (desplazamiento de toda la proyección)</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606"/>
        <w:gridCol w:w="1606"/>
        <w:gridCol w:w="1606"/>
        <w:gridCol w:w="1606"/>
        <w:gridCol w:w="1606"/>
        <w:gridCol w:w="1608"/>
      </w:tblGrid>
      <w:tr>
        <w:trPr>
          <w:cantSplit/>
          <w:tblHeader/>
        </w:trPr>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Margen \ crec.</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0 pp</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+1 pp</w:t>
            </w:r>
          </w:p>
        </w:tc>
        <w:tc>
          <w:tcPr>
            <w:tcW w:type="dxa" w:w="160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+2 pp</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92,08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99,94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108,32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117,26</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126,76</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97,15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105,38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114,15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123,49</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133,45</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0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102,22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110,81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129,73</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140,13</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+1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107,29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116,24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125,79</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135,97</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146,81</w:t>
            </w:r>
          </w:p>
        </w:tc>
      </w:tr>
      <w:tr>
        <w:trPr>
          <w:cantSplit/>
        </w:trPr>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 pp</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112,36</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121,68</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131,61</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142,20</w:t>
            </w:r>
          </w:p>
        </w:tc>
        <w:tc>
          <w:tcPr>
            <w:tcW w:type="dxa" w:w="160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153,50</w:t>
            </w:r>
          </w:p>
        </w:tc>
      </w:tr>
    </w:tbl>
    <w:p>
      <w:pPr>
        <w:spacing w:after="160" w:before="0"/>
      </w:pPr>
    </w:p>
    <w:p>
      <w:pPr>
        <w:pStyle w:val="Heading2"/>
      </w:pPr>
      <w:r>
        <w:t xml:space="preserve">¿Puede la empresa sostener el crecimiento previsto?</w:t>
      </w:r>
    </w:p>
    <w:p>
      <w:pPr>
        <w:spacing w:after="100"/>
      </w:pPr>
      <w:r>
        <w:rPr>
          <w:b/>
          <w:bCs/>
        </w:rPr>
        <w:t xml:space="preserve">Veredicto: Sí.</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6646"/>
        <w:gridCol w:w="2992"/>
      </w:tblGrid>
      <w:tr>
        <w:trPr>
          <w:cantSplit/>
          <w:tblHeader/>
        </w:trPr>
        <w:tc>
          <w:tcPr>
            <w:tcW w:type="dxa" w:w="664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Prueba</w:t>
            </w:r>
          </w:p>
        </w:tc>
        <w:tc>
          <w:tcPr>
            <w:tcW w:type="dxa" w:w="29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Crecimiento medio de ingresos proyectado</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Capex bruto medio (incluidas compras si van como inversión)</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 de las ventas</w:t>
            </w:r>
          </w:p>
        </w:tc>
      </w:tr>
      <w:tr>
        <w:trPr>
          <w:cantSplit/>
        </w:trPr>
        <w:tc>
          <w:tcPr>
            <w:tcW w:type="dxa" w:w="664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Reinversión neta acumulada (capex − amortización + circulante)</w:t>
            </w:r>
          </w:p>
        </w:tc>
        <w:tc>
          <w:tcPr>
            <w:tcW w:type="dxa" w:w="29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-3.408 M (-5 % del NOPAT)</w:t>
            </w:r>
          </w:p>
        </w:tc>
      </w:tr>
    </w:tbl>
    <w:p>
      <w:pPr>
        <w:spacing w:after="160" w:before="0"/>
      </w:pPr>
    </w:p>
    <w:p>
      <w:pPr>
        <w:spacing w:after="100"/>
      </w:pPr>
      <w:r>
        <w:t xml:space="preserve">La proyección apenas necesita inversión neta de la amortización (reinversión acumulada de -3.408 M, con un capex bruto medio del 4,5 % de las ventas). En un negocio de activos ligeros, el crecimiento medio del 5,0 % tiene que salir de subir precios y de ganar volumen sin capital nuevo, y la prueba es el poder de precios y la cuota; en un comprador en serie, la amortización es de intangibles comprados y la prueba es el capex bruto (las compras) frente al crecimiento comprado.</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5141"/>
        <w:gridCol w:w="1028"/>
        <w:gridCol w:w="1028"/>
        <w:gridCol w:w="1285"/>
        <w:gridCol w:w="1156"/>
      </w:tblGrid>
      <w:tr>
        <w:trPr>
          <w:cantSplit/>
          <w:tblHeader/>
        </w:trPr>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Año</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Volumen</w:t>
            </w:r>
          </w:p>
        </w:tc>
        <w:tc>
          <w:tcPr>
            <w:tcW w:type="dxa" w:w="10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2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Otros (mezcla, compras)</w:t>
            </w:r>
          </w:p>
        </w:tc>
        <w:tc>
          <w:tcPr>
            <w:tcW w:type="dxa" w:w="115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Crecimiento</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2026e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2027e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2028e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+6,0 %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2029e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+5,5 %</w:t>
            </w:r>
          </w:p>
        </w:tc>
      </w:tr>
      <w:tr>
        <w:trPr>
          <w:cantSplit/>
        </w:trPr>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2030e</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+3,5 %</w:t>
            </w:r>
          </w:p>
        </w:tc>
        <w:tc>
          <w:tcPr>
            <w:tcW w:type="dxa" w:w="10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+1,5 %</w:t>
            </w:r>
          </w:p>
        </w:tc>
        <w:tc>
          <w:tcPr>
            <w:tcW w:type="dxa" w:w="12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0,0 %</w:t>
            </w:r>
          </w:p>
        </w:tc>
        <w:tc>
          <w:tcPr>
            <w:tcW w:type="dxa" w:w="115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+5,0 %</w:t>
            </w:r>
          </w:p>
        </w:tc>
      </w:tr>
    </w:tbl>
    <w:p>
      <w:pPr>
        <w:spacing w:after="160" w:before="0"/>
      </w:pPr>
    </w:p>
    <w:p>
      <w:pPr>
        <w:spacing w:after="100"/>
      </w:pPr>
      <w:r>
        <w:t xml:space="preserve">Sí. El orgánico proyectado (4-6 % desde 2027) es el del mercado de bioprocesado y diagnóstico en recuperación y el de la guía inicial de 2026 (3-6 %), sin ganar cuota; el resto de 2026-27 es Masimo, ya pagado. El capex del 4,5 % de las ventas está por encima de la amortización a partir de 2033 y la reinversión neta es pequeña, así que la prueba de financiación se hace a mano: el flujo libre (5.260 M en 2025) cubre capex, dividendo y la reducción de la deuda de Masimo. No hace falta rebajar el base.</w:t>
      </w:r>
    </w:p>
    <w:p>
      <w:pPr>
        <w:pStyle w:val="Heading2"/>
      </w:pPr>
      <w:r>
        <w:t xml:space="preserve">DCF inverso: qué descuenta el precio actual</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47"/>
        <w:gridCol w:w="5591"/>
      </w:tblGrid>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Crecimiento anual implícito en el precio (2027e-2035e)</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12,4 % (base: 4,6 %)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Margen EBITDA final implícito</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47,4 % (base: 31,0 %)</w:t>
            </w:r>
          </w:p>
        </w:tc>
      </w:tr>
      <w:tr>
        <w:trPr>
          <w:cantSplit/>
        </w:trPr>
        <w:tc>
          <w:tcPr>
            <w:tcW w:type="dxa" w:w="4047"/>
            <w:tcBorders>
              <w:top w:val="none" w:color="FFFFFF" w:sz="0"/>
              <w:left w:val="none" w:color="FFFFFF" w:sz="0"/>
              <w:bottom w:val="single" w:color="D9D8D3" w:sz="4"/>
              <w:right w:val="none" w:color="FFFFFF" w:sz="0"/>
            </w:tcBorders>
            <w:shd w:fill="F3F2EE" w:color="auto" w:val="clear"/>
            <w:tcMar>
              <w:top w:type="dxa" w:w="50"/>
              <w:left w:type="dxa" w:w="80"/>
              <w:bottom w:type="dxa" w:w="50"/>
              <w:right w:type="dxa" w:w="80"/>
            </w:tcMar>
          </w:tcPr>
          <w:p>
            <w:pPr>
              <w:spacing w:after="0" w:before="0"/>
              <w:jc w:val="left"/>
            </w:pPr>
            <w:r>
              <w:rPr>
                <w:rFonts w:ascii="Calibri" w:cs="Calibri" w:eastAsia="Calibri" w:hAnsi="Calibri"/>
                <w:b w:val="false"/>
                <w:bCs w:val="false"/>
                <w:color w:val="52514E"/>
                <w:sz w:val="16"/>
                <w:szCs w:val="16"/>
              </w:rPr>
              <w:t xml:space="preserve">Rentabilidad anual implícita (TIR al precio actual)</w:t>
            </w:r>
          </w:p>
        </w:tc>
        <w:tc>
          <w:tcPr>
            <w:tcW w:type="dxa" w:w="559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7"/>
                <w:szCs w:val="17"/>
              </w:rPr>
              <w:t xml:space="preserve">6,8 % (WACC: 9,2 %)</w:t>
            </w:r>
          </w:p>
        </w:tc>
      </w:tr>
    </w:tbl>
    <w:p>
      <w:pPr>
        <w:spacing w:after="160" w:before="0"/>
      </w:pPr>
    </w:p>
    <w:p>
      <w:pPr>
        <w:spacing w:after="100"/>
      </w:pPr>
      <w:r>
        <w:t xml:space="preserve">El DCF da un valor muy por debajo del precio con un WACC del 9,2 % y el bono al 5,22 %: como en Thermo Fisher, el mercado paga a Danaher un múltiplo que el flujo libre (≈3,5 % de rentabilidad) no justifica con estos tipos. El DCF inverso exige un crecimiento muy superior al de nuestro base.</w:t>
      </w:r>
    </w:p>
    <w:p>
      <w:pPr>
        <w:pStyle w:val="Heading1"/>
      </w:pPr>
      <w:r>
        <w:t xml:space="preserve">21. Escenarios</w:t>
      </w:r>
    </w:p>
    <w:p>
      <w:pPr>
        <w:pStyle w:val="Confianza"/>
        <w:spacing w:after="100"/>
      </w:pPr>
      <w:r>
        <w:t xml:space="preserve">Confianza: Media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082"/>
        <w:gridCol w:w="649"/>
        <w:gridCol w:w="866"/>
        <w:gridCol w:w="866"/>
        <w:gridCol w:w="758"/>
        <w:gridCol w:w="866"/>
        <w:gridCol w:w="866"/>
        <w:gridCol w:w="3685"/>
      </w:tblGrid>
      <w:tr>
        <w:trPr>
          <w:cantSplit/>
          <w:tblHeader/>
        </w:trPr>
        <w:tc>
          <w:tcPr>
            <w:tcW w:type="dxa" w:w="108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64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Prob.</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Crec. medio</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Margen final</w:t>
            </w:r>
          </w:p>
        </w:tc>
        <w:tc>
          <w:tcPr>
            <w:tcW w:type="dxa" w:w="75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WACC</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w:t>
            </w:r>
          </w:p>
        </w:tc>
        <w:tc>
          <w:tcPr>
            <w:tcW w:type="dxa" w:w="8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36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tiene que ocurrir</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29,5 %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88,95</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-58,7 %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bioprocesado no recupera (los retrasos de clientes se repiten), el respiratorio de Cepheid cae y Masimo diluye margen: orgánico del 2 % y un punto y medio menos de margen.</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50 %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4,6 %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31,0 %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El orgánico vuelve al 4-5 % en 2027 con la recuperación del bioprocesado (pedidos +mid-teens en el 2T26), Masimo aporta un año completo y el margen sube medio punto al año.</w:t>
            </w:r>
          </w:p>
        </w:tc>
      </w:tr>
      <w:tr>
        <w:trPr>
          <w:cantSplit/>
        </w:trPr>
        <w:tc>
          <w:tcPr>
            <w:tcW w:type="dxa" w:w="108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64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25 %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6,1 %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31,5 %</w:t>
            </w:r>
          </w:p>
        </w:tc>
        <w:tc>
          <w:tcPr>
            <w:tcW w:type="dxa" w:w="75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9,2 %</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138,08</w:t>
            </w:r>
          </w:p>
        </w:tc>
        <w:tc>
          <w:tcPr>
            <w:tcW w:type="dxa" w:w="8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-36,0 %</w:t>
            </w:r>
          </w:p>
        </w:tc>
        <w:tc>
          <w:tcPr>
            <w:tcW w:type="dxa" w:w="36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Ciclo fuerte de biológicos (GLP-1, anticuerpos, terapias génicas) y sinergias de Masimo antes de lo previsto: orgánico del 6-7 %.</w:t>
            </w:r>
          </w:p>
        </w:tc>
      </w:tr>
    </w:tbl>
    <w:p>
      <w:pPr>
        <w:spacing w:after="160" w:before="0"/>
      </w:pPr>
    </w:p>
    <w:p>
      <w:pPr>
        <w:keepNext w:val="false"/>
        <w:spacing w:after="160" w:before="120"/>
        <w:jc w:val="center"/>
      </w:pPr>
      <w:r>
        <w:drawing>
          <wp:inline xmlns:wp="http://schemas.openxmlformats.org/drawingml/2006/wordprocessingDrawing" distT="0" distB="0" distL="0" distR="0">
            <wp:extent cx="5760000" cy="2160000"/>
            <wp:effectExtent l="0" t="0" r="0" b="0"/>
            <wp:docPr id="1018" name="Gráfico 18" descr="Valor por acción por escenario (USD) · precio actual 215,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8"/>
              </a:graphicData>
            </a:graphic>
          </wp:inline>
        </w:drawing>
      </w:r>
    </w:p>
    <w:p>
      <w:pPr>
        <w:spacing w:after="100"/>
      </w:pPr>
      <w:r>
        <w:rPr>
          <w:b/>
          <w:bCs/>
        </w:rPr>
        <w:t xml:space="preserve">Valor ponderado por probabilidad:</w:t>
      </w:r>
      <w:r>
        <w:t xml:space="preserve"> 116,74 USD (-45,9 %).</w:t>
      </w:r>
    </w:p>
    <w:p>
      <w:pPr>
        <w:pStyle w:val="Heading1"/>
      </w:pPr>
      <w:r>
        <w:t xml:space="preserve">22. Suma de partes</w:t>
      </w:r>
    </w:p>
    <w:p>
      <w:pPr>
        <w:pStyle w:val="Confianza"/>
        <w:spacing w:after="100"/>
      </w:pPr>
      <w:r>
        <w:t xml:space="preserve">Confianza: Baja</w:t>
      </w:r>
    </w:p>
    <w:p>
      <w:pPr>
        <w:spacing w:after="100"/>
      </w:pPr>
      <w:r>
        <w:t xml:space="preserve">No aplica: sin resultados por segmento en los extractos.</w:t>
      </w:r>
    </w:p>
    <w:p>
      <w:pPr>
        <w:spacing w:after="160" w:before="0"/>
      </w:pPr>
    </w:p>
    <w:p>
      <w:pPr>
        <w:pStyle w:val="Heading1"/>
      </w:pPr>
      <w:r>
        <w:t xml:space="preserve">23. Síntesis de valoración</w:t>
      </w:r>
    </w:p>
    <w:p>
      <w:pPr>
        <w:pStyle w:val="Confianza"/>
        <w:spacing w:after="100"/>
      </w:pPr>
      <w:r>
        <w:t xml:space="preserve">Confianza: Media</w:t>
      </w:r>
    </w:p>
    <w:p>
      <w:pPr>
        <w:keepNext w:val="false"/>
        <w:spacing w:after="160" w:before="120"/>
        <w:jc w:val="center"/>
      </w:pPr>
      <w:r>
        <w:drawing>
          <wp:inline xmlns:wp="http://schemas.openxmlformats.org/drawingml/2006/wordprocessingDrawing" distT="0" distB="0" distL="0" distR="0">
            <wp:extent cx="5760000" cy="2880000"/>
            <wp:effectExtent l="0" t="0" r="0" b="0"/>
            <wp:docPr id="1019" name="Gráfico 19" descr="Valor por acción según cada método (USD) · precio actual 215,60"/>
            <wp:cNvGraphicFramePr/>
            <a:graphic xmlns:a="http://schemas.openxmlformats.org/drawingml/2006/main">
              <a:graphicData uri="http://schemas.openxmlformats.org/drawingml/2006/chart">
                <c:chart xmlns:c="http://schemas.openxmlformats.org/drawingml/2006/chart" xmlns:r="http://schemas.openxmlformats.org/officeDocument/2006/relationships" r:id="rIdGrafico19"/>
              </a:graphicData>
            </a:graphic>
          </wp:inline>
        </w:drawing>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606"/>
        <w:gridCol w:w="1606"/>
        <w:gridCol w:w="1607"/>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Mínimo</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Central</w:t>
            </w:r>
          </w:p>
        </w:tc>
        <w:tc>
          <w:tcPr>
            <w:tcW w:type="dxa" w:w="16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Máximo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Cotización 52 semanas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160,93</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242,80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Precio objetivo de los analistas</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200,00</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230,89</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265,00</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PER NTM</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177,42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198,75</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206,85</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(WACC y g ± 0,5)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102,85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143,49</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Escenarios (bajista – alcista)</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88,95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116,74</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138,08</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con la prima del mercado</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132,45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148,12</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167,14</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actual</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214,52</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215,60</w:t>
            </w:r>
          </w:p>
        </w:tc>
        <w:tc>
          <w:tcPr>
            <w:tcW w:type="dxa" w:w="16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216,68</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19"/>
        <w:gridCol w:w="1927"/>
        <w:gridCol w:w="1606"/>
        <w:gridCol w:w="1286"/>
      </w:tblGrid>
      <w:tr>
        <w:trPr>
          <w:cantSplit/>
          <w:tblHeader/>
        </w:trPr>
        <w:tc>
          <w:tcPr>
            <w:tcW w:type="dxa" w:w="48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Método</w:t>
            </w:r>
          </w:p>
        </w:tc>
        <w:tc>
          <w:tcPr>
            <w:tcW w:type="dxa" w:w="192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Valor por acción</w:t>
            </w:r>
          </w:p>
        </w:tc>
        <w:tc>
          <w:tcPr>
            <w:tcW w:type="dxa" w:w="160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Potencial</w:t>
            </w:r>
          </w:p>
        </w:tc>
        <w:tc>
          <w:tcPr>
            <w:tcW w:type="dxa" w:w="128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Peso</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119,97</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-44,4 %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Comparables (mediana EV/EBITDA y PER)</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198,75</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-7,8 %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40 %</w:t>
            </w:r>
          </w:p>
        </w:tc>
      </w:tr>
      <w:tr>
        <w:trPr>
          <w:cantSplit/>
        </w:trPr>
        <w:tc>
          <w:tcPr>
            <w:tcW w:type="dxa" w:w="48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Escenarios ponderados</w:t>
            </w:r>
          </w:p>
        </w:tc>
        <w:tc>
          <w:tcPr>
            <w:tcW w:type="dxa" w:w="192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116,74</w:t>
            </w:r>
          </w:p>
        </w:tc>
        <w:tc>
          <w:tcPr>
            <w:tcW w:type="dxa" w:w="160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-45,9 %</w:t>
            </w:r>
          </w:p>
        </w:tc>
        <w:tc>
          <w:tcPr>
            <w:tcW w:type="dxa" w:w="128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20 %</w:t>
            </w:r>
          </w:p>
        </w:tc>
      </w:tr>
    </w:tbl>
    <w:p>
      <w:pPr>
        <w:spacing w:after="160" w:before="0"/>
      </w:pPr>
    </w:p>
    <w:p>
      <w:pPr>
        <w:spacing w:after="100"/>
      </w:pPr>
      <w:r>
        <w:rPr>
          <w:b/>
          <w:bCs/>
        </w:rPr>
        <w:t xml:space="preserve">Valor intrínseco ponderado (largo plazo):</w:t>
      </w:r>
      <w:r>
        <w:t xml:space="preserve"> 150,84 USD (-30,0 % sobre 215,60).</w:t>
      </w:r>
    </w:p>
    <w:p>
      <w:pPr>
        <w:pStyle w:val="Heading2"/>
      </w:pPr>
      <w:r>
        <w:t xml:space="preserve">Objetivo a 12 meses: nuestro PER × nuestro BPA</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376"/>
        <w:gridCol w:w="1101"/>
        <w:gridCol w:w="963"/>
        <w:gridCol w:w="3579"/>
        <w:gridCol w:w="1239"/>
        <w:gridCol w:w="1380"/>
      </w:tblGrid>
      <w:tr>
        <w:trPr>
          <w:cantSplit/>
          <w:tblHeader/>
        </w:trPr>
        <w:tc>
          <w:tcPr>
            <w:tcW w:type="dxa" w:w="137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Escenario</w:t>
            </w:r>
          </w:p>
        </w:tc>
        <w:tc>
          <w:tcPr>
            <w:tcW w:type="dxa" w:w="110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BPA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PER</w:t>
            </w:r>
          </w:p>
        </w:tc>
        <w:tc>
          <w:tcPr>
            <w:tcW w:type="dxa" w:w="357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 dónde sale el PER</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Precio</w:t>
            </w:r>
          </w:p>
        </w:tc>
        <w:tc>
          <w:tcPr>
            <w:tcW w:type="dxa" w:w="138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Rentabilidad</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Bajista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9,55</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20,2x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 0.8</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192,91</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-9,9 %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Base</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10,30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25,2x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PER actual (22.9x) × 1.1 (tope: la mediana de 5 años, 40.3x, queda más lejos)</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259,56</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+21,0 %</w:t>
            </w:r>
          </w:p>
        </w:tc>
      </w:tr>
      <w:tr>
        <w:trPr>
          <w:cantSplit/>
        </w:trPr>
        <w:tc>
          <w:tcPr>
            <w:tcW w:type="dxa" w:w="137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Alcista</w:t>
            </w:r>
          </w:p>
        </w:tc>
        <w:tc>
          <w:tcPr>
            <w:tcW w:type="dxa" w:w="110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10,90</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34,0x</w:t>
            </w:r>
          </w:p>
        </w:tc>
        <w:tc>
          <w:tcPr>
            <w:tcW w:type="dxa" w:w="357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techo de base × 1.35</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370,60</w:t>
            </w:r>
          </w:p>
        </w:tc>
        <w:tc>
          <w:tcPr>
            <w:tcW w:type="dxa" w:w="138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+72,5 %</w:t>
            </w:r>
          </w:p>
        </w:tc>
      </w:tr>
    </w:tbl>
    <w:p>
      <w:pPr>
        <w:spacing w:after="160" w:before="0"/>
      </w:pPr>
    </w:p>
    <w:p>
      <w:pPr>
        <w:spacing w:after="100"/>
      </w:pPr>
      <w:r>
        <w:rPr>
          <w:b/>
          <w:bCs/>
        </w:rPr>
        <w:t xml:space="preserve">Objetivo a 12 meses (ponderado):</w:t>
      </w:r>
      <w:r>
        <w:t xml:space="preserve"> 270,66 USD · rentabilidad +26,1 % (base +21,0 %) · señal Mantener.</w:t>
      </w:r>
    </w:p>
    <w:p>
      <w:pPr>
        <w:spacing w:after="100"/>
      </w:pPr>
      <w:r>
        <w:t xml:space="preserve">Para comparar, con la regla v2 (historia al cierre, mismo precio): 19,5x / 22,9x / 29,8x, 14,6 % Mantener; con el tope anterior del base (×1,3, 14-oct mediodía): 49,0 % Mantener. Decide la regla vigente (v3 con tope ×1,1; METODO-VIGENTE.md).</w:t>
      </w:r>
    </w:p>
    <w:p>
      <w:r>
        <w:br w:type="page"/>
      </w:r>
    </w:p>
    <w:p>
      <w:pPr>
        <w:pStyle w:val="Parte"/>
      </w:pPr>
      <w:r>
        <w:t xml:space="preserve">Parte V — Tesis, riesgos y seguimiento</w:t>
      </w:r>
    </w:p>
    <w:p>
      <w:pPr>
        <w:pStyle w:val="Heading1"/>
      </w:pPr>
      <w:r>
        <w:t xml:space="preserve">24. Catalizadores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189"/>
        <w:gridCol w:w="3093"/>
        <w:gridCol w:w="3569"/>
        <w:gridCol w:w="832"/>
        <w:gridCol w:w="955"/>
      </w:tblGrid>
      <w:tr>
        <w:trPr>
          <w:cantSplit/>
          <w:tblHeader/>
        </w:trPr>
        <w:tc>
          <w:tcPr>
            <w:tcW w:type="dxa" w:w="11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309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Evento</w:t>
            </w:r>
          </w:p>
        </w:tc>
        <w:tc>
          <w:tcPr>
            <w:tcW w:type="dxa" w:w="356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sabrá</w:t>
            </w:r>
          </w:p>
        </w:tc>
        <w:tc>
          <w:tcPr>
            <w:tcW w:type="dxa" w:w="83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95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Sentido</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21-oct-2026</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Resultados del 3T26</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Guía de orgánico del 2-3 % en el trimestre; la clave son los pedidos de bioprocesado y si los ≈100 M de resinas siguen en 2027 [4].</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w:t>
            </w:r>
          </w:p>
        </w:tc>
      </w:tr>
      <w:tr>
        <w:trPr>
          <w:cantSplit/>
        </w:trPr>
        <w:tc>
          <w:tcPr>
            <w:tcW w:type="dxa" w:w="11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Ene-2027</w:t>
            </w:r>
          </w:p>
        </w:tc>
        <w:tc>
          <w:tcPr>
            <w:tcW w:type="dxa" w:w="309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Guía de 2027</w:t>
            </w:r>
          </w:p>
        </w:tc>
        <w:tc>
          <w:tcPr>
            <w:tcW w:type="dxa" w:w="356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Primera guía con Masimo un año completo; nuestro base pide ≈9,40 USD de BPA.</w:t>
            </w:r>
          </w:p>
        </w:tc>
        <w:tc>
          <w:tcPr>
            <w:tcW w:type="dxa" w:w="83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Alta</w:t>
            </w:r>
          </w:p>
        </w:tc>
        <w:tc>
          <w:tcPr>
            <w:tcW w:type="dxa" w:w="95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w:t>
            </w:r>
          </w:p>
        </w:tc>
      </w:tr>
    </w:tbl>
    <w:p>
      <w:pPr>
        <w:spacing w:after="160" w:before="0"/>
      </w:pPr>
    </w:p>
    <w:p>
      <w:pPr>
        <w:pStyle w:val="Heading1"/>
      </w:pPr>
      <w:r>
        <w:t xml:space="preserve">25. Riesgos y pre-mortem</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19"/>
        <w:gridCol w:w="2095"/>
        <w:gridCol w:w="942"/>
        <w:gridCol w:w="628"/>
        <w:gridCol w:w="733"/>
        <w:gridCol w:w="1047"/>
        <w:gridCol w:w="1885"/>
        <w:gridCol w:w="1889"/>
      </w:tblGrid>
      <w:tr>
        <w:trPr>
          <w:cantSplit/>
          <w:tblHeader/>
        </w:trPr>
        <w:tc>
          <w:tcPr>
            <w:tcW w:type="dxa" w:w="41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209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Riesgo</w:t>
            </w:r>
          </w:p>
        </w:tc>
        <w:tc>
          <w:tcPr>
            <w:tcW w:type="dxa" w:w="94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6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Prob.</w:t>
            </w:r>
          </w:p>
        </w:tc>
        <w:tc>
          <w:tcPr>
            <w:tcW w:type="dxa" w:w="73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Impacto</w:t>
            </w:r>
          </w:p>
        </w:tc>
        <w:tc>
          <w:tcPr>
            <w:tcW w:type="dxa" w:w="104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Efecto en valor</w:t>
            </w:r>
          </w:p>
        </w:tc>
        <w:tc>
          <w:tcPr>
            <w:tcW w:type="dxa" w:w="18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Mitigante</w:t>
            </w:r>
          </w:p>
        </w:tc>
        <w:tc>
          <w:tcPr>
            <w:tcW w:type="dxa" w:w="188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Señal de alerta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Retrasos de bioprocesado que se repiten</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 del objetivo a 12 meses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+mid-teens en el 2T26 [4].</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Pedidos por debajo de las ventas dos trimestres.</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2</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Masimo diluye rentabilidad y distrae</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Ejecución</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≈−5 % si el BPA de 2027e queda en 9,0 USD</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Business System; historial de integración (Cytiva, Pall).</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Margen de Diagnóstico a la baja.</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3</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Caída del respiratorio de Cepheid</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Mercado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Resta 1-1,5 puntos de orgánico</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Base instalada de GeneXpert.</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Temporada de gripe débil.</w:t>
            </w:r>
          </w:p>
        </w:tc>
      </w:tr>
      <w:tr>
        <w:trPr>
          <w:cantSplit/>
        </w:trPr>
        <w:tc>
          <w:tcPr>
            <w:tcW w:type="dxa" w:w="41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4</w:t>
            </w:r>
          </w:p>
        </w:tc>
        <w:tc>
          <w:tcPr>
            <w:tcW w:type="dxa" w:w="209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Deuda de Masimo con tipos altos</w:t>
            </w:r>
          </w:p>
        </w:tc>
        <w:tc>
          <w:tcPr>
            <w:tcW w:type="dxa" w:w="94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Financiero</w:t>
            </w:r>
          </w:p>
        </w:tc>
        <w:tc>
          <w:tcPr>
            <w:tcW w:type="dxa" w:w="6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Baja</w:t>
            </w:r>
          </w:p>
        </w:tc>
        <w:tc>
          <w:tcPr>
            <w:tcW w:type="dxa" w:w="73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104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Menos recompras</w:t>
            </w:r>
          </w:p>
        </w:tc>
        <w:tc>
          <w:tcPr>
            <w:tcW w:type="dxa" w:w="18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FCF de ≈5.300 M al año [2].</w:t>
            </w:r>
          </w:p>
        </w:tc>
        <w:tc>
          <w:tcPr>
            <w:tcW w:type="dxa" w:w="188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Deuda neta/EBITDA &gt; 3x a finales de 2027.</w:t>
            </w:r>
          </w:p>
        </w:tc>
      </w:tr>
    </w:tbl>
    <w:p>
      <w:pPr>
        <w:spacing w:after="160" w:before="0"/>
      </w:pPr>
    </w:p>
    <w:p>
      <w:pPr>
        <w:pStyle w:val="Heading1"/>
      </w:pPr>
      <w:r>
        <w:t xml:space="preserve">26. ESG y controversias</w:t>
      </w:r>
    </w:p>
    <w:p>
      <w:pPr>
        <w:pStyle w:val="Confianza"/>
        <w:spacing w:after="100"/>
      </w:pPr>
      <w:r>
        <w:t xml:space="preserve">Confianza: Baja</w:t>
      </w:r>
    </w:p>
    <w:p>
      <w:pPr>
        <w:spacing w:after="160" w:before="0"/>
      </w:pPr>
    </w:p>
    <w:p>
      <w:pPr>
        <w:pStyle w:val="Heading2"/>
      </w:pPr>
      <w:r>
        <w:t xml:space="preserve">Asuntos materiales</w:t>
      </w:r>
    </w:p>
    <w:p>
      <w:pPr>
        <w:spacing w:after="100"/>
      </w:pPr>
      <w:r>
        <w:t xml:space="preserve">Los asuntos materiales son la seguridad y calidad de productos validados ante el regulador (bioproducción, diagnóstico), la exposición a China y a los aranceles, y la remuneración del primer ejecutivo. No hemos podido leer el informe de sostenibilidad (hueco).</w:t>
      </w:r>
    </w:p>
    <w:p>
      <w:pPr>
        <w:pStyle w:val="Heading2"/>
      </w:pPr>
      <w:r>
        <w:t xml:space="preserve">Controversias</w:t>
      </w:r>
    </w:p>
    <w:p>
      <w:pPr>
        <w:spacing w:after="100"/>
      </w:pPr>
      <w:r>
        <w:t xml:space="preserve">La remuneración de 79,9 M USD de 2025 obligó a la empresa a hacer campaña por el voto en la junta de 2026 [2]. No hemos encontrado sanciones relevantes en los últimos tres años con la búsqueda disponible.</w:t>
      </w:r>
    </w:p>
    <w:p>
      <w:pPr>
        <w:pStyle w:val="Heading1"/>
      </w:pPr>
      <w:r>
        <w:t xml:space="preserve">27. Preguntas abiertas para la dirección y la due diligence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88"/>
        <w:gridCol w:w="1585"/>
        <w:gridCol w:w="4392"/>
        <w:gridCol w:w="3173"/>
      </w:tblGrid>
      <w:tr>
        <w:trPr>
          <w:cantSplit/>
          <w:tblHeader/>
        </w:trPr>
        <w:tc>
          <w:tcPr>
            <w:tcW w:type="dxa" w:w="48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w:t>
            </w:r>
          </w:p>
        </w:tc>
        <w:tc>
          <w:tcPr>
            <w:tcW w:type="dxa" w:w="158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439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Pregunta</w:t>
            </w:r>
          </w:p>
        </w:tc>
        <w:tc>
          <w:tcPr>
            <w:tcW w:type="dxa" w:w="317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Por qué importa</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1</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Bioprocesado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¿Cuánto del retraso de resinas es calendario y cuánto pérdida de cuota?</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Decide el orgánico de 2027.</w:t>
            </w:r>
          </w:p>
        </w:tc>
      </w:tr>
      <w:tr>
        <w:trPr>
          <w:cantSplit/>
        </w:trPr>
        <w:tc>
          <w:tcPr>
            <w:tcW w:type="dxa" w:w="48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2</w:t>
            </w:r>
          </w:p>
        </w:tc>
        <w:tc>
          <w:tcPr>
            <w:tcW w:type="dxa" w:w="158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Masimo</w:t>
            </w:r>
          </w:p>
        </w:tc>
        <w:tc>
          <w:tcPr>
            <w:tcW w:type="dxa" w:w="439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¿Cuál es la aportación de Masimo al BPA de 2027?</w:t>
            </w:r>
          </w:p>
        </w:tc>
        <w:tc>
          <w:tcPr>
            <w:tcW w:type="dxa" w:w="317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Decide el BPA de 2027e del base.</w:t>
            </w:r>
          </w:p>
        </w:tc>
      </w:tr>
    </w:tbl>
    <w:p>
      <w:pPr>
        <w:spacing w:after="160" w:before="0"/>
      </w:pPr>
    </w:p>
    <w:p>
      <w:pPr>
        <w:pStyle w:val="Heading1"/>
      </w:pPr>
      <w:r>
        <w:t xml:space="preserve">28. Sentimiento en foros y comentarios</w:t>
      </w:r>
    </w:p>
    <w:p>
      <w:pPr>
        <w:pStyle w:val="Confianza"/>
        <w:spacing w:after="100"/>
      </w:pPr>
      <w:r>
        <w:t xml:space="preserve">Confianza: Baja</w:t>
      </w:r>
    </w:p>
    <w:p>
      <w:pPr>
        <w:spacing w:after="100"/>
      </w:pPr>
      <w:r>
        <w:rPr>
          <w:b/>
          <w:bCs/>
        </w:rPr>
        <w:t xml:space="preserve">Tono:</w:t>
      </w:r>
      <w:r>
        <w:t xml:space="preserve"> Negativo · </w:t>
      </w:r>
      <w:r>
        <w:rPr>
          <w:b/>
          <w:bCs/>
        </w:rPr>
        <w:t xml:space="preserve">Tendencia:</w:t>
      </w:r>
      <w:r>
        <w:t xml:space="preserve"> Estable</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168"/>
        <w:gridCol w:w="963"/>
        <w:gridCol w:w="1084"/>
        <w:gridCol w:w="1084"/>
        <w:gridCol w:w="4339"/>
      </w:tblGrid>
      <w:tr>
        <w:trPr>
          <w:cantSplit/>
          <w:tblHeader/>
        </w:trPr>
        <w:tc>
          <w:tcPr>
            <w:tcW w:type="dxa" w:w="216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Dónde</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Comentarios</w:t>
            </w:r>
          </w:p>
        </w:tc>
        <w:tc>
          <w:tcPr>
            <w:tcW w:type="dxa" w:w="108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Tono</w:t>
            </w:r>
          </w:p>
        </w:tc>
        <w:tc>
          <w:tcPr>
            <w:tcW w:type="dxa" w:w="43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se dice</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TIKR (blog con modelos de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2026-07</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Tras caer un 11-15 % con el 2T26 por el retraso de ≈100 M de resinas de bioprocesado, se pregunta si puede volver a 248 USD; ve el retraso como de calendario, con pedidos al alza [10, 23].</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Weiss Ratings (alertas a inversores)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2026-04</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Negativo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«¿Debo deshacerme de este valor?» tras una caída del 12,2 %: el bioprocesado decepcionó y la revisión de la guía amplificó la ansiedad [24].</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Simply Wall St (narrativas de la comunidad)</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2026-05</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Positivo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La narrativa más seguida espera que la recuperación del bioprocesado y Masimo sostengan un múltiplo de prima, con valor razonable de ≈248 USD [25].</w:t>
            </w:r>
          </w:p>
        </w:tc>
      </w:tr>
      <w:tr>
        <w:trPr>
          <w:cantSplit/>
        </w:trPr>
        <w:tc>
          <w:tcPr>
            <w:tcW w:type="dxa" w:w="216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Walnut Invest (resumen de opiniones)</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2026-06</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3</w:t>
            </w:r>
          </w:p>
        </w:tc>
        <w:tc>
          <w:tcPr>
            <w:tcW w:type="dxa" w:w="108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Dividido</w:t>
            </w:r>
          </w:p>
        </w:tc>
        <w:tc>
          <w:tcPr>
            <w:tcW w:type="dxa" w:w="43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Unos esperan el rebote por los pedidos de biotecnología; otros dudan de la dependencia de compras y prefieren Thermo Fisher [26].</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202"/>
        <w:gridCol w:w="1239"/>
        <w:gridCol w:w="963"/>
        <w:gridCol w:w="5234"/>
      </w:tblGrid>
      <w:tr>
        <w:trPr>
          <w:cantSplit/>
          <w:tblHeader/>
        </w:trPr>
        <w:tc>
          <w:tcPr>
            <w:tcW w:type="dxa" w:w="2202"/>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Tema</w:t>
            </w:r>
          </w:p>
        </w:tc>
        <w:tc>
          <w:tcPr>
            <w:tcW w:type="dxa" w:w="1239"/>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Postura</w:t>
            </w:r>
          </w:p>
        </w:tc>
        <w:tc>
          <w:tcPr>
            <w:tcW w:type="dxa" w:w="9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Peso</w:t>
            </w:r>
          </w:p>
        </w:tc>
        <w:tc>
          <w:tcPr>
            <w:tcW w:type="dxa" w:w="523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Qué dicen los datos</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Retraso del bioprocesado</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Alto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Orgánico del 3 % en el 2T26 con pedidos +mid-teens y ≈100 M desplazados a 2027 [A4].</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Masimo: diversificación o distracción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Bajista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≈9.900 M a ≈18x EBITDA; deuda de 26.558 M a junio [A5, A6].</w:t>
            </w:r>
          </w:p>
        </w:tc>
      </w:tr>
      <w:tr>
        <w:trPr>
          <w:cantSplit/>
        </w:trPr>
        <w:tc>
          <w:tcPr>
            <w:tcW w:type="dxa" w:w="2202"/>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Valoración</w:t>
            </w:r>
          </w:p>
        </w:tc>
        <w:tc>
          <w:tcPr>
            <w:tcW w:type="dxa" w:w="1239"/>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Dividida</w:t>
            </w:r>
          </w:p>
        </w:tc>
        <w:tc>
          <w:tcPr>
            <w:tcW w:type="dxa" w:w="9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Medio</w:t>
            </w:r>
          </w:p>
        </w:tc>
        <w:tc>
          <w:tcPr>
            <w:tcW w:type="dxa" w:w="523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≈25x el BPA de 2026e de guía (8,53 USD), por debajo de los 29-31x de 2023-2025.</w:t>
            </w:r>
          </w:p>
        </w:tc>
      </w:tr>
    </w:tbl>
    <w:p>
      <w:pPr>
        <w:spacing w:after="160" w:before="0"/>
      </w:pPr>
    </w:p>
    <w:p>
      <w:pPr>
        <w:pStyle w:val="Nota"/>
        <w:spacing w:after="100"/>
      </w:pPr>
      <w:r>
        <w:t xml:space="preserve">Opiniones de inversores en foros, redes y comentarios de prensa: sirven para saber qué preocupa o entusiasma al mercado, no como fuente de cifras. No entran en la valoración.</w:t>
      </w:r>
    </w:p>
    <w:p>
      <w:r>
        <w:br w:type="page"/>
      </w:r>
    </w:p>
    <w:p>
      <w:pPr>
        <w:pStyle w:val="Parte"/>
      </w:pPr>
      <w:r>
        <w:t xml:space="preserve">Anexos</w:t>
      </w:r>
    </w:p>
    <w:p>
      <w:pPr>
        <w:pStyle w:val="Heading1"/>
      </w:pPr>
      <w:r>
        <w:t xml:space="preserve">A. Controles de calidad del análisis</w:t>
      </w:r>
    </w:p>
    <w:p>
      <w:pPr>
        <w:spacing w:after="100"/>
      </w:pPr>
      <w:r>
        <w:t xml:space="preserve">14 de 17 controles correctos y 1 explicados. Fuentes: 26 (6 primarias); citas distintas en el texto: 22.</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005"/>
        <w:gridCol w:w="1126"/>
        <w:gridCol w:w="4507"/>
      </w:tblGrid>
      <w:tr>
        <w:trPr>
          <w:cantSplit/>
          <w:tblHeader/>
        </w:trPr>
        <w:tc>
          <w:tcPr>
            <w:tcW w:type="dxa" w:w="4005"/>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Control</w:t>
            </w:r>
          </w:p>
        </w:tc>
        <w:tc>
          <w:tcPr>
            <w:tcW w:type="dxa" w:w="11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Resultado</w:t>
            </w:r>
          </w:p>
        </w:tc>
        <w:tc>
          <w:tcPr>
            <w:tcW w:type="dxa" w:w="450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Detalle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DCF inverso calculable</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Puente de ingresos (volumen + precio + otros) = crecimiento del DCF</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 del valor terminal ≤ 80 % del valor empresa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59 %.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Crecimiento a perpetuidad ≤ 3 %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3,00 %.</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Probabilidades de los escenarios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5 comparables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comparables.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Pesos de la síntesis suman 100</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Múltiplos del objetivo a 12 m según la regla común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Objetivo 12 m frente al consenso</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base se separa un 12,4 % del objetivo medio de los analistas: explícalo en diferencia_consenso (nunca se acerca la cifra).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Precio del cierre de la fecha de corte (o de las dos sesiones anteriores)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El precio es del 2026-10-07, 5 sesiones antes del corte (2026-10-14): con un precio viejo no se cierra un Comprar. Último cierre: node herramientas/precios.mjs &lt;ticker&gt;; luego herramientas/apuntar-12m.mjs --precios.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Recomendación coherente con la regla de decisión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La síntesis explica la convicción</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La síntesis debe decir por qué tiene esa convicción y qué la subiría o la bajaría.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Capitalización calculada ≈ publicada</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25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26 fuentes (6 primarias).</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Al menos 10 fuentes primarias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Explicado</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6. Explicación: Sin red para abrir sec.gov; las primarias se citan por extracto de búsqueda.</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Toda cita [n] existe en fuentes</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OK</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t>
            </w:r>
          </w:p>
        </w:tc>
      </w:tr>
      <w:tr>
        <w:trPr>
          <w:cantSplit/>
        </w:trPr>
        <w:tc>
          <w:tcPr>
            <w:tcW w:type="dxa" w:w="4005"/>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Fuentes sin citar ≤ 15 %</w:t>
            </w:r>
          </w:p>
        </w:tc>
        <w:tc>
          <w:tcPr>
            <w:tcW w:type="dxa" w:w="11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Revisar</w:t>
            </w:r>
          </w:p>
        </w:tc>
        <w:tc>
          <w:tcPr>
            <w:tcW w:type="dxa" w:w="450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Sin citar: 11, 15, 16, 17.</w:t>
            </w:r>
          </w:p>
        </w:tc>
      </w:tr>
    </w:tbl>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7228"/>
        <w:gridCol w:w="2410"/>
      </w:tblGrid>
      <w:tr>
        <w:trPr>
          <w:cantSplit/>
          <w:tblHeader/>
        </w:trPr>
        <w:tc>
          <w:tcPr>
            <w:tcW w:type="dxa" w:w="7228"/>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 de fuente</w:t>
            </w:r>
          </w:p>
        </w:tc>
        <w:tc>
          <w:tcPr>
            <w:tcW w:type="dxa" w:w="241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right"/>
            </w:pPr>
            <w:r>
              <w:rPr>
                <w:rFonts w:ascii="Calibri" w:cs="Calibri" w:eastAsia="Calibri" w:hAnsi="Calibri"/>
                <w:b/>
                <w:bCs/>
                <w:color w:val="FFFFFF"/>
                <w:sz w:val="16"/>
                <w:szCs w:val="16"/>
              </w:rPr>
              <w:t xml:space="preserve">Número</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Agregador</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7</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Primaria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Prensa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6</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Analistas</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2</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Secundaria</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right"/>
            </w:pPr>
            <w:r>
              <w:rPr>
                <w:rFonts w:ascii="Calibri" w:cs="Calibri" w:eastAsia="Calibri" w:hAnsi="Calibri"/>
                <w:b w:val="false"/>
                <w:bCs w:val="false"/>
                <w:color w:val="1F2A3C"/>
                <w:sz w:val="16"/>
                <w:szCs w:val="16"/>
              </w:rPr>
              <w:t xml:space="preserve">1</w:t>
            </w:r>
          </w:p>
        </w:tc>
      </w:tr>
      <w:tr>
        <w:trPr>
          <w:cantSplit/>
        </w:trPr>
        <w:tc>
          <w:tcPr>
            <w:tcW w:type="dxa" w:w="7228"/>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Foro/blog</w:t>
            </w:r>
          </w:p>
        </w:tc>
        <w:tc>
          <w:tcPr>
            <w:tcW w:type="dxa" w:w="241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right"/>
            </w:pPr>
            <w:r>
              <w:rPr>
                <w:rFonts w:ascii="Calibri" w:cs="Calibri" w:eastAsia="Calibri" w:hAnsi="Calibri"/>
                <w:b w:val="false"/>
                <w:bCs w:val="false"/>
                <w:color w:val="1F2A3C"/>
                <w:sz w:val="16"/>
                <w:szCs w:val="16"/>
              </w:rPr>
              <w:t xml:space="preserve">4</w:t>
            </w:r>
          </w:p>
        </w:tc>
      </w:tr>
    </w:tbl>
    <w:p>
      <w:pPr>
        <w:spacing w:after="160" w:before="0"/>
      </w:pPr>
    </w:p>
    <w:p>
      <w:pPr>
        <w:pStyle w:val="Heading2"/>
      </w:pPr>
      <w:r>
        <w:t xml:space="preserve">B. Información no disponible</w:t>
      </w:r>
    </w:p>
    <w:p>
      <w:pPr>
        <w:spacing w:after="100"/>
      </w:pPr>
      <w:r>
        <w:t xml:space="preserve">Cuando un dato no aparece tras tres búsquedas distintas, el análisis lo deja fuera en lugar de estimarlo sin base. Las secciones de núcleo que faltan se avisan también en el resumen.</w:t>
      </w:r>
    </w:p>
    <w:p>
      <w:pPr>
        <w:spacing w:after="160" w:before="0"/>
      </w:pP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1550"/>
        <w:gridCol w:w="1994"/>
        <w:gridCol w:w="997"/>
        <w:gridCol w:w="3766"/>
        <w:gridCol w:w="1331"/>
      </w:tblGrid>
      <w:tr>
        <w:trPr>
          <w:cantSplit/>
          <w:tblHeader/>
        </w:trPr>
        <w:tc>
          <w:tcPr>
            <w:tcW w:type="dxa" w:w="155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Sección</w:t>
            </w:r>
          </w:p>
        </w:tc>
        <w:tc>
          <w:tcPr>
            <w:tcW w:type="dxa" w:w="1994"/>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Dato que falta</w:t>
            </w:r>
          </w:p>
        </w:tc>
        <w:tc>
          <w:tcPr>
            <w:tcW w:type="dxa" w:w="9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Tipo</w:t>
            </w:r>
          </w:p>
        </w:tc>
        <w:tc>
          <w:tcPr>
            <w:tcW w:type="dxa" w:w="376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Las tres búsquedas</w:t>
            </w:r>
          </w:p>
        </w:tc>
        <w:tc>
          <w:tcPr>
            <w:tcW w:type="dxa" w:w="1331"/>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Decisión</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negocio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resultado por segmento y geografía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vía búsqueda: sin tabla; 2) comunicado 2T26: solo crecimientos; 3) prensa: solo pesos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financieros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EBIT, amortizaciones, impuestos y coste de ventas publicados por año</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2025 vía búsqueda: no aparece la cuenta; 2) Stock Analysis: solo ingresos, BPA, FCF; 3) agregadores: margen operativo 19,1 % de 2025</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trimestres</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Cifras del 1T26 y 3T25-4T25 completas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comunicados vía búsqueda; 2) TIKR; 3) Barchart</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sector</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Tamaño y crecimiento del mercado de herramientas de ciencias de la vida con dos fuentes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anual de la empresa (cifra del mercado servido): sin red; 2) informes sectoriales vía búsqueda: no se buscaron por el cupo compartido; 3) estimaciones de analistas en prensa: sin cifra fiable</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 (se describe el ciclo en el texto de propio)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competencia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Ingresos y margen EBIT de 4-8 competidores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10-K de Danaher, Agilent, Waters: sin red; 2) búsqueda: solo capitalización y PER; 3) informe de Medpace del repo: solo la CRO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esg</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Calificaciones ESG y controversias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informe de sostenibilidad: sin red; 2) MSCI/Sustainalytics: no se buscaron (cupo); 3) prensa: nada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gobierno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Proxy 2026: remuneración, voto, participaciones y Form 4</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DEF 14A: sin red; 2) búsqueda: sin extractos; 3) no se intentó más por el presupuesto</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identificacion</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Cierre del 13-oct-2026</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Núcleo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búsqueda de precio de octubre; 2) previa del 3T26; 3) estadísticas de Stock Analysis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Estimado (capitalización del 7-oct)</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bolsa</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Rentabilidades, volatilidad y caída máxima</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bolsa.mjs: sin red (no probado, por instrucciones); 2) búsqueda de estadísticas de Stock Analysis: sin extracto; 3) búsqueda de Lightyear/TipRanks: solo beta</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bCs/>
                <w:color w:val="1F2A3C"/>
                <w:sz w:val="16"/>
                <w:szCs w:val="16"/>
              </w:rPr>
              <w:t xml:space="preserve">consenso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BPA de consenso 2027e</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1) MarketBeat; 2) Barchart; 3) VCP Scanner</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Omitido</w:t>
            </w:r>
          </w:p>
        </w:tc>
      </w:tr>
      <w:tr>
        <w:trPr>
          <w:cantSplit/>
        </w:trPr>
        <w:tc>
          <w:tcPr>
            <w:tcW w:type="dxa" w:w="155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bCs/>
                <w:color w:val="1F2A3C"/>
                <w:sz w:val="16"/>
                <w:szCs w:val="16"/>
              </w:rPr>
              <w:t xml:space="preserve">sentimiento</w:t>
            </w:r>
          </w:p>
        </w:tc>
        <w:tc>
          <w:tcPr>
            <w:tcW w:type="dxa" w:w="1994"/>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Hilos de Reddit, Seeking Alpha y Stocktwits</w:t>
            </w:r>
          </w:p>
        </w:tc>
        <w:tc>
          <w:tcPr>
            <w:tcW w:type="dxa" w:w="9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val="false"/>
                <w:bCs w:val="false"/>
                <w:color w:val="1F2A3C"/>
                <w:sz w:val="16"/>
                <w:szCs w:val="16"/>
              </w:rPr>
              <w:t xml:space="preserve">Complemento</w:t>
            </w:r>
          </w:p>
        </w:tc>
        <w:tc>
          <w:tcPr>
            <w:tcW w:type="dxa" w:w="376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 búsqueda combinada Reddit/Seeking Alpha: sin hilos; 2) WebFetch: sin red; 3) no se repitió por el presupuesto de búsquedas</w:t>
            </w:r>
          </w:p>
        </w:tc>
        <w:tc>
          <w:tcPr>
            <w:tcW w:type="dxa" w:w="1331"/>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Omitido</w:t>
            </w:r>
          </w:p>
        </w:tc>
      </w:tr>
    </w:tbl>
    <w:p>
      <w:pPr>
        <w:spacing w:after="160" w:before="0"/>
      </w:pPr>
    </w:p>
    <w:p>
      <w:pPr>
        <w:pStyle w:val="Heading1"/>
      </w:pPr>
      <w:r>
        <w:t xml:space="preserve">Fuentes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463"/>
        <w:gridCol w:w="3336"/>
        <w:gridCol w:w="1390"/>
        <w:gridCol w:w="926"/>
        <w:gridCol w:w="926"/>
        <w:gridCol w:w="2597"/>
      </w:tblGrid>
      <w:tr>
        <w:trPr>
          <w:cantSplit/>
          <w:tblHeader/>
        </w:trPr>
        <w:tc>
          <w:tcPr>
            <w:tcW w:type="dxa" w:w="463"/>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center"/>
            </w:pPr>
            <w:r>
              <w:rPr>
                <w:rFonts w:ascii="Calibri" w:cs="Calibri" w:eastAsia="Calibri" w:hAnsi="Calibri"/>
                <w:b/>
                <w:bCs/>
                <w:color w:val="FFFFFF"/>
                <w:sz w:val="16"/>
                <w:szCs w:val="16"/>
              </w:rPr>
              <w:t xml:space="preserve">Ref.</w:t>
            </w:r>
          </w:p>
        </w:tc>
        <w:tc>
          <w:tcPr>
            <w:tcW w:type="dxa" w:w="333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Documento</w:t>
            </w:r>
          </w:p>
        </w:tc>
        <w:tc>
          <w:tcPr>
            <w:tcW w:type="dxa" w:w="1390"/>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Editor</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Tipo</w:t>
            </w:r>
          </w:p>
        </w:tc>
        <w:tc>
          <w:tcPr>
            <w:tcW w:type="dxa" w:w="926"/>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Fecha</w:t>
            </w:r>
          </w:p>
        </w:tc>
        <w:tc>
          <w:tcPr>
            <w:tcW w:type="dxa" w:w="2597"/>
            <w:tcBorders>
              <w:top w:val="none" w:color="FFFFFF" w:sz="0"/>
              <w:left w:val="none" w:color="FFFFFF" w:sz="0"/>
              <w:bottom w:val="none" w:color="FFFFFF" w:sz="0"/>
              <w:right w:val="none" w:color="FFFFFF" w:sz="0"/>
            </w:tcBorders>
            <w:shd w:fill="1F3A5F" w:color="auto" w:val="clear"/>
            <w:tcMar>
              <w:top w:type="dxa" w:w="50"/>
              <w:left w:type="dxa" w:w="80"/>
              <w:bottom w:type="dxa" w:w="50"/>
              <w:right w:type="dxa" w:w="80"/>
            </w:tcMar>
          </w:tcPr>
          <w:p>
            <w:pPr>
              <w:keepNext/>
              <w:spacing w:after="0" w:before="0"/>
              <w:jc w:val="left"/>
            </w:pPr>
            <w:r>
              <w:rPr>
                <w:rFonts w:ascii="Calibri" w:cs="Calibri" w:eastAsia="Calibri" w:hAnsi="Calibri"/>
                <w:b/>
                <w:bCs/>
                <w:color w:val="FFFFFF"/>
                <w:sz w:val="16"/>
                <w:szCs w:val="16"/>
              </w:rPr>
              <w:t xml:space="preserve">Enlace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Corporation (DHR) Income statement y métricas adicionales (ingresos, BPA, FCF 2021-2025 y LTM); FN2 y TipRanks (beneficio neto)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https://stockanalysis.com/stocks/dhr/financials/income-statement/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center"/>
            </w:pPr>
            <w:r>
              <w:rPr>
                <w:rFonts w:ascii="Calibri" w:cs="Calibri" w:eastAsia="Calibri" w:hAnsi="Calibri"/>
                <w:b/>
                <w:bCs/>
                <w:color w:val="1F2A3C"/>
                <w:sz w:val="16"/>
                <w:szCs w:val="16"/>
              </w:rPr>
              <w:t xml:space="preserve">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 Reports Fourth Quarter and Full Year 2025 Results (BPA ajustado 7,80 USD, FCF 5.300 M, guía 2026 8,35-8,50 USD y orgánico 3-6 %)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Danaher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28 ene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keepNext/>
              <w:spacing w:after="0" w:before="0"/>
              <w:jc w:val="left"/>
            </w:pPr>
            <w:r>
              <w:rPr>
                <w:rFonts w:ascii="Calibri" w:cs="Calibri" w:eastAsia="Calibri" w:hAnsi="Calibri"/>
                <w:b w:val="false"/>
                <w:bCs w:val="false"/>
                <w:color w:val="1F2A3C"/>
                <w:sz w:val="16"/>
                <w:szCs w:val="16"/>
              </w:rPr>
              <w:t xml:space="preserve">https://investors.danaher.com/2026-01-28-Danaher-Reports-Fourth-Quarter-and-Full-Year-2025-Results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Fourth Quarter and Full Year 2024 Results (BPA GAAP 5,29 y ajustado 7,48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29 ene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https://www.sec.gov/Archives/edgar/data/313616/000031361625000004/dhr-20250129xex991.htm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Reports Second Quarter 2026 Results (ingresos 6.300 M, +5,5 %; orgánico 3 %; BPA ajustado 1,94; guía 8,45-8,60 USD)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vía BioSpace / 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https://www.biospace.com/press-releases/danaher-reports-second-quarter-2026-results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Form 10-Q del 2T26 (balance a 26-jun-2026)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https://www.sec.gov/Archives/edgar/data/0000313616/000031361626000161/dhr-20260626.htm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to acquire Masimo for $9.9 billion; Danaher completes acquisition of Masimo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InsideArbitrage / Respiratory Therapy</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https://www.insidearbitrage.com/2026/02/danaher-to-acquire-masimo-for-9-9-billion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8-K de enero de 2024 (BPA ajustado de operaciones continuadas 7,58 en 2023 y 9,71 en 2022)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30 ene 2024</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https://www.sec.gov/Archives/edgar/data/313616/000031361624000006/dhr-20240130xex991.htm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Form 10-K 2025 (flujo operativo 6.416 M y capex 1.156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 SEC</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Primaria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feb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https://www.sec.gov/Archives/edgar/data/313616/000031361626000062/dhr-20251231.htm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Q3 earnings snapshot (BPA ajustado 1,89 USD, ingresos 6.050 M)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AP vía Barchart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21 oct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https://www.barchart.com/story/news/35578897/danaher-q3-earnings-snapshot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stock is down 19% in the past 3 months (1T26 y 2T26)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https://www.tikr.com/blog/danaher-stock-is-down-19-in-the-past-3-months-could-dhr-reach-248</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Inside Thermo Fisher Scientific, a $44.6 billion science supplier (peso de los segmentos en 2025).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American Companies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https://americancompanies.com/news/inside-thermo-fisher-scientific-a-446-billion-science-supplier/</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Stock Down 31% From Its 52-Week High Despite Raising Full-Year EPS Guidance (presión de los recortes de financiación pública en instrumentos).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https://www.tikr.com/blog/thermo-fisher-stock-down-31-from-its-52-week-high-despite-raising-full-year-eps-guidance-heres-what-happened</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Scotiabank upgrades Thermo Fisher with worst case priced in; Barclays rebaja herramientas de ciencias de la vida a neutral.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TheFly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https://www.tipranks.com/news/the-fly/scotiabank-upgrades-thermo-fisher-with-worst-case-priced-in-thefly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Thermo Fisher Has Rallied 45% Off Its Lows to Near a 52-Week High (Casper en la conferencia de Morgan Stanley: mejora de la demanda en varios mercados finales).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Prensa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https://www.tikr.com/blog/thermo-fisher-has-rallied-45-off-its-lows-to-near-a-52-week-high-is-it-too-late-to-buy</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Medpace, análisis del 12-oct-2026 en este repositorio: margen operativo 2025 de la CRO de Thermo Fisher (14,0 %) frente a IQVIA (13,4 %), ICON (5,4 %) y Medpace (21,1 %).</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 (informes/medpace-2026-10-12)</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Analistas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https://www.sec.gov/Archives/edgar/data/97745/000009774526000018/tmo-20251231.htm</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Statistics &amp; Valuation: capitalización 151.570 M USD y PER adelantado 24,37x (7-oct-2026), citado en el análisis de Thermo Fisher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Stock Analysis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7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https://stockanalysis.com/stocks/dhr/statistics/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17</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Current share price for DHR (cierre 12-sep-2026 200,14 USD; máximo y mínimo de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InvestSmart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12 sep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https://www.investsmart.com.au/security/nyse/dhr/danaher-corp/share-price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18</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Análisis de Thermo Fisher del repositorio, nota D (comparables)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Repositorio propio</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Secundaria</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14 oct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https://www.sec.gov/</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19</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DHR returns by year (cierres anuales) y P/E history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Chartrow / VCP Scanner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https://chartrow.com/quote/dhr/returns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20</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DHR price target: consenso 230,89 USD (43 analistas, 200-265)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VCP Scanner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https://www.vcpscanner.com/stock/dhr/price-target</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21</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(DHR): Morgan Stanley 220, BofA 230, TD Cowen 236, Deutsche Bank 240, Stifel 220 (22-jul-2026)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Investing.com</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22 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https://za.investing.com/equities/danaher-corp</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22</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statistics (beta 0,8-0,92)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Lightyear / TipRanks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Agregador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dic 2025</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https://lightyear.com/gb/stock/DHR:NYSE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23</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Danaher’s Q2 Earnings Call Shows Life Sciences at Its Best Quarter in Years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TIKR</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jul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https://www.tikr.com/blog/danahers-q2-earnings-call-shows-life-sciences-at-its-best-quarter-in-years</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24</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Corporation (DHR) Down 12.2% — Should I Get Rid of This Name?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Weiss Ratings</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abr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https://weissratings.com/en/instant-news-alerts/danaher-corporation-dhr-down-12-2-should-i-get-rid-of-this-name</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25</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Danaher valuation (narrativa «Bioprocess Recovery And Masimo Deal»)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Simply Wall 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may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https://simplywall.st/stocks/us/pharmaceuticals-biotech/nyse-dhr/danaher/valuation</w:t>
            </w:r>
          </w:p>
        </w:tc>
      </w:tr>
      <w:tr>
        <w:trPr>
          <w:cantSplit/>
        </w:trPr>
        <w:tc>
          <w:tcPr>
            <w:tcW w:type="dxa" w:w="463"/>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center"/>
            </w:pPr>
            <w:r>
              <w:rPr>
                <w:rFonts w:ascii="Calibri" w:cs="Calibri" w:eastAsia="Calibri" w:hAnsi="Calibri"/>
                <w:b/>
                <w:bCs/>
                <w:color w:val="1F2A3C"/>
                <w:sz w:val="16"/>
                <w:szCs w:val="16"/>
              </w:rPr>
              <w:t xml:space="preserve">26</w:t>
            </w:r>
          </w:p>
        </w:tc>
        <w:tc>
          <w:tcPr>
            <w:tcW w:type="dxa" w:w="333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Is DHR a Buy or a Sell? The Bull and Bear Case (2026) Extracto de búsqueda (sin abrir el documento: la red solo deja WebSearch).</w:t>
            </w:r>
          </w:p>
        </w:tc>
        <w:tc>
          <w:tcPr>
            <w:tcW w:type="dxa" w:w="1390"/>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Walnut Invest</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Foro/blog</w:t>
            </w:r>
          </w:p>
        </w:tc>
        <w:tc>
          <w:tcPr>
            <w:tcW w:type="dxa" w:w="926"/>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jun 2026</w:t>
            </w:r>
          </w:p>
        </w:tc>
        <w:tc>
          <w:tcPr>
            <w:tcW w:type="dxa" w:w="2597"/>
            <w:tcBorders>
              <w:top w:val="none" w:color="FFFFFF" w:sz="0"/>
              <w:left w:val="none" w:color="FFFFFF" w:sz="0"/>
              <w:bottom w:val="single" w:color="D9D8D3" w:sz="4"/>
              <w:right w:val="none" w:color="FFFFFF" w:sz="0"/>
            </w:tcBorders>
            <w:tcMar>
              <w:top w:type="dxa" w:w="50"/>
              <w:left w:type="dxa" w:w="80"/>
              <w:bottom w:type="dxa" w:w="50"/>
              <w:right w:type="dxa" w:w="80"/>
            </w:tcMar>
          </w:tcPr>
          <w:p>
            <w:pPr>
              <w:spacing w:after="0" w:before="0"/>
              <w:jc w:val="left"/>
            </w:pPr>
            <w:r>
              <w:rPr>
                <w:rFonts w:ascii="Calibri" w:cs="Calibri" w:eastAsia="Calibri" w:hAnsi="Calibri"/>
                <w:b w:val="false"/>
                <w:bCs w:val="false"/>
                <w:color w:val="1F2A3C"/>
                <w:sz w:val="16"/>
                <w:szCs w:val="16"/>
              </w:rPr>
              <w:t xml:space="preserve">https://walnutinvest.com/stocks/dhr/is-it-a-buy-or-sell</w:t>
            </w:r>
          </w:p>
        </w:tc>
      </w:tr>
    </w:tbl>
    <w:p>
      <w:pPr>
        <w:spacing w:after="200" w:before="0"/>
      </w:pPr>
    </w:p>
    <w:p>
      <w:pPr>
        <w:pStyle w:val="Heading2"/>
      </w:pPr>
      <w:r>
        <w:t xml:space="preserve">Control de calidad del informe</w:t>
      </w:r>
    </w:p>
    <w:p>
      <w:pPr>
        <w:pStyle w:val="Nota"/>
        <w:spacing w:after="100"/>
      </w:pPr>
      <w:r>
        <w:t xml:space="preserve">Campos con dato: </w:t>
      </w:r>
      <w:r>
        <w:rPr>
          <w:b/>
          <w:bCs/>
        </w:rPr>
        <w:t xml:space="preserve">63,8 %</w:t>
      </w:r>
      <w:r>
        <w:t xml:space="preserve"> · Secciones con menos del 60 % de campos cubiertos: </w:t>
      </w:r>
      <w:r>
        <w:rPr>
          <w:b/>
          <w:bCs/>
        </w:rPr>
        <w:t xml:space="preserve">resumen, negocio, calidad, balance, gobierno, dcf, valoracion, riesgos, bolsa, capital, catalizadores, preguntas, flujos, multiplos_historicos, comparables, escenarios</w:t>
      </w:r>
      <w:r>
        <w:t xml:space="preserve"> · Generado el 14 oct 2026.</w:t>
      </w:r>
    </w:p>
    <w:p>
      <w:pPr>
        <w:pStyle w:val="Nota"/>
        <w:spacing w:after="100"/>
      </w:pPr>
      <w:r>
        <w:t xml:space="preserve">Análisis hecho desde la nube con la red limitada a la búsqueda web y con un presupuesto corto (≈20 minutos): las cifras salen de extractos de búsqueda de los comunicados, del 10-Q del 2T26 y de Stock Analysis. El precio (215,60 USD) está implícito en la capitalización del 7-oct-2026, no es un cierre del 13-oct. El EBIT y las amortizaciones de 2023-2025 son estimaciones. El PER histórico solo tiene tres años limpios (2023-2025). Sector y comparables se reutilizan del análisis de Thermo Fisher de hoy.</w:t>
      </w:r>
    </w:p>
    <w:p>
      <w:pPr>
        <w:pStyle w:val="Nota"/>
        <w:spacing w:after="100"/>
      </w:pPr>
      <w:r>
        <w:t xml:space="preserve">Este documento es un análisis elaborado de forma automatizada a partir de fuentes públicas. No constituye una recomendación personalizada de inversión ni una oferta de compra o venta. Las cifras marcadas como estimación y los escenarios son hipótesis de trabajo y deben verificarse antes de tomar cualquier decisión.</w:t>
      </w:r>
    </w:p>
    <w:sectPr>
      <w:headerReference w:type="default" r:id="rId6"/>
      <w:headerReference w:type="first" r:id="rId7"/>
      <w:footerReference w:type="default" r:id="rId8"/>
      <w:footerReference w:type="first" r:id="rId9"/>
      <w:pgSz w:w="11906" w:h="16838" w:orient="portrait"/>
      <w:pgMar w:top="1134" w:right="1134" w:bottom="1134" w:left="1134" w:header="567" w:footer="567" w:gutter="0"/>
      <w:pgNumType/>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638"/>
      </w:tabs>
    </w:pPr>
    <w:r>
      <w:rPr>
        <w:color w:val="8A8984"/>
        <w:sz w:val="15"/>
        <w:szCs w:val="15"/>
      </w:rPr>
      <w:t xml:space="preserve">Datos a 14 oct 2026 · No constituye recomendación de inversión</w:t>
    </w:r>
    <w:r>
      <w:rPr>
        <w:color w:val="8A8984"/>
        <w:sz w:val="15"/>
        <w:szCs w:val="15"/>
      </w:rPr>
      <w:t xml:space="preserve">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r>
      <w:rPr>
        <w:color w:val="8A8984"/>
        <w:sz w:val="15"/>
        <w:szCs w:val="15"/>
      </w:rPr>
      <w:t xml:space="preserve">No constituye recomendación de inversión.</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638"/>
      </w:tabs>
    </w:pPr>
    <w:r>
      <w:rPr>
        <w:color w:val="8A8984"/>
        <w:sz w:val="16"/>
        <w:szCs w:val="16"/>
      </w:rPr>
      <w:t xml:space="preserve">Danaher Corporation (DHR)</w:t>
    </w:r>
    <w:r>
      <w:rPr>
        <w:color w:val="8A8984"/>
        <w:sz w:val="16"/>
        <w:szCs w:val="16"/>
      </w:rPr>
      <w:t xml:space="preserve">	Análisis de empresa cotizada</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pPr>
        <w:ind w:left="360" w:hanging="240"/>
      </w:pPr>
      <w:rPr>
        <w:color w:val="2A78D6"/>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docVars>
    <w:docVar w:name="graficos" w:val="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"/>
  </w:docVar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F2A3C"/>
        <w:sz w:val="20"/>
        <w:szCs w:val="20"/>
      </w:rPr>
    </w:rPrDefault>
    <w:pPrDefault>
      <w:pPr>
        <w:spacing w:line="264"/>
      </w:pPr>
    </w:pPrDefault>
  </w:docDefaults>
  <w:style w:type="paragraph" w:styleId="Normal" w:default="1">
    <w:name w:val="Normal"/>
    <w:qFormat/>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pPr>
      <w:spacing w:after="80"/>
    </w:pPr>
    <w:rPr>
      <w:rFonts w:ascii="Calibri" w:cs="Calibri" w:eastAsia="Calibri" w:hAnsi="Calibri"/>
      <w:b/>
      <w:bCs/>
      <w:color w:val="1F3A5F"/>
      <w:sz w:val="52"/>
      <w:szCs w:val="52"/>
    </w:rPr>
  </w:style>
  <w:style w:type="paragraph" w:styleId="Heading1">
    <w:name w:val="Heading 1"/>
    <w:basedOn w:val="Normal"/>
    <w:next w:val="Normal"/>
    <w:qFormat/>
    <w:pPr>
      <w:keepNext/>
      <w:pBdr>
        <w:bottom w:val="single" w:color="2A78D6" w:sz="6" w:space="4"/>
      </w:pBdr>
      <w:spacing w:after="60" w:before="360"/>
      <w:outlineLvl w:val="0"/>
    </w:pPr>
    <w:rPr>
      <w:rFonts w:ascii="Calibri" w:cs="Calibri" w:eastAsia="Calibri" w:hAnsi="Calibri"/>
      <w:b/>
      <w:bCs/>
      <w:color w:val="1F3A5F"/>
      <w:sz w:val="30"/>
      <w:szCs w:val="30"/>
    </w:rPr>
  </w:style>
  <w:style w:type="paragraph" w:styleId="Heading2">
    <w:name w:val="Heading 2"/>
    <w:basedOn w:val="Normal"/>
    <w:next w:val="Normal"/>
    <w:qFormat/>
    <w:pPr>
      <w:keepNext/>
      <w:spacing w:after="80" w:before="220"/>
      <w:outlineLvl w:val="1"/>
    </w:pPr>
    <w:rPr>
      <w:rFonts w:ascii="Calibri" w:cs="Calibri" w:eastAsia="Calibri" w:hAnsi="Calibri"/>
      <w:b/>
      <w:bCs/>
      <w:color w:val="1F3A5F"/>
      <w:sz w:val="23"/>
      <w:szCs w:val="23"/>
    </w:rPr>
  </w:style>
  <w:style w:type="paragraph" w:styleId="Parte">
    <w:name w:val="Parte"/>
    <w:basedOn w:val="Normal"/>
    <w:next w:val="Normal"/>
    <w:pPr>
      <w:keepNext/>
      <w:pBdr>
        <w:bottom w:val="single" w:color="2A78D6" w:sz="12" w:space="6"/>
      </w:pBdr>
      <w:spacing w:after="400" w:before="2400"/>
      <w:outlineLvl w:val="0"/>
    </w:pPr>
    <w:rPr>
      <w:rFonts w:ascii="Calibri" w:cs="Calibri" w:eastAsia="Calibri" w:hAnsi="Calibri"/>
      <w:b/>
      <w:bCs/>
      <w:color w:val="2A78D6"/>
      <w:sz w:val="40"/>
      <w:szCs w:val="40"/>
    </w:rPr>
  </w:style>
  <w:style w:type="paragraph" w:styleId="Aviso">
    <w:name w:val="Aviso"/>
    <w:basedOn w:val="Normal"/>
    <w:next w:val="Normal"/>
    <w:pPr>
      <w:pBdr>
        <w:left w:val="single" w:color="D9772E" w:sz="24" w:space="8"/>
      </w:pBdr>
      <w:spacing w:after="200" w:before="120"/>
      <w:ind w:left="200"/>
    </w:pPr>
    <w:rPr>
      <w:b/>
      <w:bCs/>
      <w:color w:val="A3470F"/>
      <w:sz w:val="19"/>
      <w:szCs w:val="19"/>
    </w:rPr>
  </w:style>
  <w:style w:type="paragraph" w:styleId="Confianza">
    <w:name w:val="Confianza"/>
    <w:basedOn w:val="Normal"/>
    <w:next w:val="Normal"/>
    <w:pPr>
      <w:keepNext/>
      <w:spacing w:after="160" w:before="0"/>
    </w:pPr>
    <w:rPr>
      <w:i/>
      <w:iCs/>
      <w:color w:val="8A8984"/>
      <w:sz w:val="16"/>
      <w:szCs w:val="16"/>
    </w:rPr>
  </w:style>
  <w:style w:type="paragraph" w:styleId="Nota">
    <w:name w:val="Nota"/>
    <w:basedOn w:val="Normal"/>
    <w:next w:val="Normal"/>
    <w:pPr>
      <w:spacing w:after="80"/>
    </w:pPr>
    <w:rPr>
      <w:color w:val="52514E"/>
      <w:sz w:val="16"/>
      <w:szCs w:val="16"/>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9" Type="http://schemas.openxmlformats.org/officeDocument/2006/relationships/footer" Target="footer2.xml"/><Relationship Id="rId10" Type="http://schemas.openxmlformats.org/officeDocument/2006/relationships/theme" Target="theme/theme1.xml"/><Relationship Id="rId11" Type="http://schemas.openxmlformats.org/officeDocument/2006/relationships/fontTable" Target="fontTable.xml"/><Relationship Id="rIdGrafico1" Type="http://schemas.openxmlformats.org/officeDocument/2006/relationships/chart" Target="charts/chart1.xml"/><Relationship Id="rIdGrafico2" Type="http://schemas.openxmlformats.org/officeDocument/2006/relationships/chart" Target="charts/chart2.xml"/><Relationship Id="rIdGrafico3" Type="http://schemas.openxmlformats.org/officeDocument/2006/relationships/chart" Target="charts/chart3.xml"/><Relationship Id="rIdGrafico4" Type="http://schemas.openxmlformats.org/officeDocument/2006/relationships/chart" Target="charts/chart4.xml"/><Relationship Id="rIdGrafico5" Type="http://schemas.openxmlformats.org/officeDocument/2006/relationships/chart" Target="charts/chart5.xml"/><Relationship Id="rIdGrafico6" Type="http://schemas.openxmlformats.org/officeDocument/2006/relationships/chart" Target="charts/chart6.xml"/><Relationship Id="rIdGrafico7" Type="http://schemas.openxmlformats.org/officeDocument/2006/relationships/chart" Target="charts/chart7.xml"/><Relationship Id="rIdGrafico8" Type="http://schemas.openxmlformats.org/officeDocument/2006/relationships/chart" Target="charts/chart8.xml"/><Relationship Id="rIdGrafico9" Type="http://schemas.openxmlformats.org/officeDocument/2006/relationships/chart" Target="charts/chart9.xml"/><Relationship Id="rIdGrafico10" Type="http://schemas.openxmlformats.org/officeDocument/2006/relationships/chart" Target="charts/chart10.xml"/><Relationship Id="rIdGrafico11" Type="http://schemas.openxmlformats.org/officeDocument/2006/relationships/chart" Target="charts/chart11.xml"/><Relationship Id="rIdGrafico12" Type="http://schemas.openxmlformats.org/officeDocument/2006/relationships/chart" Target="charts/chart12.xml"/><Relationship Id="rIdGrafico13" Type="http://schemas.openxmlformats.org/officeDocument/2006/relationships/chart" Target="charts/chart13.xml"/><Relationship Id="rIdGrafico14" Type="http://schemas.openxmlformats.org/officeDocument/2006/relationships/chart" Target="charts/chart14.xml"/><Relationship Id="rIdGrafico15" Type="http://schemas.openxmlformats.org/officeDocument/2006/relationships/chart" Target="charts/chart15.xml"/><Relationship Id="rIdGrafico16" Type="http://schemas.openxmlformats.org/officeDocument/2006/relationships/chart" Target="charts/chart16.xml"/><Relationship Id="rIdGrafico17" Type="http://schemas.openxmlformats.org/officeDocument/2006/relationships/chart" Target="charts/chart17.xml"/><Relationship Id="rIdGrafico18" Type="http://schemas.openxmlformats.org/officeDocument/2006/relationships/chart" Target="charts/chart18.xml"/><Relationship Id="rIdGrafico19" Type="http://schemas.openxmlformats.org/officeDocument/2006/relationships/chart" Target="charts/chart19.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_rels/header2.xml.rels><?xml version="1.0" encoding="UTF-8"?><Relationships xmlns="http://schemas.openxmlformats.org/package/2006/relationships"/>
</file>

<file path=word/charts/_rels/chart1.xml.rels><?xml version="1.0" encoding="UTF-8" standalone="yes"?><Relationships xmlns="http://schemas.openxmlformats.org/package/2006/relationships"><Relationship Id="rId1" Type="http://schemas.openxmlformats.org/officeDocument/2006/relationships/package" Target="../embeddings/Hoja_grafico1.xlsx"/></Relationships>
</file>

<file path=word/charts/_rels/chart2.xml.rels><?xml version="1.0" encoding="UTF-8" standalone="yes"?><Relationships xmlns="http://schemas.openxmlformats.org/package/2006/relationships"><Relationship Id="rId1" Type="http://schemas.openxmlformats.org/officeDocument/2006/relationships/package" Target="../embeddings/Hoja_grafico2.xlsx"/></Relationships>
</file>

<file path=word/charts/_rels/chart3.xml.rels><?xml version="1.0" encoding="UTF-8" standalone="yes"?><Relationships xmlns="http://schemas.openxmlformats.org/package/2006/relationships"><Relationship Id="rId1" Type="http://schemas.openxmlformats.org/officeDocument/2006/relationships/package" Target="../embeddings/Hoja_grafico3.xlsx"/></Relationships>
</file>

<file path=word/charts/_rels/chart4.xml.rels><?xml version="1.0" encoding="UTF-8" standalone="yes"?><Relationships xmlns="http://schemas.openxmlformats.org/package/2006/relationships"><Relationship Id="rId1" Type="http://schemas.openxmlformats.org/officeDocument/2006/relationships/package" Target="../embeddings/Hoja_grafico4.xlsx"/></Relationships>
</file>

<file path=word/charts/_rels/chart5.xml.rels><?xml version="1.0" encoding="UTF-8" standalone="yes"?><Relationships xmlns="http://schemas.openxmlformats.org/package/2006/relationships"><Relationship Id="rId1" Type="http://schemas.openxmlformats.org/officeDocument/2006/relationships/package" Target="../embeddings/Hoja_grafico5.xlsx"/></Relationships>
</file>

<file path=word/charts/_rels/chart6.xml.rels><?xml version="1.0" encoding="UTF-8" standalone="yes"?><Relationships xmlns="http://schemas.openxmlformats.org/package/2006/relationships"><Relationship Id="rId1" Type="http://schemas.openxmlformats.org/officeDocument/2006/relationships/package" Target="../embeddings/Hoja_grafico6.xlsx"/></Relationships>
</file>

<file path=word/charts/_rels/chart7.xml.rels><?xml version="1.0" encoding="UTF-8" standalone="yes"?><Relationships xmlns="http://schemas.openxmlformats.org/package/2006/relationships"><Relationship Id="rId1" Type="http://schemas.openxmlformats.org/officeDocument/2006/relationships/package" Target="../embeddings/Hoja_grafico7.xlsx"/></Relationships>
</file>

<file path=word/charts/_rels/chart8.xml.rels><?xml version="1.0" encoding="UTF-8" standalone="yes"?><Relationships xmlns="http://schemas.openxmlformats.org/package/2006/relationships"><Relationship Id="rId1" Type="http://schemas.openxmlformats.org/officeDocument/2006/relationships/package" Target="../embeddings/Hoja_grafico8.xlsx"/></Relationships>
</file>

<file path=word/charts/_rels/chart9.xml.rels><?xml version="1.0" encoding="UTF-8" standalone="yes"?><Relationships xmlns="http://schemas.openxmlformats.org/package/2006/relationships"><Relationship Id="rId1" Type="http://schemas.openxmlformats.org/officeDocument/2006/relationships/package" Target="../embeddings/Hoja_grafico9.xlsx"/></Relationships>
</file>

<file path=word/charts/_rels/chart10.xml.rels><?xml version="1.0" encoding="UTF-8" standalone="yes"?><Relationships xmlns="http://schemas.openxmlformats.org/package/2006/relationships"><Relationship Id="rId1" Type="http://schemas.openxmlformats.org/officeDocument/2006/relationships/package" Target="../embeddings/Hoja_grafico10.xlsx"/></Relationships>
</file>

<file path=word/charts/_rels/chart11.xml.rels><?xml version="1.0" encoding="UTF-8" standalone="yes"?><Relationships xmlns="http://schemas.openxmlformats.org/package/2006/relationships"><Relationship Id="rId1" Type="http://schemas.openxmlformats.org/officeDocument/2006/relationships/package" Target="../embeddings/Hoja_grafico11.xlsx"/></Relationships>
</file>

<file path=word/charts/_rels/chart12.xml.rels><?xml version="1.0" encoding="UTF-8" standalone="yes"?><Relationships xmlns="http://schemas.openxmlformats.org/package/2006/relationships"><Relationship Id="rId1" Type="http://schemas.openxmlformats.org/officeDocument/2006/relationships/package" Target="../embeddings/Hoja_grafico12.xlsx"/></Relationships>
</file>

<file path=word/charts/_rels/chart13.xml.rels><?xml version="1.0" encoding="UTF-8" standalone="yes"?><Relationships xmlns="http://schemas.openxmlformats.org/package/2006/relationships"><Relationship Id="rId1" Type="http://schemas.openxmlformats.org/officeDocument/2006/relationships/package" Target="../embeddings/Hoja_grafico13.xlsx"/></Relationships>
</file>

<file path=word/charts/_rels/chart14.xml.rels><?xml version="1.0" encoding="UTF-8" standalone="yes"?><Relationships xmlns="http://schemas.openxmlformats.org/package/2006/relationships"><Relationship Id="rId1" Type="http://schemas.openxmlformats.org/officeDocument/2006/relationships/package" Target="../embeddings/Hoja_grafico14.xlsx"/></Relationships>
</file>

<file path=word/charts/_rels/chart15.xml.rels><?xml version="1.0" encoding="UTF-8" standalone="yes"?><Relationships xmlns="http://schemas.openxmlformats.org/package/2006/relationships"><Relationship Id="rId1" Type="http://schemas.openxmlformats.org/officeDocument/2006/relationships/package" Target="../embeddings/Hoja_grafico15.xlsx"/></Relationships>
</file>

<file path=word/charts/_rels/chart16.xml.rels><?xml version="1.0" encoding="UTF-8" standalone="yes"?><Relationships xmlns="http://schemas.openxmlformats.org/package/2006/relationships"><Relationship Id="rId1" Type="http://schemas.openxmlformats.org/officeDocument/2006/relationships/package" Target="../embeddings/Hoja_grafico16.xlsx"/></Relationships>
</file>

<file path=word/charts/_rels/chart17.xml.rels><?xml version="1.0" encoding="UTF-8" standalone="yes"?><Relationships xmlns="http://schemas.openxmlformats.org/package/2006/relationships"><Relationship Id="rId1" Type="http://schemas.openxmlformats.org/officeDocument/2006/relationships/package" Target="../embeddings/Hoja_grafico17.xlsx"/></Relationships>
</file>

<file path=word/charts/_rels/chart18.xml.rels><?xml version="1.0" encoding="UTF-8" standalone="yes"?><Relationships xmlns="http://schemas.openxmlformats.org/package/2006/relationships"><Relationship Id="rId1" Type="http://schemas.openxmlformats.org/officeDocument/2006/relationships/package" Target="../embeddings/Hoja_grafico18.xlsx"/></Relationships>
</file>

<file path=word/charts/_rels/chart19.xml.rels><?xml version="1.0" encoding="UTF-8" standalone="yes"?><Relationships xmlns="http://schemas.openxmlformats.org/package/2006/relationships"><Relationship Id="rId1" Type="http://schemas.openxmlformats.org/officeDocument/2006/relationships/package" Target="../embeddings/Hoja_grafico19.xlsx"/></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215,60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(160,93 – 242,80)</c:v>
                </c:pt>
                <c:pt idx="1">
                  <c:v>Precio objetivo de los analistas (200,00 – 265,00)</c:v>
                </c:pt>
                <c:pt idx="2">
                  <c:v>Comparables: PER NTM (177,42 – 206,85)</c:v>
                </c:pt>
                <c:pt idx="3">
                  <c:v>DCF (WACC y g ± 0,5) (102,85 – 143,49)</c:v>
                </c:pt>
                <c:pt idx="4">
                  <c:v>Escenarios (bajista – alcista) (88,95 – 138,08)</c:v>
                </c:pt>
                <c:pt idx="5">
                  <c:v>DCF con la prima implícita del mercado (4,2 %)</c:v>
                </c:pt>
                <c:pt idx="6">
                  <c:v>Precio actual (215,60)</c:v>
                </c:pt>
              </c:strCache>
            </c:strRef>
          </c:cat>
          <c:val>
            <c:numRef>
              <c:f>Hoja1!$B$2:$B$8</c:f>
              <c:numCache>
                <c:formatCode>#,##0</c:formatCode>
                <c:ptCount val="7"/>
                <c:pt idx="0">
                  <c:v>160.93</c:v>
                </c:pt>
                <c:pt idx="1">
                  <c:v>200</c:v>
                </c:pt>
                <c:pt idx="2">
                  <c:v>177.42</c:v>
                </c:pt>
                <c:pt idx="3">
                  <c:v>102.85</c:v>
                </c:pt>
                <c:pt idx="4">
                  <c:v>88.95</c:v>
                </c:pt>
                <c:pt idx="5">
                  <c:v>132.45</c:v>
                </c:pt>
                <c:pt idx="6">
                  <c:v>214.52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(160,93 – 242,80)</c:v>
                </c:pt>
                <c:pt idx="1">
                  <c:v>Precio objetivo de los analistas (200,00 – 265,00)</c:v>
                </c:pt>
                <c:pt idx="2">
                  <c:v>Comparables: PER NTM (177,42 – 206,85)</c:v>
                </c:pt>
                <c:pt idx="3">
                  <c:v>DCF (WACC y g ± 0,5) (102,85 – 143,49)</c:v>
                </c:pt>
                <c:pt idx="4">
                  <c:v>Escenarios (bajista – alcista) (88,95 – 138,08)</c:v>
                </c:pt>
                <c:pt idx="5">
                  <c:v>DCF con la prima implícita del mercado (4,2 %)</c:v>
                </c:pt>
                <c:pt idx="6">
                  <c:v>Precio actual (215,60)</c:v>
                </c:pt>
              </c:strCache>
            </c:strRef>
          </c:cat>
          <c:val>
            <c:numRef>
              <c:f>Hoja1!$C$2:$C$8</c:f>
              <c:numCache>
                <c:formatCode>#,##0</c:formatCode>
                <c:ptCount val="7"/>
                <c:pt idx="0">
                  <c:v>81.87</c:v>
                </c:pt>
                <c:pt idx="1">
                  <c:v>65</c:v>
                </c:pt>
                <c:pt idx="2">
                  <c:v>29.430000000000007</c:v>
                </c:pt>
                <c:pt idx="3">
                  <c:v>40.640000000000015</c:v>
                </c:pt>
                <c:pt idx="4">
                  <c:v>49.13000000000001</c:v>
                </c:pt>
                <c:pt idx="5">
                  <c:v>34.69</c:v>
                </c:pt>
                <c:pt idx="6">
                  <c:v>2.1599999999999966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Cinco fuerzas: intensidad (1 = favorable, 5 = desfavorable)</a:t>
            </a:r>
          </a:p>
        </c:rich>
      </c:tx>
      <c:overlay val="0"/>
    </c:title>
    <c:autoTitleDeleted val="0"/>
    <c:plotArea>
      <c:layout/>
      <c:radarChart>
        <c:radarStyle val="marker"/>
        <c:varyColors val="0"/>
        <c:ser>
          <c:idx val="0"/>
          <c:order val="0"/>
          <c:tx>
            <c:strRef>
              <c:f>Hoja1!$B$1</c:f>
              <c:strCache>
                <c:ptCount val="1"/>
                <c:pt idx="0">
                  <c:v>Intensidad</c:v>
                </c:pt>
              </c:strCache>
            </c:strRef>
          </c:tx>
          <c:spPr>
            <a:ln w="25400">
              <a:solidFill>
                <a:srgbClr val="2A78D6"/>
              </a:solidFill>
            </a:ln>
          </c:spPr>
          <c:marker>
            <c:symbol val="circle"/>
            <c:size val="6"/>
            <c:spPr>
              <a:solidFill>
                <a:srgbClr val="2A78D6"/>
              </a:solidFill>
            </c:spPr>
          </c:marker>
          <c:cat>
            <c:strRef>
              <c:f>Hoja1!$A$2:$A$6</c:f>
              <c:strCache>
                <c:ptCount val="5"/>
                <c:pt idx="0">
                  <c:v>Rivalidad</c:v>
                </c:pt>
                <c:pt idx="1">
                  <c:v>Poder de los clientes</c:v>
                </c:pt>
                <c:pt idx="2">
                  <c:v>Poder de los proveedores</c:v>
                </c:pt>
                <c:pt idx="3">
                  <c:v>Amenaza de entrada</c:v>
                </c:pt>
                <c:pt idx="4">
                  <c:v>Amenaza de sustitutos</c:v>
                </c:pt>
              </c:strCache>
            </c:strRef>
          </c:cat>
          <c:val>
            <c:numRef>
              <c:f>Hoja1!$B$2:$B$6</c:f>
              <c:numCache>
                <c:formatCode>General</c:formatCode>
                <c:ptCount val="5"/>
                <c:pt idx="0">
                  <c:v>3</c:v>
                </c:pt>
                <c:pt idx="1">
                  <c:v>3</c:v>
                </c:pt>
                <c:pt idx="2">
                  <c:v>2</c:v>
                </c:pt>
                <c:pt idx="3">
                  <c:v>2</c:v>
                </c:pt>
                <c:pt idx="4">
                  <c:v>2</c:v>
                </c:pt>
              </c:numCache>
            </c:numRef>
          </c:val>
        </c:ser>
        <c:axId val="10"/>
        <c:axId val="20"/>
      </c:radarChart>
      <c:catAx>
        <c:axId val="10"/>
        <c:scaling>
          <c:orientation val="minMax"/>
        </c:scaling>
        <c:delete val="0"/>
        <c:axPos val="b"/>
        <c:majorGridlines>
          <c:spPr>
            <a:ln w="6350">
              <a:solidFill>
                <a:srgbClr val="E4E3DF"/>
              </a:solidFill>
            </a:ln>
          </c:spPr>
        </c:majorGridlines>
        <c:numFmt formatCode="General" sourceLinked="0"/>
        <c:majorTickMark val="none"/>
        <c:minorTickMark val="none"/>
        <c:tickLblPos val="nextTo"/>
        <c:spPr>
          <a:ln w="6350">
            <a:solidFill>
              <a:srgbClr val="E4E3DF"/>
            </a:solidFill>
          </a:ln>
        </c:spPr>
        <c:txPr>
          <a:bodyPr/>
          <a:lstStyle/>
          <a:p>
            <a:pPr>
              <a:defRPr sz="850">
                <a:solidFill>
                  <a:srgbClr val="1F2A3C"/>
                </a:solidFill>
              </a:defRPr>
            </a:pPr>
            <a:endParaRPr lang="es-ES"/>
          </a:p>
        </c:txPr>
        <c:crossAx val="20"/>
        <c:crosses val="autoZero"/>
        <c:auto val="1"/>
        <c:lblAlgn val="ctr"/>
        <c:lblOffset val="100"/>
        <c:noMultiLvlLbl val="0"/>
      </c:catAx>
      <c:valAx>
        <c:axId val="20"/>
        <c:scaling>
          <c:orientation val="minMax"/>
          <c:max val="5"/>
          <c:min val="0"/>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750">
                <a:solidFill>
                  <a:srgbClr val="52514E"/>
                </a:solidFill>
              </a:defRPr>
            </a:pPr>
            <a:endParaRPr lang="es-ES"/>
          </a:p>
        </c:txPr>
        <c:crossAx val="10"/>
        <c:crosses val="autoZero"/>
        <c:crossBetween val="between"/>
        <c:majorUnit val="1"/>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Margen EBIT: la empresa frente a sus competidores (%)</a:t>
            </a:r>
          </a:p>
        </c:rich>
      </c:tx>
      <c:overlay val="0"/>
    </c:title>
    <c:autoTitleDeleted val="0"/>
    <c:plotArea>
      <c:layout/>
      <c:barChart>
        <c:barDir val="bar"/>
        <c:grouping val="clustered"/>
        <c:varyColors val="0"/>
        <c:ser>
          <c:idx val="0"/>
          <c:order val="0"/>
          <c:tx>
            <c:strRef>
              <c:f>Hoja1!$B$1</c:f>
              <c:strCache>
                <c:ptCount val="1"/>
                <c:pt idx="0">
                  <c:v>Margen EBIT</c:v>
                </c:pt>
              </c:strCache>
            </c:strRef>
          </c:tx>
          <c:spPr>
            <a:solidFill>
              <a:srgbClr val="2A78D6"/>
            </a:solidFill>
            <a:ln w="9525">
              <a:noFill/>
            </a:ln>
          </c:spPr>
          <c:invertIfNegative val="0"/>
          <c:dLbls>
            <c:numFmt formatCode="0.0&quot;%&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c:f>
              <c:strCache>
                <c:ptCount val="1"/>
                <c:pt idx="0">
                  <c:v>Danaher</c:v>
                </c:pt>
              </c:strCache>
            </c:strRef>
          </c:cat>
          <c:val>
            <c:numRef>
              <c:f>Hoja1!$B$2</c:f>
              <c:numCache>
                <c:formatCode>0.0"%"</c:formatCode>
                <c:ptCount val="1"/>
                <c:pt idx="0">
                  <c:v>19.1</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Fuentes de ventaja competitiva (0 = inexistente, 5 = muy fuerte)</a:t>
            </a:r>
          </a:p>
        </c:rich>
      </c:tx>
      <c:overlay val="0"/>
    </c:title>
    <c:autoTitleDeleted val="0"/>
    <c:plotArea>
      <c:layout/>
      <c:barChart>
        <c:barDir val="bar"/>
        <c:grouping val="clustered"/>
        <c:varyColors val="0"/>
        <c:ser>
          <c:idx val="0"/>
          <c:order val="0"/>
          <c:tx>
            <c:strRef>
              <c:f>Hoja1!$B$1</c:f>
              <c:strCache>
                <c:ptCount val="1"/>
                <c:pt idx="0">
                  <c:v>Puntuación</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Hoja1!$A$2:$A$6</c:f>
              <c:strCache>
                <c:ptCount val="5"/>
                <c:pt idx="0">
                  <c:v>Efectos de red</c:v>
                </c:pt>
                <c:pt idx="1">
                  <c:v>Costes de cambio</c:v>
                </c:pt>
                <c:pt idx="2">
                  <c:v>Intangibles (marca, patentes, licencias)</c:v>
                </c:pt>
                <c:pt idx="3">
                  <c:v>Ventaja en costes</c:v>
                </c:pt>
                <c:pt idx="4">
                  <c:v>Escala eficiente</c:v>
                </c:pt>
              </c:strCache>
            </c:strRef>
          </c:cat>
          <c:val>
            <c:numRef>
              <c:f>Hoja1!$B$2:$B$6</c:f>
              <c:numCache>
                <c:formatCode>0</c:formatCode>
                <c:ptCount val="5"/>
                <c:pt idx="0">
                  <c:v>1</c:v>
                </c:pt>
                <c:pt idx="1">
                  <c:v>5</c:v>
                </c:pt>
                <c:pt idx="2">
                  <c:v>3</c:v>
                </c:pt>
                <c:pt idx="3">
                  <c:v>3</c:v>
                </c:pt>
                <c:pt idx="4">
                  <c:v>4</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ax val="5"/>
          <c:min val="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Ingresos y EBITDA (USD, millones) · «e» = proyección propia del DCF</a:t>
            </a:r>
          </a:p>
        </c:rich>
      </c:tx>
      <c:overlay val="0"/>
    </c:title>
    <c:autoTitleDeleted val="0"/>
    <c:plotArea>
      <c:layout/>
      <c:barChart>
        <c:barDir val="col"/>
        <c:grouping val="clustered"/>
        <c:varyColors val="0"/>
        <c:ser>
          <c:idx val="0"/>
          <c:order val="0"/>
          <c:tx>
            <c:strRef>
              <c:f>Hoja1!$B$1</c:f>
              <c:strCache>
                <c:ptCount val="1"/>
                <c:pt idx="0">
                  <c:v>Ingresos</c:v>
                </c:pt>
              </c:strCache>
            </c:strRef>
          </c:tx>
          <c:spPr>
            <a:solidFill>
              <a:srgbClr val="2A78D6"/>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Hoja1!$B$2:$B$16</c:f>
              <c:numCache>
                <c:formatCode>#,##0</c:formatCode>
                <c:ptCount val="15"/>
                <c:pt idx="0">
                  <c:v>24802</c:v>
                </c:pt>
                <c:pt idx="1">
                  <c:v>26643</c:v>
                </c:pt>
                <c:pt idx="2">
                  <c:v>23890</c:v>
                </c:pt>
                <c:pt idx="3">
                  <c:v>23875</c:v>
                </c:pt>
                <c:pt idx="4">
                  <c:v>24568</c:v>
                </c:pt>
                <c:pt idx="5">
                  <c:v>26533</c:v>
                </c:pt>
                <c:pt idx="6">
                  <c:v>28391</c:v>
                </c:pt>
                <c:pt idx="7">
                  <c:v>30094</c:v>
                </c:pt>
                <c:pt idx="8">
                  <c:v>31749</c:v>
                </c:pt>
                <c:pt idx="9">
                  <c:v>33337</c:v>
                </c:pt>
                <c:pt idx="10">
                  <c:v>34837</c:v>
                </c:pt>
                <c:pt idx="11">
                  <c:v>36231</c:v>
                </c:pt>
                <c:pt idx="12">
                  <c:v>37499</c:v>
                </c:pt>
                <c:pt idx="13">
                  <c:v>38624</c:v>
                </c:pt>
                <c:pt idx="14">
                  <c:v>39782</c:v>
                </c:pt>
              </c:numCache>
            </c:numRef>
          </c:val>
        </c:ser>
        <c:ser>
          <c:idx val="1"/>
          <c:order val="1"/>
          <c:tx>
            <c:strRef>
              <c:f>Hoja1!$C$1</c:f>
              <c:strCache>
                <c:ptCount val="1"/>
                <c:pt idx="0">
                  <c:v>EBITDA</c:v>
                </c:pt>
              </c:strCache>
            </c:strRef>
          </c:tx>
          <c:spPr>
            <a:solidFill>
              <a:srgbClr val="EB6834"/>
            </a:solidFill>
            <a:ln w="9525">
              <a:noFill/>
            </a:ln>
          </c:spPr>
          <c:invertIfNegative val="0"/>
          <c:cat>
            <c:strRef>
              <c:f>Hoja1!$A$2:$A$16</c:f>
              <c:strCache>
                <c:ptCount val="15"/>
                <c:pt idx="0">
                  <c:v>2021</c:v>
                </c:pt>
                <c:pt idx="1">
                  <c:v>2022</c:v>
                </c:pt>
                <c:pt idx="2">
                  <c:v>2023</c:v>
                </c:pt>
                <c:pt idx="3">
                  <c:v>2024</c:v>
                </c:pt>
                <c:pt idx="4">
                  <c:v>2025</c:v>
                </c:pt>
                <c:pt idx="5">
                  <c:v>2026e</c:v>
                </c:pt>
                <c:pt idx="6">
                  <c:v>2027e</c:v>
                </c:pt>
                <c:pt idx="7">
                  <c:v>2028e</c:v>
                </c:pt>
                <c:pt idx="8">
                  <c:v>2029e</c:v>
                </c:pt>
                <c:pt idx="9">
                  <c:v>2030e</c:v>
                </c:pt>
                <c:pt idx="10">
                  <c:v>2031e</c:v>
                </c:pt>
                <c:pt idx="11">
                  <c:v>2032e</c:v>
                </c:pt>
                <c:pt idx="12">
                  <c:v>2033e</c:v>
                </c:pt>
                <c:pt idx="13">
                  <c:v>2034e</c:v>
                </c:pt>
                <c:pt idx="14">
                  <c:v>2035e</c:v>
                </c:pt>
              </c:strCache>
            </c:strRef>
          </c:cat>
          <c:val>
            <c:numRef>
              <c:f>Hoja1!$C$2:$C$16</c:f>
              <c:numCache>
                <c:formatCode>#,##0</c:formatCode>
                <c:ptCount val="15"/>
                <c:pt idx="2">
                  <c:v>8050</c:v>
                </c:pt>
                <c:pt idx="3">
                  <c:v>7350</c:v>
                </c:pt>
                <c:pt idx="4">
                  <c:v>7090</c:v>
                </c:pt>
                <c:pt idx="5">
                  <c:v>7695</c:v>
                </c:pt>
                <c:pt idx="6">
                  <c:v>8375</c:v>
                </c:pt>
                <c:pt idx="7">
                  <c:v>9028</c:v>
                </c:pt>
                <c:pt idx="8">
                  <c:v>9684</c:v>
                </c:pt>
                <c:pt idx="9">
                  <c:v>10334</c:v>
                </c:pt>
                <c:pt idx="10">
                  <c:v>10799</c:v>
                </c:pt>
                <c:pt idx="11">
                  <c:v>11231</c:v>
                </c:pt>
                <c:pt idx="12">
                  <c:v>11625</c:v>
                </c:pt>
                <c:pt idx="13">
                  <c:v>11973</c:v>
                </c:pt>
                <c:pt idx="14">
                  <c:v>12332</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Márgenes (% de ingresos)</a:t>
            </a:r>
          </a:p>
        </c:rich>
      </c:tx>
      <c:overlay val="0"/>
    </c:title>
    <c:autoTitleDeleted val="0"/>
    <c:plotArea>
      <c:layout/>
      <c:lineChart>
        <c:grouping val="standard"/>
        <c:varyColors val="0"/>
        <c:ser>
          <c:idx val="0"/>
          <c:order val="0"/>
          <c:tx>
            <c:strRef>
              <c:f>Hoja1!$B$1</c:f>
              <c:strCache>
                <c:ptCount val="1"/>
                <c:pt idx="0">
                  <c:v>EBITDA</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2">
                  <c:v>33.7</c:v>
                </c:pt>
                <c:pt idx="3">
                  <c:v>30.8</c:v>
                </c:pt>
                <c:pt idx="4">
                  <c:v>28.9</c:v>
                </c:pt>
              </c:numCache>
            </c:numRef>
          </c:val>
          <c:smooth val="0"/>
        </c:ser>
        <c:ser>
          <c:idx val="1"/>
          <c:order val="1"/>
          <c:tx>
            <c:strRef>
              <c:f>Hoja1!$C$1</c:f>
              <c:strCache>
                <c:ptCount val="1"/>
                <c:pt idx="0">
                  <c:v>EBIT</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2">
                  <c:v>23.9</c:v>
                </c:pt>
                <c:pt idx="3">
                  <c:v>20.7</c:v>
                </c:pt>
                <c:pt idx="4">
                  <c:v>19.1</c:v>
                </c:pt>
              </c:numCache>
            </c:numRef>
          </c:val>
          <c:smooth val="0"/>
        </c:ser>
        <c:ser>
          <c:idx val="2"/>
          <c:order val="2"/>
          <c:tx>
            <c:strRef>
              <c:f>Hoja1!$D$1</c:f>
              <c:strCache>
                <c:ptCount val="1"/>
                <c:pt idx="0">
                  <c:v>Neto</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0">
                  <c:v>21.4</c:v>
                </c:pt>
                <c:pt idx="1">
                  <c:v>23.4</c:v>
                </c:pt>
                <c:pt idx="2">
                  <c:v>19.9</c:v>
                </c:pt>
                <c:pt idx="3">
                  <c:v>16.3</c:v>
                </c:pt>
                <c:pt idx="4">
                  <c:v>14.7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interanual por trimestre (%)</a:t>
            </a:r>
          </a:p>
        </c:rich>
      </c:tx>
      <c:overlay val="0"/>
    </c:title>
    <c:autoTitleDeleted val="0"/>
    <c:plotArea>
      <c:layout/>
      <c:barChart>
        <c:barDir val="col"/>
        <c:grouping val="clustered"/>
        <c:varyColors val="0"/>
        <c:ser>
          <c:idx val="0"/>
          <c:order val="0"/>
          <c:tx>
            <c:strRef>
              <c:f>Hoja1!$B$1</c:f>
              <c:strCache>
                <c:ptCount val="1"/>
                <c:pt idx="0">
                  <c:v>Reportado</c:v>
                </c:pt>
              </c:strCache>
            </c:strRef>
          </c:tx>
          <c:spPr>
            <a:solidFill>
              <a:srgbClr val="2A78D6"/>
            </a:solidFill>
            <a:ln w="9525">
              <a:noFill/>
            </a:ln>
          </c:spPr>
          <c:invertIfNegative val="0"/>
          <c:cat>
            <c:strRef>
              <c:f>Hoja1!$A$2:$A$4</c:f>
              <c:strCache>
                <c:ptCount val="3"/>
                <c:pt idx="0">
                  <c:v>3T25</c:v>
                </c:pt>
                <c:pt idx="1">
                  <c:v>1T26</c:v>
                </c:pt>
                <c:pt idx="2">
                  <c:v>2T26</c:v>
                </c:pt>
              </c:strCache>
            </c:strRef>
          </c:cat>
          <c:val>
            <c:numRef>
              <c:f>Hoja1!$B$2:$B$4</c:f>
              <c:numCache>
                <c:formatCode>0.0"%"</c:formatCode>
                <c:ptCount val="3"/>
                <c:pt idx="0">
                  <c:v>4.4</c:v>
                </c:pt>
                <c:pt idx="2">
                  <c:v>5.5</c:v>
                </c:pt>
              </c:numCache>
            </c:numRef>
          </c:val>
        </c:ser>
        <c:ser>
          <c:idx val="1"/>
          <c:order val="1"/>
          <c:tx>
            <c:strRef>
              <c:f>Hoja1!$C$1</c:f>
              <c:strCache>
                <c:ptCount val="1"/>
                <c:pt idx="0">
                  <c:v>Orgánico</c:v>
                </c:pt>
              </c:strCache>
            </c:strRef>
          </c:tx>
          <c:spPr>
            <a:solidFill>
              <a:srgbClr val="EB6834"/>
            </a:solidFill>
            <a:ln w="9525">
              <a:noFill/>
            </a:ln>
          </c:spPr>
          <c:invertIfNegative val="0"/>
          <c:cat>
            <c:strRef>
              <c:f>Hoja1!$A$2:$A$4</c:f>
              <c:strCache>
                <c:ptCount val="3"/>
                <c:pt idx="0">
                  <c:v>3T25</c:v>
                </c:pt>
                <c:pt idx="1">
                  <c:v>1T26</c:v>
                </c:pt>
                <c:pt idx="2">
                  <c:v>2T26</c:v>
                </c:pt>
              </c:strCache>
            </c:strRef>
          </c:cat>
          <c:val>
            <c:numRef>
              <c:f>Hoja1!$C$2:$C$4</c:f>
              <c:numCache>
                <c:formatCode>0.0"%"</c:formatCode>
                <c:ptCount val="3"/>
                <c:pt idx="0">
                  <c:v>3</c:v>
                </c:pt>
                <c:pt idx="2">
                  <c:v>3</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frente a beneficio neto (USD, millones)</a:t>
            </a:r>
          </a:p>
        </c:rich>
      </c:tx>
      <c:overlay val="0"/>
    </c:title>
    <c:autoTitleDeleted val="0"/>
    <c:plotArea>
      <c:layout/>
      <c:barChart>
        <c:barDir val="col"/>
        <c:grouping val="clustered"/>
        <c:varyColors val="0"/>
        <c:ser>
          <c:idx val="0"/>
          <c:order val="0"/>
          <c:tx>
            <c:strRef>
              <c:f>Hoja1!$B$1</c:f>
              <c:strCache>
                <c:ptCount val="1"/>
                <c:pt idx="0">
                  <c:v>Flujo de caja libre</c:v>
                </c:pt>
              </c:strCache>
            </c:strRef>
          </c:tx>
          <c:spPr>
            <a:solidFill>
              <a:srgbClr val="2A78D6"/>
            </a:solidFill>
            <a:ln w="9525">
              <a:no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7118</c:v>
                </c:pt>
                <c:pt idx="1">
                  <c:v>7401</c:v>
                </c:pt>
                <c:pt idx="2">
                  <c:v>5781</c:v>
                </c:pt>
                <c:pt idx="3">
                  <c:v>5296</c:v>
                </c:pt>
                <c:pt idx="4">
                  <c:v>5260</c:v>
                </c:pt>
              </c:numCache>
            </c:numRef>
          </c:val>
        </c:ser>
        <c:ser>
          <c:idx val="1"/>
          <c:order val="1"/>
          <c:tx>
            <c:strRef>
              <c:f>Hoja1!$C$1</c:f>
              <c:strCache>
                <c:ptCount val="1"/>
                <c:pt idx="0">
                  <c:v>Beneficio neto</c:v>
                </c:pt>
              </c:strCache>
            </c:strRef>
          </c:tx>
          <c:spPr>
            <a:solidFill>
              <a:srgbClr val="EB6834"/>
            </a:solidFill>
            <a:ln w="9525">
              <a:no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5300</c:v>
                </c:pt>
                <c:pt idx="1">
                  <c:v>6240</c:v>
                </c:pt>
                <c:pt idx="2">
                  <c:v>4764</c:v>
                </c:pt>
                <c:pt idx="3">
                  <c:v>3899</c:v>
                </c:pt>
                <c:pt idx="4">
                  <c:v>3610</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ROIC y ROE frente al coste del capital (%)</a:t>
            </a:r>
          </a:p>
        </c:rich>
      </c:tx>
      <c:overlay val="0"/>
    </c:title>
    <c:autoTitleDeleted val="0"/>
    <c:plotArea>
      <c:layout/>
      <c:lineChart>
        <c:grouping val="standard"/>
        <c:varyColors val="0"/>
        <c:ser>
          <c:idx val="0"/>
          <c:order val="0"/>
          <c:tx>
            <c:strRef>
              <c:f>Hoja1!$B$1</c:f>
              <c:strCache>
                <c:ptCount val="1"/>
                <c:pt idx="0">
                  <c:v>ROIC</c:v>
                </c:pt>
              </c:strCache>
            </c:strRef>
          </c:tx>
          <c:spPr>
            <a:ln w="25400" cap="rnd">
              <a:solidFill>
                <a:srgbClr val="2A78D6"/>
              </a:solidFill>
              <a:round/>
            </a:ln>
          </c:spPr>
          <c:marker>
            <c:symbol val="circle"/>
            <c:size val="6"/>
            <c:spPr>
              <a:solidFill>
                <a:srgbClr val="2A78D6"/>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Hoja1!$B$2:$B$6</c:f>
              <c:numCache>
                <c:formatCode>0"%"</c:formatCode>
                <c:ptCount val="5"/>
                <c:pt idx="4">
                  <c:v>5.5</c:v>
                </c:pt>
              </c:numCache>
            </c:numRef>
          </c:val>
          <c:smooth val="0"/>
        </c:ser>
        <c:ser>
          <c:idx val="1"/>
          <c:order val="1"/>
          <c:tx>
            <c:strRef>
              <c:f>Hoja1!$C$1</c:f>
              <c:strCache>
                <c:ptCount val="1"/>
                <c:pt idx="0">
                  <c:v>WACC actual</c:v>
                </c:pt>
              </c:strCache>
            </c:strRef>
          </c:tx>
          <c:spPr>
            <a:ln w="25400" cap="rnd">
              <a:solidFill>
                <a:srgbClr val="EB6834"/>
              </a:solidFill>
              <a:round/>
            </a:ln>
          </c:spPr>
          <c:marker>
            <c:symbol val="circle"/>
            <c:size val="6"/>
            <c:spPr>
              <a:solidFill>
                <a:srgbClr val="EB6834"/>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Hoja1!$C$2:$C$6</c:f>
              <c:numCache>
                <c:formatCode>0"%"</c:formatCode>
                <c:ptCount val="5"/>
                <c:pt idx="0">
                  <c:v>9.2</c:v>
                </c:pt>
                <c:pt idx="1">
                  <c:v>9.2</c:v>
                </c:pt>
                <c:pt idx="2">
                  <c:v>9.2</c:v>
                </c:pt>
                <c:pt idx="3">
                  <c:v>9.2</c:v>
                </c:pt>
                <c:pt idx="4">
                  <c:v>9.2</c:v>
                </c:pt>
              </c:numCache>
            </c:numRef>
          </c:val>
          <c:smooth val="0"/>
        </c:ser>
        <c:ser>
          <c:idx val="2"/>
          <c:order val="2"/>
          <c:tx>
            <c:strRef>
              <c:f>Hoja1!$D$1</c:f>
              <c:strCache>
                <c:ptCount val="1"/>
                <c:pt idx="0">
                  <c:v>ROE</c:v>
                </c:pt>
              </c:strCache>
            </c:strRef>
          </c:tx>
          <c:spPr>
            <a:ln w="25400" cap="rnd">
              <a:solidFill>
                <a:srgbClr val="1BAF7A"/>
              </a:solidFill>
              <a:round/>
            </a:ln>
          </c:spPr>
          <c:marker>
            <c:symbol val="circle"/>
            <c:size val="6"/>
            <c:spPr>
              <a:solidFill>
                <a:srgbClr val="1BAF7A"/>
              </a:solidFill>
              <a:ln w="9525">
                <a:solidFill>
                  <a:srgbClr val="FFFFFF"/>
                </a:solidFill>
              </a:ln>
            </c:spPr>
          </c:marker>
          <c:cat>
            <c:strRef>
              <c:f>Hoja1!$A$2:$A$6</c:f>
              <c:strCache>
                <c:ptCount val="5"/>
                <c:pt idx="0">
                  <c:v>2021</c:v>
                </c:pt>
                <c:pt idx="1">
                  <c:v>2022</c:v>
                </c:pt>
                <c:pt idx="2">
                  <c:v>2023</c:v>
                </c:pt>
                <c:pt idx="3">
                  <c:v>2024</c:v>
                </c:pt>
                <c:pt idx="4">
                  <c:v>2025</c:v>
                </c:pt>
              </c:strCache>
            </c:strRef>
          </c:cat>
          <c:val>
            <c:numRef>
              <c:f>Hoja1!$D$2:$D$6</c:f>
              <c:numCache>
                <c:formatCode>0"%"</c:formatCode>
                <c:ptCount val="5"/>
                <c:pt idx="4">
                  <c:v>7</c:v>
                </c:pt>
              </c:numCache>
            </c:numRef>
          </c:val>
          <c:smooth val="0"/>
        </c:ser>
        <c:marker val="1"/>
        <c:axId val="10"/>
        <c:axId val="20"/>
      </c:line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quot;%&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Deuda neta / EBITDA al cierre de cada ejercicio (veces)</a:t>
            </a:r>
          </a:p>
        </c:rich>
      </c:tx>
      <c:overlay val="0"/>
    </c:title>
    <c:autoTitleDeleted val="0"/>
    <c:plotArea>
      <c:layout/>
      <c:barChart>
        <c:barDir val="col"/>
        <c:grouping val="clustered"/>
        <c:varyColors val="0"/>
        <c:ser>
          <c:idx val="0"/>
          <c:order val="0"/>
          <c:tx>
            <c:strRef>
              <c:f>Hoja1!$B$1</c:f>
              <c:strCache>
                <c:ptCount val="1"/>
                <c:pt idx="0">
                  <c:v>Deuda neta / 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Hoja1!$A$2:$A$3</c:f>
              <c:strCache>
                <c:ptCount val="2"/>
                <c:pt idx="0">
                  <c:v>2025</c:v>
                </c:pt>
                <c:pt idx="1">
                  <c:v>2T26</c:v>
                </c:pt>
              </c:strCache>
            </c:strRef>
          </c:cat>
          <c:val>
            <c:numRef>
              <c:f>Hoja1!$B$2:$B$3</c:f>
              <c:numCache>
                <c:formatCode>0.0"x"</c:formatCode>
                <c:ptCount val="2"/>
                <c:pt idx="0">
                  <c:v>1.75</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Usos de la caja (USD, millones)</a:t>
            </a:r>
          </a:p>
        </c:rich>
      </c:tx>
      <c:overlay val="0"/>
    </c:title>
    <c:autoTitleDeleted val="0"/>
    <c:plotArea>
      <c:layout/>
      <c:barChart>
        <c:barDir val="col"/>
        <c:grouping val="stacked"/>
        <c:varyColors val="0"/>
        <c:ser>
          <c:idx val="0"/>
          <c:order val="0"/>
          <c:tx>
            <c:strRef>
              <c:f>Hoja1!$B$1</c:f>
              <c:strCache>
                <c:ptCount val="1"/>
                <c:pt idx="0">
                  <c:v>Dividendos</c:v>
                </c:pt>
              </c:strCache>
            </c:strRef>
          </c:tx>
          <c:spPr>
            <a:solidFill>
              <a:srgbClr val="2A78D6"/>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Hoja1!$B$2:$B$6</c:f>
              <c:numCache>
                <c:formatCode>#,##0</c:formatCode>
                <c:ptCount val="5"/>
                <c:pt idx="0">
                  <c:v>600</c:v>
                </c:pt>
                <c:pt idx="1">
                  <c:v>720</c:v>
                </c:pt>
                <c:pt idx="2">
                  <c:v>790</c:v>
                </c:pt>
                <c:pt idx="3">
                  <c:v>780</c:v>
                </c:pt>
                <c:pt idx="4">
                  <c:v>900</c:v>
                </c:pt>
              </c:numCache>
            </c:numRef>
          </c:val>
        </c:ser>
        <c:ser>
          <c:idx val="1"/>
          <c:order val="1"/>
          <c:tx>
            <c:strRef>
              <c:f>Hoja1!$C$1</c:f>
              <c:strCache>
                <c:ptCount val="1"/>
                <c:pt idx="0">
                  <c:v>Recompras</c:v>
                </c:pt>
              </c:strCache>
            </c:strRef>
          </c:tx>
          <c:spPr>
            <a:solidFill>
              <a:srgbClr val="EB6834"/>
            </a:solidFill>
            <a:ln w="12700">
              <a:solidFill>
                <a:srgbClr val="FFFFFF"/>
              </a:solidFill>
            </a:ln>
          </c:spPr>
          <c:invertIfNegative val="0"/>
          <c:cat>
            <c:strRef>
              <c:f>Hoja1!$A$2:$A$6</c:f>
              <c:strCache>
                <c:ptCount val="5"/>
                <c:pt idx="0">
                  <c:v>2021</c:v>
                </c:pt>
                <c:pt idx="1">
                  <c:v>2022</c:v>
                </c:pt>
                <c:pt idx="2">
                  <c:v>2023</c:v>
                </c:pt>
                <c:pt idx="3">
                  <c:v>2024</c:v>
                </c:pt>
                <c:pt idx="4">
                  <c:v>2025</c:v>
                </c:pt>
              </c:strCache>
            </c:strRef>
          </c:cat>
          <c:val>
            <c:numRef>
              <c:f>Hoja1!$C$2:$C$6</c:f>
              <c:numCache>
                <c:formatCode>#,##0</c:formatCode>
                <c:ptCount val="5"/>
                <c:pt idx="0">
                  <c:v>0</c:v>
                </c:pt>
                <c:pt idx="1">
                  <c:v>0</c:v>
                </c:pt>
                <c:pt idx="2">
                  <c:v>0</c:v>
                </c:pt>
                <c:pt idx="3">
                  <c:v>2000</c:v>
                </c:pt>
                <c:pt idx="4">
                  <c:v>1000</c:v>
                </c:pt>
              </c:numCache>
            </c:numRef>
          </c:val>
        </c:ser>
        <c:gapWidth val="60"/>
        <c:overlap val="10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legend>
      <c:legendPos val="b"/>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2.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Composición del consejo (número de consejeros)</a:t>
            </a:r>
          </a:p>
        </c:rich>
      </c:tx>
      <c:overlay val="0"/>
    </c:title>
    <c:autoTitleDeleted val="0"/>
    <c:plotArea>
      <c:layout/>
      <c:doughnutChart>
        <c:varyColors val="1"/>
        <c:ser>
          <c:idx val="0"/>
          <c:order val="0"/>
          <c:tx>
            <c:strRef>
              <c:f>Hoja1!$B$1</c:f>
              <c:strCache>
                <c:ptCount val="1"/>
                <c:pt idx="0">
                  <c:v>Consejeros</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Ejecutivo</c:v>
                </c:pt>
                <c:pt idx="1">
                  <c:v>Dominical</c:v>
                </c:pt>
              </c:strCache>
            </c:strRef>
          </c:cat>
          <c:val>
            <c:numRef>
              <c:f>Hoja1!$B$2:$B$3</c:f>
              <c:numCache>
                <c:formatCode>0</c:formatCode>
                <c:ptCount val="2"/>
                <c:pt idx="0">
                  <c:v>1</c:v>
                </c:pt>
                <c:pt idx="1">
                  <c:v>2</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3.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de los próximos 12 meses: empresa y comparables (veces)</a:t>
            </a:r>
          </a:p>
        </c:rich>
      </c:tx>
      <c:overlay val="0"/>
    </c:title>
    <c:autoTitleDeleted val="0"/>
    <c:plotArea>
      <c:layout/>
      <c:barChart>
        <c:barDir val="bar"/>
        <c:grouping val="clustered"/>
        <c:varyColors val="0"/>
        <c:ser>
          <c:idx val="0"/>
          <c:order val="0"/>
          <c:tx>
            <c:strRef>
              <c:f>Hoja1!$B$1</c:f>
              <c:strCache>
                <c:ptCount val="1"/>
                <c:pt idx="0">
                  <c:v>EV/EBITDA NTM</c:v>
                </c:pt>
              </c:strCache>
            </c:strRef>
          </c:tx>
          <c:spPr>
            <a:solidFill>
              <a:srgbClr val="2A78D6"/>
            </a:solidFill>
            <a:ln w="9525">
              <a:noFill/>
            </a:ln>
          </c:spPr>
          <c:invertIfNegative val="0"/>
          <c:dPt>
            <c:idx val="1"/>
            <c:invertIfNegative val="0"/>
            <c:bubble3D val="0"/>
            <c:spPr>
              <a:solidFill>
                <a:srgbClr val="C9C8C2"/>
              </a:solidFill>
            </c:spPr>
          </c:dPt>
          <c:dPt>
            <c:idx val="2"/>
            <c:invertIfNegative val="0"/>
            <c:bubble3D val="0"/>
            <c:spPr>
              <a:solidFill>
                <a:srgbClr val="C9C8C2"/>
              </a:solidFill>
            </c:spPr>
          </c:dPt>
          <c:dPt>
            <c:idx val="3"/>
            <c:invertIfNegative val="0"/>
            <c:bubble3D val="0"/>
            <c:spPr>
              <a:solidFill>
                <a:srgbClr val="C9C8C2"/>
              </a:solidFill>
            </c:spPr>
          </c:dPt>
          <c:dPt>
            <c:idx val="4"/>
            <c:invertIfNegative val="0"/>
            <c:bubble3D val="0"/>
            <c:spPr>
              <a:solidFill>
                <a:srgbClr val="C9C8C2"/>
              </a:solidFill>
            </c:spPr>
          </c:dPt>
          <c:dPt>
            <c:idx val="5"/>
            <c:invertIfNegative val="0"/>
            <c:bubble3D val="0"/>
            <c:spPr>
              <a:solidFill>
                <a:srgbClr val="C9C8C2"/>
              </a:solidFill>
            </c:spPr>
          </c:dPt>
          <c:dPt>
            <c:idx val="6"/>
            <c:invertIfNegative val="0"/>
            <c:bubble3D val="0"/>
            <c:spPr>
              <a:solidFill>
                <a:srgbClr val="C9C8C2"/>
              </a:solidFill>
            </c:spPr>
          </c:dPt>
          <c:dPt>
            <c:idx val="7"/>
            <c:invertIfNegative val="0"/>
            <c:bubble3D val="0"/>
            <c:spPr>
              <a:solidFill>
                <a:srgbClr val="C9C8C2"/>
              </a:solidFill>
            </c:spPr>
          </c:dPt>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Hoja1!$A$2:$A$9</c:f>
              <c:strCache>
                <c:ptCount val="8"/>
                <c:pt idx="0">
                  <c:v>Danaher</c:v>
                </c:pt>
                <c:pt idx="1">
                  <c:v>Thermo Fisher</c:v>
                </c:pt>
                <c:pt idx="2">
                  <c:v>Agilent</c:v>
                </c:pt>
                <c:pt idx="3">
                  <c:v>Waters</c:v>
                </c:pt>
                <c:pt idx="4">
                  <c:v>Mettler-Toledo</c:v>
                </c:pt>
                <c:pt idx="5">
                  <c:v>IQVIA</c:v>
                </c:pt>
                <c:pt idx="6">
                  <c:v>Charles River Laboratories</c:v>
                </c:pt>
                <c:pt idx="7">
                  <c:v>Qiagen</c:v>
                </c:pt>
              </c:strCache>
            </c:strRef>
          </c:cat>
          <c:val>
            <c:numRef>
              <c:f>Hoja1!$B$2:$B$9</c:f>
              <c:numCache>
                <c:formatCode>0.0"x"</c:formatCode>
                <c:ptCount val="8"/>
                <c:pt idx="1">
                  <c:v>21.3</c:v>
                </c:pt>
                <c:pt idx="5">
                  <c:v>13.4</c:v>
                </c:pt>
                <c:pt idx="6">
                  <c:v>15.9</c:v>
                </c:pt>
                <c:pt idx="7">
                  <c:v>12.2</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4.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Crecimiento esperado frente a múltiplo</a:t>
            </a:r>
          </a:p>
        </c:rich>
      </c:tx>
      <c:overlay val="0"/>
    </c:title>
    <c:autoTitleDeleted val="0"/>
    <c:plotArea>
      <c:layout/>
      <c:scatterChart>
        <c:scatterStyle val="lineMarker"/>
        <c:varyColors val="0"/>
        <c:ser>
          <c:idx val="0"/>
          <c:order val="0"/>
          <c:tx>
            <c:strRef>
              <c:f>Hoja1!$A$2</c:f>
              <c:strCache>
                <c:ptCount val="1"/>
                <c:pt idx="0">
                  <c:v>IQVIA</c:v>
                </c:pt>
              </c:strCache>
            </c:strRef>
          </c:tx>
          <c:spPr>
            <a:ln w="19050">
              <a:noFill/>
            </a:ln>
          </c:spPr>
          <c:marker>
            <c:symbol val="circle"/>
            <c:size val="10"/>
            <c:spPr>
              <a:solidFill>
                <a:srgbClr val="2A78D6"/>
              </a:solidFill>
              <a:ln w="9525">
                <a:solidFill>
                  <a:srgbClr val="FFFFFF"/>
                </a:solidFill>
              </a:ln>
            </c:spPr>
          </c:marker>
          <c:dLbls>
            <c:spPr>
              <a:noFill/>
              <a:ln>
                <a:noFill/>
              </a:ln>
            </c:spPr>
            <c:txPr>
              <a:bodyPr/>
              <a:lstStyle/>
              <a:p>
                <a:pPr>
                  <a:defRPr sz="800">
                    <a:solidFill>
                      <a:srgbClr val="1F2A3C"/>
                    </a:solidFill>
                  </a:defRPr>
                </a:pPr>
                <a:endParaRPr lang="es-ES"/>
              </a:p>
            </c:txPr>
            <c:dLblPos val="r"/>
            <c:showLegendKey val="0"/>
            <c:showVal val="0"/>
            <c:showCatName val="0"/>
            <c:showSerName val="1"/>
            <c:showPercent val="0"/>
            <c:showBubbleSize val="0"/>
          </c:dLbls>
          <c:xVal>
            <c:numRef>
              <c:f>Hoja1!$B$2</c:f>
              <c:numCache>
                <c:formatCode>0"%"</c:formatCode>
                <c:ptCount val="1"/>
                <c:pt idx="0">
                  <c:v>5.8</c:v>
                </c:pt>
              </c:numCache>
            </c:numRef>
          </c:xVal>
          <c:yVal>
            <c:numRef>
              <c:f>Hoja1!$C$2</c:f>
              <c:numCache>
                <c:formatCode>0.0"x"</c:formatCode>
                <c:ptCount val="1"/>
                <c:pt idx="0">
                  <c:v>13.4</c:v>
                </c:pt>
              </c:numCache>
            </c:numRef>
          </c:yVal>
          <c:smooth val="0"/>
        </c:ser>
        <c:ser>
          <c:idx val="1"/>
          <c:order val="1"/>
          <c:tx>
            <c:strRef>
              <c:f>Hoja1!$A$3</c:f>
              <c:strCache>
                <c:ptCount val="1"/>
                <c:pt idx="0">
                  <c:v>Charles River Laboratories</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Hoja1!$B$3</c:f>
              <c:numCache>
                <c:formatCode>0"%"</c:formatCode>
                <c:ptCount val="1"/>
                <c:pt idx="0">
                  <c:v>-0.1</c:v>
                </c:pt>
              </c:numCache>
            </c:numRef>
          </c:xVal>
          <c:yVal>
            <c:numRef>
              <c:f>Hoja1!$C$3</c:f>
              <c:numCache>
                <c:formatCode>0.0"x"</c:formatCode>
                <c:ptCount val="1"/>
                <c:pt idx="0">
                  <c:v>15.9</c:v>
                </c:pt>
              </c:numCache>
            </c:numRef>
          </c:yVal>
          <c:smooth val="0"/>
        </c:ser>
        <c:ser>
          <c:idx val="2"/>
          <c:order val="2"/>
          <c:tx>
            <c:strRef>
              <c:f>Hoja1!$A$4</c:f>
              <c:strCache>
                <c:ptCount val="1"/>
                <c:pt idx="0">
                  <c:v>Qiagen</c:v>
                </c:pt>
              </c:strCache>
            </c:strRef>
          </c:tx>
          <c:spPr>
            <a:ln w="19050">
              <a:noFill/>
            </a:ln>
          </c:spPr>
          <c:marker>
            <c:symbol val="circle"/>
            <c:size val="8"/>
            <c:spPr>
              <a:solidFill>
                <a:srgbClr val="8A8984"/>
              </a:solidFill>
              <a:ln w="9525">
                <a:solidFill>
                  <a:srgbClr val="FFFFFF"/>
                </a:solidFill>
              </a:ln>
            </c:spPr>
          </c:marker>
          <c:dLbls>
            <c:spPr>
              <a:noFill/>
              <a:ln>
                <a:noFill/>
              </a:ln>
            </c:spPr>
            <c:txPr>
              <a:bodyPr/>
              <a:lstStyle/>
              <a:p>
                <a:pPr>
                  <a:defRPr sz="800">
                    <a:solidFill>
                      <a:srgbClr val="52514E"/>
                    </a:solidFill>
                  </a:defRPr>
                </a:pPr>
                <a:endParaRPr lang="es-ES"/>
              </a:p>
            </c:txPr>
            <c:dLblPos val="r"/>
            <c:showLegendKey val="0"/>
            <c:showVal val="0"/>
            <c:showCatName val="0"/>
            <c:showSerName val="1"/>
            <c:showPercent val="0"/>
            <c:showBubbleSize val="0"/>
          </c:dLbls>
          <c:xVal>
            <c:numRef>
              <c:f>Hoja1!$B$4</c:f>
              <c:numCache>
                <c:formatCode>0"%"</c:formatCode>
                <c:ptCount val="1"/>
                <c:pt idx="0">
                  <c:v>3.8</c:v>
                </c:pt>
              </c:numCache>
            </c:numRef>
          </c:xVal>
          <c:yVal>
            <c:numRef>
              <c:f>Hoja1!$C$4</c:f>
              <c:numCache>
                <c:formatCode>0.0"x"</c:formatCode>
                <c:ptCount val="1"/>
                <c:pt idx="0">
                  <c:v>12.2</c:v>
                </c:pt>
              </c:numCache>
            </c:numRef>
          </c:yVal>
          <c:smooth val="0"/>
        </c:ser>
        <c:axId val="10"/>
        <c:axId val="20"/>
      </c:scatterChart>
      <c:valAx>
        <c:axId val="10"/>
        <c:scaling>
          <c:orientation val="minMax"/>
          <c:max val="8"/>
        </c:scaling>
        <c:delete val="0"/>
        <c:axPos val="b"/>
        <c:title>
          <c:tx>
            <c:rich>
              <a:bodyPr/>
              <a:lstStyle/>
              <a:p>
                <a:pPr>
                  <a:defRPr sz="850" b="0">
                    <a:solidFill>
                      <a:srgbClr val="52514E"/>
                    </a:solidFill>
                  </a:defRPr>
                </a:pPr>
                <a:r>
                  <a:rPr lang="es-ES" sz="850" b="0">
                    <a:solidFill>
                      <a:srgbClr val="52514E"/>
                    </a:solidFill>
                  </a:rPr>
                  <a:t>Crecimiento de ingresos próximos 12 meses (%)</a:t>
                </a:r>
              </a:p>
            </c:rich>
          </c:tx>
          <c:overlay val="0"/>
        </c:title>
        <c:numFmt formatCode="0&quot;%&quot;"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crossBetween val="midCat"/>
      </c:valAx>
      <c:valAx>
        <c:axId val="20"/>
        <c:scaling>
          <c:orientation val="minMax"/>
          <c:min val="11"/>
        </c:scaling>
        <c:delete val="0"/>
        <c:axPos val="l"/>
        <c:majorGridlines>
          <c:spPr>
            <a:ln w="6350">
              <a:solidFill>
                <a:srgbClr val="E4E3DF"/>
              </a:solidFill>
            </a:ln>
          </c:spPr>
        </c:majorGridlines>
        <c:title>
          <c:tx>
            <c:rich>
              <a:bodyPr rot="-5400000" vert="horz"/>
              <a:lstStyle/>
              <a:p>
                <a:pPr>
                  <a:defRPr sz="850" b="0">
                    <a:solidFill>
                      <a:srgbClr val="52514E"/>
                    </a:solidFill>
                  </a:defRPr>
                </a:pPr>
                <a:r>
                  <a:rPr lang="es-ES" sz="850" b="0">
                    <a:solidFill>
                      <a:srgbClr val="52514E"/>
                    </a:solidFill>
                  </a:rPr>
                  <a:t>EV/EBITDA NTM (x)</a:t>
                </a:r>
              </a:p>
            </c:rich>
          </c:tx>
          <c:overlay val="0"/>
        </c:title>
        <c:numFmt formatCode="0.0&quot;x&quot;" sourceLinked="0"/>
        <c:majorTickMark val="none"/>
        <c:minorTickMark val="none"/>
        <c:tickLblPos val="low"/>
        <c:spPr>
          <a:ln>
            <a:noFill/>
          </a:ln>
        </c:spPr>
        <c:txPr>
          <a:bodyPr/>
          <a:lstStyle/>
          <a:p>
            <a:pPr>
              <a:defRPr sz="850">
                <a:solidFill>
                  <a:srgbClr val="52514E"/>
                </a:solidFill>
              </a:defRPr>
            </a:pPr>
            <a:endParaRPr lang="es-ES"/>
          </a:p>
        </c:txPr>
        <c:crossAx val="10"/>
        <c:crosses val="autoZero"/>
        <c:crossBetween val="midCat"/>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5.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EV/EBITDA pagado en transacciones del sector (veces)</a:t>
            </a:r>
          </a:p>
        </c:rich>
      </c:tx>
      <c:overlay val="0"/>
    </c:title>
    <c:autoTitleDeleted val="0"/>
    <c:plotArea>
      <c:layout/>
      <c:barChart>
        <c:barDir val="bar"/>
        <c:grouping val="clustered"/>
        <c:varyColors val="0"/>
        <c:ser>
          <c:idx val="0"/>
          <c:order val="0"/>
          <c:tx>
            <c:strRef>
              <c:f>Hoja1!$B$1</c:f>
              <c:strCache>
                <c:ptCount val="1"/>
                <c:pt idx="0">
                  <c:v>EV/EBITDA</c:v>
                </c:pt>
              </c:strCache>
            </c:strRef>
          </c:tx>
          <c:spPr>
            <a:solidFill>
              <a:srgbClr val="2A78D6"/>
            </a:solidFill>
            <a:ln w="9525">
              <a:noFill/>
            </a:ln>
          </c:spPr>
          <c:invertIfNegative val="0"/>
          <c:dLbls>
            <c:numFmt formatCode="0.0&quot;x&quot;"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Hoja1!$A$2:$A$5</c:f>
              <c:strCache>
                <c:ptCount val="4"/>
                <c:pt idx="0">
                  <c:v>Masimo</c:v>
                </c:pt>
                <c:pt idx="1">
                  <c:v>Abcam</c:v>
                </c:pt>
                <c:pt idx="2">
                  <c:v>Clario</c:v>
                </c:pt>
                <c:pt idx="3">
                  <c:v>Cytiva</c:v>
                </c:pt>
              </c:strCache>
            </c:strRef>
          </c:cat>
          <c:val>
            <c:numRef>
              <c:f>Hoja1!$B$2:$B$5</c:f>
              <c:numCache>
                <c:formatCode>0.0"x"</c:formatCode>
                <c:ptCount val="4"/>
                <c:pt idx="0">
                  <c:v>18</c:v>
                </c:pt>
              </c:numCache>
            </c:numRef>
          </c:val>
        </c:ser>
        <c:gapWidth val="70"/>
        <c:overlap val="-1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b"/>
        <c:majorGridlines>
          <c:spPr>
            <a:ln w="6350">
              <a:solidFill>
                <a:srgbClr val="E4E3DF"/>
              </a:solidFill>
            </a:ln>
          </c:spPr>
        </c:majorGridlines>
        <c:numFmt formatCode="0.0&quot;x&quot;"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6.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Flujo de caja libre para la empresa proyectado (USD, millones)</a:t>
            </a:r>
          </a:p>
        </c:rich>
      </c:tx>
      <c:overlay val="0"/>
    </c:title>
    <c:autoTitleDeleted val="0"/>
    <c:plotArea>
      <c:layout/>
      <c:barChart>
        <c:barDir val="col"/>
        <c:grouping val="clustered"/>
        <c:varyColors val="0"/>
        <c:ser>
          <c:idx val="0"/>
          <c:order val="0"/>
          <c:tx>
            <c:strRef>
              <c:f>Hoja1!$B$1</c:f>
              <c:strCache>
                <c:ptCount val="1"/>
                <c:pt idx="0">
                  <c:v>FCFF</c:v>
                </c:pt>
              </c:strCache>
            </c:strRef>
          </c:tx>
          <c:spPr>
            <a:solidFill>
              <a:srgbClr val="2A78D6"/>
            </a:solidFill>
            <a:ln w="9525">
              <a:noFill/>
            </a:ln>
          </c:spPr>
          <c:invertIfNegative val="0"/>
          <c:dLbls>
            <c:numFmt formatCode="#,##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Hoja1!$A$2:$A$11</c:f>
              <c:strCache>
                <c:ptCount val="10"/>
                <c:pt idx="0">
                  <c:v>2026e</c:v>
                </c:pt>
                <c:pt idx="1">
                  <c:v>2027e</c:v>
                </c:pt>
                <c:pt idx="2">
                  <c:v>2028e</c:v>
                </c:pt>
                <c:pt idx="3">
                  <c:v>2029e</c:v>
                </c:pt>
                <c:pt idx="4">
                  <c:v>2030e</c:v>
                </c:pt>
                <c:pt idx="5">
                  <c:v>2031e</c:v>
                </c:pt>
                <c:pt idx="6">
                  <c:v>2032e</c:v>
                </c:pt>
                <c:pt idx="7">
                  <c:v>2033e</c:v>
                </c:pt>
                <c:pt idx="8">
                  <c:v>2034e</c:v>
                </c:pt>
                <c:pt idx="9">
                  <c:v>2035e</c:v>
                </c:pt>
              </c:strCache>
            </c:strRef>
          </c:cat>
          <c:val>
            <c:numRef>
              <c:f>Hoja1!$B$2:$B$11</c:f>
              <c:numCache>
                <c:formatCode>#,##0</c:formatCode>
                <c:ptCount val="10"/>
                <c:pt idx="0">
                  <c:v>1613</c:v>
                </c:pt>
                <c:pt idx="1">
                  <c:v>5797</c:v>
                </c:pt>
                <c:pt idx="2">
                  <c:v>6281</c:v>
                </c:pt>
                <c:pt idx="3">
                  <c:v>6749</c:v>
                </c:pt>
                <c:pt idx="4">
                  <c:v>7216</c:v>
                </c:pt>
                <c:pt idx="5">
                  <c:v>7533</c:v>
                </c:pt>
                <c:pt idx="6">
                  <c:v>7827</c:v>
                </c:pt>
                <c:pt idx="7">
                  <c:v>8059</c:v>
                </c:pt>
                <c:pt idx="8">
                  <c:v>8259</c:v>
                </c:pt>
                <c:pt idx="9">
                  <c:v>8471</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7.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De dónde sale el valor empresa del DCF (USD, millones)</a:t>
            </a:r>
          </a:p>
        </c:rich>
      </c:tx>
      <c:overlay val="0"/>
    </c:title>
    <c:autoTitleDeleted val="0"/>
    <c:plotArea>
      <c:layout/>
      <c:doughnutChart>
        <c:varyColors val="1"/>
        <c:ser>
          <c:idx val="0"/>
          <c:order val="0"/>
          <c:tx>
            <c:strRef>
              <c:f>Hoja1!$B$1</c:f>
              <c:strCache>
                <c:ptCount val="1"/>
                <c:pt idx="0">
                  <c:v>Valor actual</c:v>
                </c:pt>
              </c:strCache>
            </c:strRef>
          </c:tx>
          <c:dPt>
            <c:idx val="0"/>
            <c:bubble3D val="0"/>
            <c:spPr>
              <a:solidFill>
                <a:srgbClr val="2A78D6"/>
              </a:solidFill>
              <a:ln w="19050">
                <a:solidFill>
                  <a:srgbClr val="FFFFFF"/>
                </a:solidFill>
              </a:ln>
            </c:spPr>
          </c:dPt>
          <c:dPt>
            <c:idx val="1"/>
            <c:bubble3D val="0"/>
            <c:spPr>
              <a:solidFill>
                <a:srgbClr val="EB6834"/>
              </a:solidFill>
              <a:ln w="19050">
                <a:solidFill>
                  <a:srgbClr val="FFFFFF"/>
                </a:solidFill>
              </a:ln>
            </c:spPr>
          </c:dPt>
          <c:dLbls>
            <c:numFmt formatCode="#,##0" sourceLinked="0"/>
            <c:spPr>
              <a:noFill/>
              <a:ln>
                <a:noFill/>
              </a:ln>
            </c:spPr>
            <c:txPr>
              <a:bodyPr/>
              <a:lstStyle/>
              <a:p>
                <a:pPr>
                  <a:defRPr sz="800">
                    <a:solidFill>
                      <a:srgbClr val="1F2A3C"/>
                    </a:solidFill>
                  </a:defRPr>
                </a:pPr>
                <a:endParaRPr lang="es-ES"/>
              </a:p>
            </c:txPr>
            <c:showLegendKey val="0"/>
            <c:showVal val="1"/>
            <c:showCatName val="0"/>
            <c:showSerName val="0"/>
            <c:showPercent val="0"/>
            <c:showBubbleSize val="0"/>
            <c:showLeaderLines val="1"/>
          </c:dLbls>
          <c:cat>
            <c:strRef>
              <c:f>Hoja1!$A$2:$A$3</c:f>
              <c:strCache>
                <c:ptCount val="2"/>
                <c:pt idx="0">
                  <c:v>Flujos proyectados</c:v>
                </c:pt>
                <c:pt idx="1">
                  <c:v>Valor terminal</c:v>
                </c:pt>
              </c:strCache>
            </c:strRef>
          </c:cat>
          <c:val>
            <c:numRef>
              <c:f>Hoja1!$B$2:$B$3</c:f>
              <c:numCache>
                <c:formatCode>#,##0</c:formatCode>
                <c:ptCount val="2"/>
                <c:pt idx="0">
                  <c:v>43978</c:v>
                </c:pt>
                <c:pt idx="1">
                  <c:v>62557</c:v>
                </c:pt>
              </c:numCache>
            </c:numRef>
          </c:val>
        </c:ser>
        <c:firstSliceAng val="0"/>
        <c:holeSize val="55"/>
      </c:doughnutChart>
    </c:plotArea>
    <c:legend>
      <c:legendPos val="r"/>
      <c:overlay val="0"/>
      <c:txPr>
        <a:bodyPr/>
        <a:lstStyle/>
        <a:p>
          <a:pPr>
            <a:defRPr sz="850">
              <a:solidFill>
                <a:srgbClr val="52514E"/>
              </a:solidFill>
            </a:defRPr>
          </a:pPr>
          <a:endParaRPr lang="es-ES"/>
        </a:p>
      </c:txPr>
    </c:legend>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8.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por escenario (USD) · precio actual 215,60</a:t>
            </a:r>
          </a:p>
        </c:rich>
      </c:tx>
      <c:overlay val="0"/>
    </c:title>
    <c:autoTitleDeleted val="0"/>
    <c:plotArea>
      <c:layout/>
      <c:barChart>
        <c:barDir val="col"/>
        <c:grouping val="clustered"/>
        <c:varyColors val="0"/>
        <c:ser>
          <c:idx val="0"/>
          <c:order val="0"/>
          <c:tx>
            <c:strRef>
              <c:f>Hoja1!$B$1</c:f>
              <c:strCache>
                <c:ptCount val="1"/>
                <c:pt idx="0">
                  <c:v>Valor por acción</c:v>
                </c:pt>
              </c:strCache>
            </c:strRef>
          </c:tx>
          <c:spPr>
            <a:solidFill>
              <a:srgbClr val="2A78D6"/>
            </a:solidFill>
            <a:ln w="9525">
              <a:noFill/>
            </a:ln>
          </c:spPr>
          <c:invertIfNegative val="0"/>
          <c:dLbls>
            <c:numFmt formatCode="#,##0.00" sourceLinked="0"/>
            <c:spPr>
              <a:noFill/>
              <a:ln>
                <a:noFill/>
              </a:ln>
            </c:spPr>
            <c:txPr>
              <a:bodyPr/>
              <a:lstStyle/>
              <a:p>
                <a:pPr>
                  <a:defRPr sz="800">
                    <a:solidFill>
                      <a:srgbClr val="52514E"/>
                    </a:solidFill>
                  </a:defRPr>
                </a:pPr>
                <a:endParaRPr lang="es-ES"/>
              </a:p>
            </c:txPr>
            <c:dLblPos val="outEnd"/>
            <c:showLegendKey val="0"/>
            <c:showVal val="1"/>
            <c:showCatName val="0"/>
            <c:showSerName val="0"/>
            <c:showPercent val="0"/>
            <c:showBubbleSize val="0"/>
          </c:dLbls>
          <c:cat>
            <c:strRef>
              <c:f>Hoja1!$A$2:$A$4</c:f>
              <c:strCache>
                <c:ptCount val="3"/>
                <c:pt idx="0">
                  <c:v>Bajista</c:v>
                </c:pt>
                <c:pt idx="1">
                  <c:v>Base</c:v>
                </c:pt>
                <c:pt idx="2">
                  <c:v>Alcista</c:v>
                </c:pt>
              </c:strCache>
            </c:strRef>
          </c:cat>
          <c:val>
            <c:numRef>
              <c:f>Hoja1!$B$2:$B$4</c:f>
              <c:numCache>
                <c:formatCode>#,##0.00</c:formatCode>
                <c:ptCount val="3"/>
                <c:pt idx="0">
                  <c:v>88.95</c:v>
                </c:pt>
                <c:pt idx="1">
                  <c:v>119.97</c:v>
                </c:pt>
                <c:pt idx="2">
                  <c:v>138.08</c:v>
                </c:pt>
              </c:numCache>
            </c:numRef>
          </c:val>
        </c:ser>
        <c:gapWidth val="70"/>
        <c:overlap val="-10"/>
        <c:axId val="10"/>
        <c:axId val="20"/>
      </c:barChart>
      <c:catAx>
        <c:axId val="10"/>
        <c:scaling>
          <c:orientation val="minMax"/>
        </c:scaling>
        <c:delete val="0"/>
        <c:axPos val="b"/>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scaling>
        <c:delete val="0"/>
        <c:axPos val="l"/>
        <c:majorGridlines>
          <c:spPr>
            <a:ln w="6350">
              <a:solidFill>
                <a:srgbClr val="E4E3DF"/>
              </a:solidFill>
            </a:ln>
          </c:spPr>
        </c:majorGridlines>
        <c:numFmt formatCode="#,##0.00" sourceLinked="0"/>
        <c:majorTickMark val="none"/>
        <c:minorTickMark val="none"/>
        <c:tickLblPos val="nextTo"/>
        <c:spPr>
          <a:ln>
            <a:noFill/>
          </a:ln>
        </c:spPr>
        <c:txPr>
          <a:bodyPr/>
          <a:lstStyle/>
          <a:p>
            <a:pPr>
              <a:defRPr sz="850">
                <a:solidFill>
                  <a:srgbClr val="52514E"/>
                </a:solidFill>
              </a:defRPr>
            </a:pPr>
            <a:endParaRPr lang="es-ES"/>
          </a:p>
        </c:txPr>
        <c:crossAx val="10"/>
        <c:crosses val="autoZero"/>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charts/chart19.xml><?xml version="1.0" encoding="utf-8"?>
<c:chartSpace xmlns:c="http://schemas.openxmlformats.org/drawingml/2006/chart" xmlns:a="http://schemas.openxmlformats.org/drawingml/2006/main" xmlns:r="http://schemas.openxmlformats.org/officeDocument/2006/relationships">
  <c:date1904 val="0"/>
  <c:lang val="es-ES"/>
  <c:roundedCorners val="0"/>
  <c:chart>
    <c:title>
      <c:tx>
        <c:rich>
          <a:bodyPr/>
          <a:lstStyle/>
          <a:p>
            <a:pPr algn="l">
              <a:defRPr sz="1050" b="1">
                <a:solidFill>
                  <a:srgbClr val="1F2A3C"/>
                </a:solidFill>
              </a:defRPr>
            </a:pPr>
            <a:r>
              <a:rPr lang="es-ES" sz="1050" b="1">
                <a:solidFill>
                  <a:srgbClr val="1F2A3C"/>
                </a:solidFill>
              </a:rPr>
              <a:t>Valor por acción según cada método (USD) · precio actual 215,60</a:t>
            </a:r>
          </a:p>
        </c:rich>
      </c:tx>
      <c:overlay val="0"/>
    </c:title>
    <c:autoTitleDeleted val="0"/>
    <c:plotArea>
      <c:layout/>
      <c:barChart>
        <c:barDir val="bar"/>
        <c:grouping val="stacked"/>
        <c:varyColors val="0"/>
        <c:ser>
          <c:idx val="0"/>
          <c:order val="0"/>
          <c:tx>
            <c:strRef>
              <c:f>Hoja1!$B$1</c:f>
              <c:strCache>
                <c:ptCount val="1"/>
                <c:pt idx="0">
                  <c:v>Desde</c:v>
                </c:pt>
              </c:strCache>
            </c:strRef>
          </c:tx>
          <c:spPr>
            <a:noFill/>
            <a:ln>
              <a:noFill/>
            </a:ln>
          </c:spPr>
          <c:invertIfNegative val="0"/>
          <c:cat>
            <c:strRef>
              <c:f>Hoja1!$A$2:$A$8</c:f>
              <c:strCache>
                <c:ptCount val="7"/>
                <c:pt idx="0">
                  <c:v>Cotización 52 semanas (160,93 – 242,80)</c:v>
                </c:pt>
                <c:pt idx="1">
                  <c:v>Precio objetivo de los analistas (200,00 – 265,00)</c:v>
                </c:pt>
                <c:pt idx="2">
                  <c:v>Comparables: PER NTM (177,42 – 206,85)</c:v>
                </c:pt>
                <c:pt idx="3">
                  <c:v>DCF (WACC y g ± 0,5) (102,85 – 143,49)</c:v>
                </c:pt>
                <c:pt idx="4">
                  <c:v>Escenarios (bajista – alcista) (88,95 – 138,08)</c:v>
                </c:pt>
                <c:pt idx="5">
                  <c:v>DCF con la prima implícita del mercado (4,2 %)</c:v>
                </c:pt>
                <c:pt idx="6">
                  <c:v>Precio actual (215,60)</c:v>
                </c:pt>
              </c:strCache>
            </c:strRef>
          </c:cat>
          <c:val>
            <c:numRef>
              <c:f>Hoja1!$B$2:$B$8</c:f>
              <c:numCache>
                <c:formatCode>#,##0</c:formatCode>
                <c:ptCount val="7"/>
                <c:pt idx="0">
                  <c:v>160.93</c:v>
                </c:pt>
                <c:pt idx="1">
                  <c:v>200</c:v>
                </c:pt>
                <c:pt idx="2">
                  <c:v>177.42</c:v>
                </c:pt>
                <c:pt idx="3">
                  <c:v>102.85</c:v>
                </c:pt>
                <c:pt idx="4">
                  <c:v>88.95</c:v>
                </c:pt>
                <c:pt idx="5">
                  <c:v>132.45</c:v>
                </c:pt>
                <c:pt idx="6">
                  <c:v>214.52</c:v>
                </c:pt>
              </c:numCache>
            </c:numRef>
          </c:val>
        </c:ser>
        <c:ser>
          <c:idx val="1"/>
          <c:order val="1"/>
          <c:tx>
            <c:strRef>
              <c:f>Hoja1!$C$1</c:f>
              <c:strCache>
                <c:ptCount val="1"/>
                <c:pt idx="0">
                  <c:v>Rango</c:v>
                </c:pt>
              </c:strCache>
            </c:strRef>
          </c:tx>
          <c:spPr>
            <a:solidFill>
              <a:srgbClr val="2A78D6"/>
            </a:solidFill>
            <a:ln w="12700">
              <a:noFill/>
            </a:ln>
          </c:spPr>
          <c:invertIfNegative val="0"/>
          <c:dPt>
            <c:idx val="0"/>
            <c:invertIfNegative val="0"/>
            <c:bubble3D val="0"/>
            <c:spPr>
              <a:solidFill>
                <a:srgbClr val="C9C8C2"/>
              </a:solidFill>
            </c:spPr>
          </c:dPt>
          <c:dPt>
            <c:idx val="1"/>
            <c:invertIfNegative val="0"/>
            <c:bubble3D val="0"/>
            <c:spPr>
              <a:solidFill>
                <a:srgbClr val="C9C8C2"/>
              </a:solidFill>
            </c:spPr>
          </c:dPt>
          <c:dPt>
            <c:idx val="6"/>
            <c:invertIfNegative val="0"/>
            <c:bubble3D val="0"/>
            <c:spPr>
              <a:solidFill>
                <a:srgbClr val="C9C8C2"/>
              </a:solidFill>
            </c:spPr>
          </c:dPt>
          <c:cat>
            <c:strRef>
              <c:f>Hoja1!$A$2:$A$8</c:f>
              <c:strCache>
                <c:ptCount val="7"/>
                <c:pt idx="0">
                  <c:v>Cotización 52 semanas (160,93 – 242,80)</c:v>
                </c:pt>
                <c:pt idx="1">
                  <c:v>Precio objetivo de los analistas (200,00 – 265,00)</c:v>
                </c:pt>
                <c:pt idx="2">
                  <c:v>Comparables: PER NTM (177,42 – 206,85)</c:v>
                </c:pt>
                <c:pt idx="3">
                  <c:v>DCF (WACC y g ± 0,5) (102,85 – 143,49)</c:v>
                </c:pt>
                <c:pt idx="4">
                  <c:v>Escenarios (bajista – alcista) (88,95 – 138,08)</c:v>
                </c:pt>
                <c:pt idx="5">
                  <c:v>DCF con la prima implícita del mercado (4,2 %)</c:v>
                </c:pt>
                <c:pt idx="6">
                  <c:v>Precio actual (215,60)</c:v>
                </c:pt>
              </c:strCache>
            </c:strRef>
          </c:cat>
          <c:val>
            <c:numRef>
              <c:f>Hoja1!$C$2:$C$8</c:f>
              <c:numCache>
                <c:formatCode>#,##0</c:formatCode>
                <c:ptCount val="7"/>
                <c:pt idx="0">
                  <c:v>81.87</c:v>
                </c:pt>
                <c:pt idx="1">
                  <c:v>65</c:v>
                </c:pt>
                <c:pt idx="2">
                  <c:v>29.430000000000007</c:v>
                </c:pt>
                <c:pt idx="3">
                  <c:v>40.640000000000015</c:v>
                </c:pt>
                <c:pt idx="4">
                  <c:v>49.13000000000001</c:v>
                </c:pt>
                <c:pt idx="5">
                  <c:v>34.69</c:v>
                </c:pt>
                <c:pt idx="6">
                  <c:v>2.1599999999999966</c:v>
                </c:pt>
              </c:numCache>
            </c:numRef>
          </c:val>
        </c:ser>
        <c:gapWidth val="60"/>
        <c:overlap val="100"/>
        <c:axId val="10"/>
        <c:axId val="20"/>
      </c:barChart>
      <c:catAx>
        <c:axId val="10"/>
        <c:scaling>
          <c:orientation val="maxMin"/>
        </c:scaling>
        <c:delete val="0"/>
        <c:axPos val="l"/>
        <c:numFmt formatCode="General" sourceLinked="0"/>
        <c:majorTickMark val="none"/>
        <c:minorTickMark val="none"/>
        <c:tickLblPos val="low"/>
        <c:spPr>
          <a:ln w="9525">
            <a:solidFill>
              <a:srgbClr val="A3A29C"/>
            </a:solidFill>
          </a:ln>
        </c:spPr>
        <c:txPr>
          <a:bodyPr/>
          <a:lstStyle/>
          <a:p>
            <a:pPr>
              <a:defRPr sz="850">
                <a:solidFill>
                  <a:srgbClr val="52514E"/>
                </a:solidFill>
              </a:defRPr>
            </a:pPr>
            <a:endParaRPr lang="es-ES"/>
          </a:p>
        </c:txPr>
        <c:crossAx val="20"/>
        <c:crosses val="autoZero"/>
        <c:auto val="1"/>
        <c:lblAlgn val="ctr"/>
        <c:lblOffset val="100"/>
        <c:noMultiLvlLbl val="0"/>
      </c:catAx>
      <c:valAx>
        <c:axId val="20"/>
        <c:scaling>
          <c:orientation val="minMax"/>
          <c:min val="70"/>
        </c:scaling>
        <c:delete val="0"/>
        <c:axPos val="b"/>
        <c:majorGridlines>
          <c:spPr>
            <a:ln w="6350">
              <a:solidFill>
                <a:srgbClr val="E4E3DF"/>
              </a:solidFill>
            </a:ln>
          </c:spPr>
        </c:majorGridlines>
        <c:numFmt formatCode="#,##0" sourceLinked="0"/>
        <c:majorTickMark val="none"/>
        <c:minorTickMark val="none"/>
        <c:tickLblPos val="nextTo"/>
        <c:spPr>
          <a:ln>
            <a:noFill/>
          </a:ln>
        </c:spPr>
        <c:txPr>
          <a:bodyPr/>
          <a:lstStyle/>
          <a:p>
            <a:pPr>
              <a:defRPr sz="850">
                <a:solidFill>
                  <a:srgbClr val="52514E"/>
                </a:solidFill>
              </a:defRPr>
            </a:pPr>
            <a:endParaRPr lang="es-ES"/>
          </a:p>
        </c:txPr>
        <c:crossAx val="10"/>
        <c:crosses val="max"/>
        <c:crossBetween val="between"/>
      </c:valAx>
    </c:plotArea>
    <c:plotVisOnly val="1"/>
    <c:dispBlanksAs val="gap"/>
  </c:chart>
  <c:spPr>
    <a:noFill/>
    <a:ln>
      <a:noFill/>
    </a:ln>
  </c:spPr>
  <c:txPr>
    <a:bodyPr/>
    <a:lstStyle/>
    <a:p>
      <a:pPr>
        <a:defRPr sz="900">
          <a:solidFill>
            <a:srgbClr val="52514E"/>
          </a:solidFill>
        </a:defRPr>
      </a:pPr>
      <a:endParaRPr lang="es-E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Análisis de empresa cotizada — plantilla</dc:title>
  <dc:creator>analisis-inversion</dc:creator>
  <cp:lastModifiedBy>Un-named</cp:lastModifiedBy>
  <cp:revision>1</cp:revision>
  <dcterms:created xsi:type="dcterms:W3CDTF">2026-10-14T17:04:42.347Z</dcterms:created>
  <dcterms:modified xsi:type="dcterms:W3CDTF">2026-10-14T17:04:42.347Z</dcterms:modified>
</cp:coreProperties>
</file>

<file path=docProps/custom.xml><?xml version="1.0" encoding="utf-8"?>
<Properties xmlns="http://schemas.openxmlformats.org/officeDocument/2006/custom-properties" xmlns:vt="http://schemas.openxmlformats.org/officeDocument/2006/docPropsVTypes"/>
</file>