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Dassault Systèmes SE</w:t>
      </w:r>
    </w:p>
    <w:p>
      <w:pPr>
        <w:spacing w:after="60"/>
        <w:rPr>
          <w:color w:val="52514E"/>
          <w:sz w:val="22"/>
          <w:szCs w:val="22"/>
        </w:rPr>
      </w:pPr>
      <w:r>
        <w:rPr>
          <w:color w:val="52514E"/>
          <w:sz w:val="22"/>
          <w:szCs w:val="22"/>
        </w:rPr>
        <w:t xml:space="preserve">DSY · Euronext Paris · ISIN FR0014003TT8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25,55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+20,0 % (base +21,2 %)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25,08 EUR · mercado 30,22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28.507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Dassault Systèmes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DSY / FR0014003TT8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Vélizy-Villacoublay (Francia)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www.3ds.com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15,82 – 30,36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26.914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38,9 M EUR/día (3 meses; 1,89 M acciones)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25,55 EUR</w:t>
      </w:r>
      <w:r>
        <w:t xml:space="preserve"> frente a 21,51 · Rentabilidad a 12 meses </w:t>
      </w:r>
      <w:r>
        <w:rPr>
          <w:b/>
          <w:bCs/>
        </w:rPr>
        <w:t xml:space="preserve">+20,0 % (base +21,2 %)</w:t>
      </w:r>
      <w:r>
        <w:t xml:space="preserve"> · Valor intrínseco 25,08 EUR · con la prima implícita del mercado: 30,22 (+40,5 %) · Alcista / bajista +39,1 % / -19,1 %</w:t>
      </w:r>
    </w:p>
    <w:p>
      <w:pPr>
        <w:spacing w:after="100"/>
      </w:pPr>
      <w:r>
        <w:rPr>
          <w:b/>
        </w:rPr>
        <w:t xml:space="preserve">La recomendación y por qué.</w:t>
      </w:r>
      <w:r>
        <w:t xml:space="preserve"> Comprar, con convicción media. La convicción es media, la que dan los criterios: la rentabilidad total esperada (17,9 %) no llega al 25 % y el precio descuenta 2,4 puntos de crecimiento menos que nuestro base, no tres; la subiría una guía de 2027 por encima del 5 % a tipo constante y la bajaría otro recorte de guía. El valor objetivo es de 25,08 EUR frente a 21,51 EUR (cierre del 6-oct-2026), un potencial del 16,6 % que con el dividendo da una rentabilidad total esperada del 17,9 %. El alcista gana 2,05 veces lo que pierde el bajista. El precio descuenta un crecimiento del 1,9 % anual hasta 2035 para una empresa que factura un 82 % recurrente y cuya guía para 2026 es de un 3-5 % a tipo constante [1, 2]. Las dos reglas dan Comprar: con nuestro WACC del 8,13 % y con la prima implícita del mercado (4,2 %) [73], que eleva el objetivo a 30,22 EUR.</w:t>
      </w:r>
    </w:p>
    <w:p>
      <w:pPr>
        <w:spacing w:after="100"/>
      </w:pPr>
      <w:r>
        <w:rPr>
          <w:b/>
        </w:rPr>
        <w:t xml:space="preserve">El negocio.</w:t>
      </w:r>
      <w:r>
        <w:t xml:space="preserve"> CATIA, SOLIDWORKS, SIMULIA y Medidata forman un foso de costes de cambio [4]. El ROIC del 13,8 % supera al WACC solo en 5,7 puntos porque el capital es casi todo fondo de comercio de Medidata; sin él, pasa del 90 %. El problema no es la calidad sino el ritmo: el PLM crece al 9,6 % [27] y Dassault, al 3-4 % a tipo constante, frenada por Ciencias de la vida (−3 % en el 1S26) y por el paso de licencias a suscripción [2]. La calidad sí sostiene el crecimiento que proyectamos (veredicto: sí): un 4,1 % anual, menos de la mitad del mercado, casi sin capital nuevo y con una cuota en 2035e del 8,6 % frente al 8,3 % de hoy; lo que no está demostrado es el poder de precios, que la empresa no publica.</w:t>
      </w:r>
    </w:p>
    <w:p>
      <w:pPr>
        <w:spacing w:after="100"/>
      </w:pPr>
      <w:r>
        <w:rPr>
          <w:b/>
        </w:rPr>
        <w:t xml:space="preserve">Finanzas.</w:t>
      </w:r>
      <w:r>
        <w:t xml:space="preserve"> La empresa guía en non-IFRS, que en 2025 dejó fuera 639 M de costes (10,3 puntos de margen), entre ellos 250 M de remuneración en acciones [1]. Trabajamos en NIIF y tratamos esa remuneración como coste, normalizada en el ~3 % de las ventas: su caída a 39 M en el 1S26 infla el margen NIIF de 2026 [2]. La caja neta ajustada es de 1.599 M antes de pagar ArisGlobal (~1.610 M EUR); el flujo libre rinde un 5,2 %.</w:t>
      </w:r>
    </w:p>
    <w:p>
      <w:pPr>
        <w:spacing w:after="100"/>
      </w:pPr>
      <w:r>
        <w:rPr>
          <w:b/>
        </w:rPr>
        <w:t xml:space="preserve">Equipo y gobierno.</w:t>
      </w:r>
      <w:r>
        <w:t xml:space="preserve"> Restan. El Groupe Industriel Marcel Dassault controla el 53,75 % de los votos con el 39,91 % del capital, por el voto doble [4]. Pascal Daloz es presidente y primer ejecutivo desde la salida sin aviso de Bernard Charlès en febrero de 2026 [29]. La guía se incumplió en 2024 y solo en parte se cumplió en 2025 [10, 36]. Sin el voto de GIMD, el 52,5 % del capital libre presente rechazó en 2026 una política de remuneración ligada al BPA non-IFRS [30]. A favor, Charles Edelstenne ha comprado 400.000 acciones en el último año [33].</w:t>
      </w:r>
    </w:p>
    <w:p>
      <w:pPr>
        <w:spacing w:after="100"/>
      </w:pPr>
      <w:r>
        <w:rPr>
          <w:b/>
        </w:rPr>
        <w:t xml:space="preserve">Valoración.</w:t>
      </w:r>
      <w:r>
        <w:t xml:space="preserve"> El DCF da 25,17 EUR, un 17,0 % por encima del precio, con proyecciones un 1,3-4,8 % por debajo del consenso. Con nuestras cifras, el precio ofrece un 9,1 % anual, frente al 8,13 % de coste de capital y el 7,03 % que pide hoy el mercado. Los escenarios (23,79 EUR) moderan el objetivo; los comparables (29,83 EUR) crecen el doble y son un techo. La acción cotiza a 11,9 veces el EBITDA de los próximos 12 meses, frente a 16,6x de mediana sectorial y 23,6x de media propia en 2021-2025. Discrepamos del mercado en algo concreto: no creemos que Dassault vaya a crecer a la mitad de su guía durante nueve años.</w:t>
      </w:r>
    </w:p>
    <w:p>
      <w:pPr>
        <w:spacing w:after="100"/>
      </w:pPr>
      <w:r>
        <w:rPr>
          <w:b/>
        </w:rPr>
        <w:t xml:space="preserve">Riesgos y catalizadores.</w:t>
      </w:r>
      <w:r>
        <w:t xml:space="preserve"> Un nuevo recorte de guía nos llevaría al bajista (17,40 EUR, −30,9 % frente al base). Cada punto menos de crecimiento anual resta un 6,3 %, y medio punto más de WACC, un 7,8 %. El dólar resta un 5,1 % si cae un 10 %. Los dos catalizadores tienen fecha: los resultados del 3T26 el 28 de octubre y el día del inversor el 17 de noviembre, que dirá si se mantiene el objetivo de duplicar el BPA en 2029 [2, 37].</w:t>
      </w:r>
    </w:p>
    <w:p>
      <w:pPr>
        <w:spacing w:after="100"/>
      </w:pPr>
      <w:r>
        <w:rPr>
          <w:b/>
        </w:rPr>
        <w:t xml:space="preserve">Qué cambiaría la decisión.</w:t>
      </w:r>
      <w:r>
        <w:t xml:space="preserve"> Seguimos en Comprar por debajo de 24,13 EUR y venderíamos por encima de 31,95 EUR. Pasaríamos a Mantener si la guía de 2027 baja del 4 % a tipo constante o si Ciencias de la vida sigue en negativo en el 4T26. Pasaríamos a Vender si el día del inversor abandona el objetivo de 2029 sin sustituirlo.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25,55 EUR</w:t>
      </w:r>
      <w:r>
        <w:t xml:space="preserve"> (rentabilidad +20,0 % (base +21,2 %)) · Valor intrínseco: 25,08 EUR (+16,6 % sobre 21,51) · con la prima implícita del mercado: 30,22 (+40,5 %)</w:t>
      </w:r>
    </w:p>
    <w:p>
      <w:pPr>
        <w:spacing w:after="100"/>
      </w:pPr>
      <w:r>
        <w:t xml:space="preserve">Dassault Systèmes es el estándar del diseño y la simulación en aeroespacial y automoción (CATIA, SIMULIA), líder del CAD de gama media (SOLIDWORKS) y, con Medidata, del software de ensayos clínicos [4]. El 82 % del software es recurrente, el margen operativo non-IFRS ronda el 32 % y genera 1.380-1.490 M de flujo libre al año con caja neta [1, 2]. Los recortes de guía de 2024 y 2025 hundieron la acción un 29 % en 2025 y otro 10 % en 2026 [10, 36, 38].</w:t>
      </w:r>
    </w:p>
    <w:p>
      <w:pPr>
        <w:spacing w:after="100"/>
      </w:pPr>
      <w:r>
        <w:t xml:space="preserve">El precio descuenta poco. Con un WACC del 8,13 %, los 21,51 EUR equivalen a un crecimiento del 1,9 % anual en 2027-2035, o a un margen EBITDA NIIF del 30,0 %, por debajo del 30,4 % de 2025. La acción cotiza a 11,9 veces el EBITDA de los próximos 12 meses y 20,4 veces el beneficio, en mínimos de su historia y con descuento frente a PTC, el rival que crece al mismo ritmo [51].</w:t>
      </w:r>
    </w:p>
    <w:p>
      <w:pPr>
        <w:spacing w:after="100"/>
      </w:pPr>
      <w:r>
        <w:t xml:space="preserve">El mercado acierta en que Dassault ya no es un valor de crecimiento: crece por debajo de su mercado y su dirección ha perdido credibilidad. Se equivoca al tratarla como un negocio en declive. Para invertir hay que creer tres cosas. Que la suscripción y 3DEXPERIENCE (+14 % en el 2T26) devuelven el crecimiento al 5 %. Que Medidata deja de restar, con su ARR ya en positivo [2]. Y que la remuneración en acciones no vuelve a comerse el margen. Nuestra base, un 1,3-4,8 % por debajo del consenso, vale 25,17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 × 0,88 = 16,81 · 23,9x × 1,08 = 25,81 · 32,2x × 1,18 = 38,00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 /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 (nuestro base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8,1 %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17,9 % (&lt; 25 %); el precio descuenta solo 2,4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22,45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22,45 y 28,69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28,69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baja del 4 % de crecimiento a tipo constante, pasaríamos a Mantener.</w:t>
      </w:r>
    </w:p>
    <w:p>
      <w:pPr>
        <w:pStyle w:val="ListParagraph"/>
        <w:numPr>
          <w:ilvl w:val="0"/>
          <w:numId w:val="2"/>
        </w:numPr>
        <w:spacing w:after="60"/>
      </w:pPr>
      <w:r>
        <w:t xml:space="preserve">Si el día del inversor del 17-nov-2026 abandona el objetivo de duplicar el BPA non-IFRS en 2029 sin otro creíble, pasaríamos a Vender.</w:t>
      </w:r>
    </w:p>
    <w:p>
      <w:pPr>
        <w:pStyle w:val="ListParagraph"/>
        <w:numPr>
          <w:ilvl w:val="0"/>
          <w:numId w:val="2"/>
        </w:numPr>
        <w:spacing w:after="60"/>
      </w:pPr>
      <w:r>
        <w:t xml:space="preserve">Si Ciencias de la vida sigue con ingresos negativos a tipo constante en el 4T26, revisaríamos el escenario base a la baja.</w:t>
      </w:r>
    </w:p>
    <w:p>
      <w:pPr>
        <w:pStyle w:val="ListParagraph"/>
        <w:numPr>
          <w:ilvl w:val="0"/>
          <w:numId w:val="2"/>
        </w:numPr>
        <w:spacing w:after="60"/>
      </w:pPr>
      <w:r>
        <w:t xml:space="preserve">Si la acción supera los 31,95 EUR, venderíamos o reduciríamos; por debajo de 24,13 EUR seguimos comprando.</w:t>
      </w:r>
    </w:p>
    <w:p>
      <w:pPr>
        <w:pStyle w:val="ListParagraph"/>
        <w:numPr>
          <w:ilvl w:val="0"/>
          <w:numId w:val="2"/>
        </w:numPr>
        <w:spacing w:after="60"/>
      </w:pPr>
      <w:r>
        <w:t xml:space="preserve">Si la remuneración en acciones de 2027 supera los 250 M (4 % de las ventas), recortaríamos el margen normalizado.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durante nueve años, o un margen EBITDA NIIF del 30,0 % a largo plazo, como un software maduro sin palancas. Es la lectura de dos recortes de guía seguidos [10, 36], de una salida sin aviso del presidente [29] y de una Ciencias de la vida que cae desde 2024 [1]. El consenso de los analistas, con 7 compras, 11 mantener y 3 ventas y un precio objetivo medio de 23,32 EUR, no se aleja mucho del precio [46].</w:t>
      </w:r>
    </w:p>
    <w:p>
      <w:pPr>
        <w:keepNext/>
        <w:spacing w:after="100"/>
      </w:pPr>
      <w:r>
        <w:rPr>
          <w:b/>
          <w:bCs/>
        </w:rPr>
        <w:t xml:space="preserve">Lo que creemos nosotros.</w:t>
      </w:r>
    </w:p>
    <w:p>
      <w:pPr>
        <w:spacing w:after="100"/>
      </w:pPr>
      <w:r>
        <w:t xml:space="preserve">Dassault seguirá creciendo por debajo del 9,6 % de su mercado [27], pero por encima del 1,9 % implícito. Suponemos un 5-5,5 % en 2027-2029, en línea con el ARR (+6 %) y la suscripción (+8 %) del 2T26 [2], que se va apagando hasta el 3 % de 2035, con un margen NIIF del 33-34,6 % que ya descuenta la remuneración en acciones. Con eso vale 25,17 EUR, y 31,05 EUR con lo que hoy exige el mercado.</w:t>
      </w:r>
    </w:p>
    <w:p>
      <w:pPr>
        <w:keepNext/>
        <w:spacing w:after="100"/>
      </w:pPr>
      <w:r>
        <w:rPr>
          <w:b/>
          <w:bCs/>
        </w:rPr>
        <w:t xml:space="preserve">Por qué podemos tener razón.</w:t>
      </w:r>
    </w:p>
    <w:p>
      <w:pPr>
        <w:spacing w:after="100"/>
      </w:pPr>
      <w:r>
        <w:t xml:space="preserve">La diferencia no está en cifras heroicas: nuestras proyecciones quedan por debajo del consenso. Está en lo que el precio extrapola de 2025, un año con un 0,4 % de crecimiento publicado que fue un 4 % a tipo constante [1]. Los costes de cambio en CATIA y el peso de la suscripción hacen improbable un crecimiento del 1-2 % sostenido. El día del inversor del 17-nov-2026 puede forzar la convergencia o confirmar al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escenario bajista</w:t>
      </w:r>
      <w:r>
        <w:t xml:space="preserve">: el crecimiento implícito es del 1,9 % anual, frente a una guía del 3-5 % a tipo constante [2].</w:t>
      </w:r>
    </w:p>
    <w:p>
      <w:pPr>
        <w:pStyle w:val="ListParagraph"/>
        <w:numPr>
          <w:ilvl w:val="0"/>
          <w:numId w:val="2"/>
        </w:numPr>
        <w:spacing w:after="60"/>
      </w:pPr>
      <w:r>
        <w:rPr>
          <w:b/>
        </w:rPr>
        <w:t xml:space="preserve">Ingresos muy recurrentes y caja neta</w:t>
      </w:r>
      <w:r>
        <w:t xml:space="preserve">: el 82 % del software es recurrente [1] y la caja neta ajustada es de 1.599 M.</w:t>
      </w:r>
    </w:p>
    <w:p>
      <w:pPr>
        <w:pStyle w:val="ListParagraph"/>
        <w:numPr>
          <w:ilvl w:val="0"/>
          <w:numId w:val="2"/>
        </w:numPr>
        <w:spacing w:after="60"/>
      </w:pPr>
      <w:r>
        <w:rPr>
          <w:b/>
        </w:rPr>
        <w:t xml:space="preserve">Mínimos de valoración</w:t>
      </w:r>
      <w:r>
        <w:t xml:space="preserve">: 11,9 veces EBITDA NTM, frente a 23,6x de media propia en 2021-2025 y 15,5x de PTC [51].</w:t>
      </w:r>
    </w:p>
    <w:p>
      <w:pPr>
        <w:pStyle w:val="ListParagraph"/>
        <w:numPr>
          <w:ilvl w:val="0"/>
          <w:numId w:val="2"/>
        </w:numPr>
        <w:spacing w:after="60"/>
      </w:pPr>
      <w:r>
        <w:rPr>
          <w:b/>
        </w:rPr>
        <w:t xml:space="preserve">El motor de crecimiento acelera</w:t>
      </w:r>
      <w:r>
        <w:t xml:space="preserve">: 3DEXPERIENCE y la nube crecen un 14 % en el 2T26 y 3DEXPERIENCE pesa ya el 43 % del software elegible [2].</w:t>
      </w:r>
    </w:p>
    <w:p>
      <w:pPr>
        <w:pStyle w:val="ListParagraph"/>
        <w:numPr>
          <w:ilvl w:val="0"/>
          <w:numId w:val="2"/>
        </w:numPr>
        <w:spacing w:after="60"/>
      </w:pPr>
      <w:r>
        <w:rPr>
          <w:b/>
        </w:rPr>
        <w:t xml:space="preserve">El fundador compra</w:t>
      </w:r>
      <w:r>
        <w:t xml:space="preserve">: Charles Edelstenne ha adquirido 400.000 acciones (9,4 M EUR) en doce meses [33].</w:t>
      </w:r>
    </w:p>
    <w:p>
      <w:pPr>
        <w:pStyle w:val="Heading2"/>
      </w:pPr>
      <w:r>
        <w:t xml:space="preserve">En contra</w:t>
      </w:r>
    </w:p>
    <w:p>
      <w:pPr>
        <w:pStyle w:val="ListParagraph"/>
        <w:numPr>
          <w:ilvl w:val="0"/>
          <w:numId w:val="2"/>
        </w:numPr>
        <w:spacing w:after="60"/>
      </w:pPr>
      <w:r>
        <w:rPr>
          <w:b/>
        </w:rPr>
        <w:t xml:space="preserve">Crece por debajo de su mercado</w:t>
      </w:r>
      <w:r>
        <w:t xml:space="preserve">: 3-4 % a tipo constante frente al 9,6 % del PLM [2, 27].</w:t>
      </w:r>
    </w:p>
    <w:p>
      <w:pPr>
        <w:pStyle w:val="ListParagraph"/>
        <w:numPr>
          <w:ilvl w:val="0"/>
          <w:numId w:val="2"/>
        </w:numPr>
        <w:spacing w:after="60"/>
      </w:pPr>
      <w:r>
        <w:rPr>
          <w:b/>
        </w:rPr>
        <w:t xml:space="preserve">Ciencias de la vida resta</w:t>
      </w:r>
      <w:r>
        <w:t xml:space="preserve">: −2 % en 2025 y −3 % en el 1S26 a tipo constante; es el 18 % del software [1, 2].</w:t>
      </w:r>
    </w:p>
    <w:p>
      <w:pPr>
        <w:pStyle w:val="ListParagraph"/>
        <w:numPr>
          <w:ilvl w:val="0"/>
          <w:numId w:val="2"/>
        </w:numPr>
        <w:spacing w:after="60"/>
      </w:pPr>
      <w:r>
        <w:rPr>
          <w:b/>
        </w:rPr>
        <w:t xml:space="preserve">Guía poco fiable</w:t>
      </w:r>
      <w:r>
        <w:t xml:space="preserve">: incumplida en 2024 y solo en parte cumplida en 2025, con el objetivo de duplicar el BPA aplazado a 2029 [10, 36, 37].</w:t>
      </w:r>
    </w:p>
    <w:p>
      <w:pPr>
        <w:pStyle w:val="ListParagraph"/>
        <w:numPr>
          <w:ilvl w:val="0"/>
          <w:numId w:val="2"/>
        </w:numPr>
        <w:spacing w:after="60"/>
      </w:pPr>
      <w:r>
        <w:rPr>
          <w:b/>
        </w:rPr>
        <w:t xml:space="preserve">El non-IFRS embellece</w:t>
      </w:r>
      <w:r>
        <w:t xml:space="preserve">: en 2025 dejó fuera 639 M de costes, 250 M de ellos de remuneración en acciones [1].</w:t>
      </w:r>
    </w:p>
    <w:p>
      <w:pPr>
        <w:pStyle w:val="ListParagraph"/>
        <w:numPr>
          <w:ilvl w:val="0"/>
          <w:numId w:val="2"/>
        </w:numPr>
        <w:spacing w:after="60"/>
      </w:pPr>
      <w:r>
        <w:rPr>
          <w:b/>
        </w:rPr>
        <w:t xml:space="preserve">Gobierno controlado</w:t>
      </w:r>
      <w:r>
        <w:t xml:space="preserve">: GIMD tiene el 53,75 % de los votos y el 52,5 % del capital libre votó en 2026 contra la política de remuneración [4, 30].</w:t>
      </w:r>
    </w:p>
    <w:p>
      <w:pPr>
        <w:pStyle w:val="Heading2"/>
      </w:pPr>
      <w:r>
        <w:t xml:space="preserve">Qué tiene que pasar para que la tesis funcione</w:t>
      </w:r>
    </w:p>
    <w:p>
      <w:pPr>
        <w:spacing w:after="100"/>
      </w:pPr>
      <w:r>
        <w:t xml:space="preserve">La tesis depende de que el crecimiento del software a tipo constante vuelva al 5 % en 2027 sin que la remuneración en acciones recupere los 250 M. La señal de que no se cumple sería una guía de 2027 por debajo del 4 %, unos ingresos de Ciencias de la vida aún negativos en el 4T26 o un día del inversor (17-nov-2026) que rebaje el objetivo de duplicar el BPA en 2029 [2, 37].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+3 % en el 1S26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central: la base exige un 5-5,5 % desde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del plan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EUR, +6 % (jun-26)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recurrentes de los próximos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lastre y la razón de ArisGlobal.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non-IFRS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en el 2T26; guía 2026 del 32,2-32,6 %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Año 2026 por debajo del 32,2 %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ajuste de la remuneración en acciones, sostiene el margen NIIF del 33-34,6 %.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(con cargas)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M en el 1S26; ~115 M previstos en 2026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250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entre el margen que comunica la empresa y el que valoramos.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 / 20,4x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Dassault Systèmes nació en 1981 dentro del grupo Dassault Aviation para llevar al resto de la industria el diseño en 3D que el fabricante de aviones usaba en sus propios programas; ese mismo año lanzó CATIA y firmó con IBM el acuerdo de distribución que duró hasta 2010 [14]. Salió a bolsa en 1996 en el Nasdaq y en París [14]. Desde entonces ha crecido por compras que ampliaron el perímetro desde el diseño mecánico a todo el ciclo de vida del producto: SolidWorks (1997, diseño para pymes), el gestor de datos de IBM que dio ENOVIA (1998), Abaqus (2005, origen de SIMULIA), Exalead (2010) y Medidata (2019, ensayos clínicos, unos 5.800 M USD de valor empresa) [14, 16]. En 2012 lanzó la plataforma 3DEXPERIENCE, base de la transición a suscripción y nube [14]. En 2021 dividió el nominal por cinco [15]. Bernard Charlès, primer ejecutivo desde 1994, cedió el cargo a Pascal Daloz y el 21 de febrero de 2026 dejó también la presidencia y el consejo; Daloz es desde entonces presidente y consejero delegado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filial de Dassault Aviation; lanzamiento de CATIA y acuerdo de distribución con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CATIA V4 y la maqueta digital 3D; Bernard Charlès, presidente y primer ejecutivo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en la Bolsa de París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SolidWorks: entrada en el diseño 3D para pymes y creación del canal de distribuidores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ENOVIA a partir de la compra del software Product Manager de IBM: entrada en la gestión de datos de producto (PDM)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Abaqus y creación de la marca de simulación SIMULIA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Exalead y fin de la transición de la distribución desde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3DEXPERIENCE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Medidata (ensayos clínicos) por 92,25 USD por acción en efectivo, unos 5.800 M USD de valor empresa: la mayor operación de su historia y la entrada en ciencias de la vida [14,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del nominal por cinco (efectiva el 7 de julio de 2021)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los 3D UNIV+RSES, la apuesta por la IA industrial sobre la plataforma 3DEXPERIENCE [4,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Charlès deja la presidencia y el consejo (21 de febrero); Pascal Daloz pasa a presidente y consejero delegado [17]. Compra anunciada de ArisGlobal (farmacovigilancia y regulatorio) el 23 de julio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Dassault Systèmes vende software para diseñar, simular, fabricar y gestionar productos y, desde 2019, para ejecutar ensayos clínicos. En 2025 facturó 6.240 M EUR: 5.640 M de software y 595 M de servicios [13]. Se organiza en tres líneas: Innovación Industrial (CATIA, ENOVIA, SIMULIA, DELMIA; 3.130 M EUR, 56 % del software), dirigida a grandes fabricantes de automoción, aeronáutica, defensa y maquinaria; Innovación Generalista (SOLIDWORKS, CENTRIC PLM; 1.430 M, 25 %), para pymes y oficinas técnicas a través de distribuidores; y Ciencias de la Vida (MEDIDATA, BIOVIA; 1.080 M, 19 %), para farmacéuticas, biotecnológicas y organizaciones de investigación por contrato [13]. Dice tener unos 400.000 clientes en 12 industrias, 25.000 empleados y 12 marcas, y vende de forma directa y por socios comerciales [4]. Por geografía, el software se reparte entre América (39 %), Europa (38 %) y Asia (22 %) [13]. La plataforma 3DEXPERIENCE, que integra las marcas sobre una base de datos común y en la nube, ya es el 41 % del software elegible [13].</w:t>
      </w:r>
    </w:p>
    <w:p>
      <w:pPr>
        <w:pStyle w:val="Heading2"/>
      </w:pPr>
      <w:r>
        <w:t xml:space="preserve">Cómo gana dinero</w:t>
      </w:r>
    </w:p>
    <w:p>
      <w:pPr>
        <w:spacing w:after="100"/>
      </w:pPr>
      <w:r>
        <w:t xml:space="preserve">Cobra sobre todo por suscripción y mantenimiento: 4.620 M EUR en 2025, el 82 % del software (80 % en 2024); las licencias perpetuas caen (−6 %, 1.020 M) a medida que los clientes pasan a suscripción y nube [13]. A mitad de 2026 la renta anual recurrente (ARR) era de 4.440 M EUR y crecía un 6 % [2]. El coste es casi todo personal: el 19,8 % de las ventas va a I+D y hay más de 9.900 personas en I+D [4], de modo que cada euro de crecimiento cae con un margen alto. El margen de explotación no-NIIF fue del 32,0 % en 2025 y el NIIF del 21,7 %; la diferencia es sobre todo la amortización de lo comprado (Medidata) y la remuneración en acciones [13]. Hay estacionalidad marcada: el cuarto trimestre concentra las licencias y renovaciones (4T25: 1.680 M EUR y margen no-NIIF del 37,0 %, frente al 32,0 % del año) [13]. La transición a suscripción frena el crecimiento contable a corto plazo y lo hace más estable después.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diversificada: ningún cliente ni socio comercial superó el 5 % de las ventas en 2025 ni en 2024 [4]. El negocio industrial es de contratos plurianuales de suscripción y mantenimiento con renovación habitual (82 % del software recurrente) [13]. La excepción es Medidata: muchos contratos se firman estudio a estudio y no se renuevan solos, por lo que sus ingresos siguen al número de ensayos que lanzan los laboratorios; en 2025 la línea de Ciencias de la vida bajó un 2 % y el 4T un 4 % por menor volumen de estudios [13], y en el 1S26 cayó otro 3 % [2], aunque la contratación del semestre devolvió el ARR de Medidata a crecimiento [2]. Poder de precios: la empresa no publica subidas de precio ni tasas de renovación; el margen no-NIIF estable en torno al 32 % con inflación salarial es la única evidencia indirecta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recurrente sobre software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1S26, 83 %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(valor anual de contratos recurrentes activos)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a tipo del plan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nueva desde 2026; la caída frente a diciembre es de divisa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3DEXPERIENCE sobre software elegible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3DEXPERIENCE +10 % en 2025; 43 %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sobre ingresos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+8 % non-IFRS en 2025; 28 %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511 M, −9 % reportado y −3 % a tipo constante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25.512 a junio de 2026 (−3 % interanual)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(CAD), simulación (CAE), gestión del ciclo de vida del producto (PLM) y fabricación digital, más el software para ensayos clínicos e investigación en ciencias de la vida. Ámbito mundial. Uso dos fuentes: CIMdata, que mide el mercado PLM amplio (88.300 M USD en 2025) e incluye diseño electrónico (EDA) y construcción (AEC), donde Dassault casi no está [27]; y la propia Dassault, que cifra su mercado accesible en unos 130.000 M USD: 75.000 M en industria manufacturera, 25.000 M en ciencias de la vida y 30.000 M en infraestructuras y ciudades [4]. Para el tamaño y el crecimiento uso CIMdata, porque es independiente y tiene serie; la cifra de Dassault sirve para ver el peso de cada vertical.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88.300 M USD en 2025, +9,9 % (mercado PLM amplio, CIMdata) [27]; ≈ 75.200 M EUR al tipo de cierre de 2025 (1,175 USD/EUR) [26]. Mercado accesible según Dassault: ≈ 130.000 M USD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IMdata, PLM amplio; 2023 deducido del crecimiento de 2024; 2029e, previsión de CIM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ingeniería: plataforma, nube y gemelos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3DEXPERIENCE creció un 10 % en 2025 y un 14 % en el 2T26; la nube, un 14 % en el 2T26 y ya es el 28 % del software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Diseño electrónico y construcción tiran del mercado PLM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CIMdata atribuye el +9,9 % de 2025 sobre todo a EDA y AEC [27]; Dassault, poco presente ahí, creció un 4 % a tipo constante [13]: el mercado amplio crece más que la empresa.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automoción europea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(38 % del software) quedó plana en el 2T26 por la debilidad del automóvil en Europa continental, tras caer un 5 % en el 4T25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biotecnológicas y número de ensayos clínicos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−2 % en 2025 y −3 % en el 1S26 por menor volumen de estudios en Medidata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aeroespacial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Aeroespacial y defensa, entre los principales motores del crecimiento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en China a la baja en el 2T26 [2]; el riesgo de controles a la exportación, sanciones y aranceles figura entre los factores de riesgo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generalistas (Dassault, Siemens, Autodesk) y especialistas que se consolidan (Synopsys-Ansys, Siemens-Altair, Cadence-Hexagon D&amp;E) [4, 20, 25]. Se compite por funcionalidad y por plataforma más que por precio: los márgenes contables del sector van del 22 % al 36 % [18, 19,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las ventas de Dassault [4]; los grandes fabricantes negocian, pero cambiar de sistema les cuesta años de datos y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talento (25.000 empleados, rotación del 8,4 % en 2025) [4]; la nube propia (OUTSCALE) reduce la dependencia de los grandes proveedores de nube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décadas de geometría, solvers y certificaciones es caro; los especialistas independientes acaban comprados por los grandes: Altair por Siemens, Ansys por Synopsys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programas nativos en la nube pueden abaratar el diseño de gama media; Dassault responde con IA propia sobre 3DEXPERIENCE (Virtual Companions) [2]. En ensayos clínicos, el mercado es fragmentado (los tres primeros, menos del 30 %) [4].</w:t>
            </w:r>
          </w:p>
        </w:tc>
      </w:tr>
    </w:tbl>
    <w:p>
      <w:pPr>
        <w:spacing w:after="160" w:before="0"/>
      </w:pPr>
    </w:p>
    <w:p>
      <w:pPr>
        <w:pStyle w:val="Heading2"/>
      </w:pPr>
      <w:r>
        <w:t xml:space="preserve">Ciclo</w:t>
      </w:r>
    </w:p>
    <w:p>
      <w:pPr>
        <w:spacing w:after="100"/>
      </w:pPr>
      <w:r>
        <w:t xml:space="preserve">El mercado PLM amplio sigue creciendo a ritmo de dos dígitos bajos (+10,7 % en 2024, por encima del 8,6 % previsto, y +9,9 % en 2025) [27, 28], pero los clientes de Dassault están en fases distintas: aeroespacial y defensa crecen, la automoción europea y las biotecnológicas frenan [2, 13]. La previsión de CIMdata (9,6 % anual hasta 2029) supone que no hay recesión [28]. No he encontrado en las fuentes leídas la evolución del sector en 2008-09, 2020 y 2022; la alta recurrencia (82 %) es la que amortigua las caídas [13].</w:t>
      </w:r>
    </w:p>
    <w:p>
      <w:pPr>
        <w:pStyle w:val="Heading2"/>
      </w:pPr>
      <w:r>
        <w:t xml:space="preserve">Regulación</w:t>
      </w:r>
    </w:p>
    <w:p>
      <w:pPr>
        <w:spacing w:after="100"/>
      </w:pPr>
      <w:r>
        <w:t xml:space="preserve">Tres frentes afectan a las cifras. En ciencias de la vida, las normas de ensayos clínicos y de farmacovigilancia marcan la demanda de Medidata y justifican la compra de ArisGlobal, especializada en seguridad y regulatorio [2]. En comercio exterior, el endurecimiento de controles a la exportación, sanciones y aranceles es un riesgo declarado, con el problema añadido del doble uso de parte del software [4]. En sostenibilidad, la empresa publica un 42,9 % de ingresos alineados con la taxonomía europea, lo que la hace elegible para fondos con mandato verde [4].</w:t>
      </w:r>
    </w:p>
    <w:p>
      <w:pPr>
        <w:pStyle w:val="Heading2"/>
      </w:pPr>
      <w:r>
        <w:t xml:space="preserve">Tendencias y disrupción</w:t>
      </w:r>
    </w:p>
    <w:p>
      <w:pPr>
        <w:spacing w:after="100"/>
      </w:pPr>
      <w:r>
        <w:t xml:space="preserve">La IA cambia la forma de usar el software de ingeniería: Dassault ha lanzado agentes (Virtual Companions) sobre 3DEXPERIENCE y una alianza con NVIDIA para modelos industriales [2, 13]; gana si la IA se entrena con los datos de producto que ya guarda en ENOVIA, pierde si abarata el cambio de proveedor en la gama media. La nube avanza (3DEXPERIENCE Cloud +32 % en 2025) [13]. Y el sector se consolida en torno a quien une electrónica, simulación y mecánica (Synopsys-Ansys, Siemens-Altair, Cadence-Hexagon D&amp;E), donde Dassault no tiene presencia en EDA [4, 20,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simulación y PLM junto a Siemens Digital Industries Software y Autodesk. Estimación propia: los 6.240 M EUR de ingresos de 2025 [13], a 1,175 USD/EUR, son ≈ 7.330 M USD, un 8,3 % de los 88.300 M USD del mercado PLM amplio de CIMdata, que incluye EDA y construcción, donde Dassault apenas está [27]. En su núcleo (CAD mecánico, simulación y gestión de datos de producto) la cuota es mayor, pero no hay dato público. En ciencias de la vida, los tres primeros (Dassault entre ellos) suman menos del 30 % del mercado, según la propia empresa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 (incluye Siemens Digital Industries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CAD (NX, Solid Edge), PLM (Teamcenter), simulación (Simcenter, Altair) y fabricación digital dentro de Xcelerator. Las cifras son del segmento Digital Industries en el ejercicio a septiembre de 2025 (beneficio del segmento tal como lo define Siemens), que mezcla automatización y software; Siemens no publica el margen del software. Solo el software facturó 1.900 M EUR en el 4T del ejercicio (+8 % comparable), impulsado por el PLM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enero de 2026: 7.206 M USD de ingresos y 1.578 M USD de resultado de explotación US GAAP [19]. Fuerte en construcción (AEC) y en diseño mecánico de gama media (Inventor, Fusion en la nube), donde compite con SOLIDWORKS. Ingresos +17,5 % en USD en el último ejercicio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 (con Ansys desde julio de 2025)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SNPS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octubre de 2025: 7.054 M USD de ingresos y 915 M USD de resultado de explotación US GAAP [20], deprimido por la amortización y los costes de la compra de Ansys. Ansys, el líder independiente de la simulación que compite con SIMULIA, ganaba un 28,2 % de margen de explotación en su último ejercicio completo (2024: 2.545 M USD de ingresos, ≈ 2.450 M EUR)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septiembre de 2025: 2.739 M USD de ingresos (+19 %) y 982 M USD de resultado de explotación US GAAP [18]. Compite en CAD (Creo, Onshape nativo en la nube) y PLM (Windchill, Codebeamer). Su margen contable supera al de Dassault, aunque parte del salto de 2025 viene de la contabilidad de licencias en suscripción (ASC 606).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Hexagon en 2025: 1.853,5 M EUR y EBIT1 ajustado del 25,7 % (26,9 % en 2024) [25]. Mezcla metrología (equipos) y software; vendió su negocio de diseño e ingeniería (MSC Software) a Cadence por ≈ 2.700 M EUR, con cierre previsto en el 1T26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1.502 M USD de ingresos y 363 M USD de resultado de explotación US GAAP [22]. Software de ingeniería de infraestructuras; Dassault la cita como rival en Infraestructuras y Ciudades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enero de 2026: 3.195 M USD de ingresos (+16 %) y 916 M USD de resultado de explotación US GAAP [23]. Rival de Medidata en ensayos clínicos (Vault CTMS/EDC) y en comercialización; crece a dos dígitos mientras la línea de Ciencias de la vida de Dassault cae un 2 % (2025)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indirecto: el formato y la formación en CATIA y SOLIDWORKS se transmiten por la cadena de proveedores de automoción y aeronáutica y por la enseñanza, y la empresa anima un ecosistema de socios y universidades [3]. No es un efecto de red en sentido estricto: el valor del programa no crece con cada usuario nuevo.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82 % del software es recurrente (2025) y ningún cliente supera el 5 % de las ventas [2, 3]. Migrar de CATIA o ENOVIA obliga a convertir décadas de modelos y datos de producto y a reentrenar a los ingenieros; la empresa lo describe como el «patrimonio de conocimiento» que los clientes han desarrollado con ella [3]. Prueba en sentido contrario: Medidata (ensayos por estudio, sin renovación automática) cae cuando caen los estudios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nicho (CATIA, SOLIDWORKS, SIMULIA, ENOVIA, MEDIDATA) y casi un 20 % de las ventas en I+D (19,8 %), con más de 9.900 personas en I+D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demostrable: el margen de explotación NIIF (21,7 % en 2025, 21,9 % en 2024) [2] queda por debajo del contable de PTC (35,9 %) y de Veeva (28,7 %), y cerca del de Autodesk (21,9 %) y Bentley (24,1 %) [8, 9, 12, 13]. El margen no-NIIF del 32 % [2] excluye la amortización de Medidata y la remuneración en acciones.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con tres grandes generalistas (Dassault, Siemens, Autodesk) y especialistas absorbidos por grupos mayores: Ansys por Synopsys, Altair por Siemens, el negocio de diseño de Hexagon por Cadence [3, 10, 15]. Un entrante tendría que replicar décadas de geometría, solvers y certificaciones.</w:t>
            </w:r>
          </w:p>
        </w:tc>
      </w:tr>
    </w:tbl>
    <w:p>
      <w:pPr>
        <w:spacing w:after="160" w:before="0"/>
      </w:pPr>
    </w:p>
    <w:p>
      <w:pPr>
        <w:pStyle w:val="Heading2"/>
      </w:pPr>
      <w:r>
        <w:t xml:space="preserve">Amenazas</w:t>
      </w:r>
    </w:p>
    <w:p>
      <w:pPr>
        <w:spacing w:after="100"/>
      </w:pPr>
      <w:r>
        <w:t xml:space="preserve">Tres, por orden de probabilidad. Primera, la consolidación: Synopsys-Ansys, Siemens-Altair y Cadence-Hexagon D&amp;E crean rivales que unen diseño electrónico, simulación y mecánica, justo donde Dassault vende su plataforma (probabilidad alta, efecto a 3-5 años) [4, 20, 25]. Segunda, ciencias de la vida: Medidata pierde frente a Veeva y Clario (Thermo Fisher) en un mercado fragmentado, y la línea lleva dos años sin crecer [4, 13]. Tercera, la IA generativa y los programas nativos en la nube (Onshape, Fusion) pueden abaratar el cambio de proveedor en la gama media, donde vive SOLIDWORKS (probabilidad media, más lenta en aeronáutica y automoción por la certificación).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4,7 %</w:t>
      </w:r>
      <w:r>
        <w:t xml:space="preserve">, BPA </w:t>
      </w:r>
      <w:r>
        <w:rPr>
          <w:b/>
          <w:bCs/>
        </w:rPr>
        <w:t xml:space="preserve">11,6 %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NIIF pasaron de 4.860 M en 2021 a 6.236 M en 2025 (TCAC del 6,4 %), pero casi todo el crecimiento está en 2022 (+16,6 %, con el dólar fuerte y Medidata en plena forma); desde 2023 crecen un 5,0 %, un 4,4 % y un 0,4 % reportado (4 % a tipo constante en 2025, con −192 M de efecto divisa y +25 M de perímetro por Contentserv) [1, 4]. En el LTM a junio de 2026 los ingresos caen un 0,5 % (6.206 M): el dólar y el yen restan y Life Sciences retrocede (−9 % reportado en 1S26) [2]. El margen operativo NIIF se movió entre el 20,9 % (2023) y el 23,0 % (2022) y fue del 21,7 % en 2025 [4]; el salto al 24,4 % del LTM viene casi entero de la remuneración en acciones, que cayó de 196 M en 1S25 a 39 M en 1S26, no del negocio: el margen non-IFRS del semestre se quedó en el 30,1 %, plano [2]. El resultado financiero pasó de −15 M en 2021 a +104-118 M en 2024-2025 por los intereses de una caja de 4.000 M a tipos positivos. La plantilla está estancada en ~26.000 personas desde 2024 (25.512 a junio de 2026) [1, 2].</w:t>
      </w:r>
    </w:p>
    <w:p>
      <w:pPr>
        <w:pStyle w:val="Heading2"/>
      </w:pPr>
      <w:r>
        <w:t xml:space="preserve">Ajustes y partidas no recurrentes</w:t>
      </w:r>
    </w:p>
    <w:p>
      <w:pPr>
        <w:spacing w:after="100"/>
      </w:pPr>
      <w:r>
        <w:t xml:space="preserve">Las cifras de la cuenta son NIIF reportadas. La empresa comunica y guía en non-IFRS, que excluye la remuneración en acciones con sus cargas sociales, la amortización de intangibles adquiridos (sobre todo Medidata), los incentivos de arrendamiento de adquiridas, los otros ingresos y gastos operativos (reestructuración, integración, deterioros) y sus efectos fiscales. En 2025 la diferencia en resultado operativo fue de 639,3 M (1.354,3 M NIIF frente a 1.993,6 M non-IFRS, 10,3 puntos de margen): 249,7 M de remuneración en acciones, 337,6 M de amortización de intangibles adquiridos, 46,7 M de otros gastos operativos y 1,4 M de incentivos de arrendamiento [1]. En 2024 fue de 624,2 M y en 2021 de 646,8 M [1, 5]. La remuneración en acciones es recurrente (168-250 M al año en 2021-2025), así que excluirla infla el margen de forma permanente; en 1S26 bajó a 39,2 M [2]. BPA diluido non-IFRS: 0,95 (2021), 1,13, 1,20, 1,28 y 1,31 euros (2025) frente a 0,58-0,90 NIIF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NIIF; EBITDA = resultado operativo + amortizaciones del estado de flujos trimestral. El crecimiento a tipo constante fue del 1 % en 4T25, el 3 % en 1T26 y el 4 % en 2T26 [1, 2, 3]: la caída reportada es divisa (el yen a 185 por euro frente a 164 un año antes) [2]. En febrero de 2026 la dirección anunció la «alineación de la organización» con las prioridades y lanzó el ARR como métrica clave, admitiendo que «la transformación lleva tiempo» y que quiere margen para decidir a largo plazo [1]. En abril confirmó el año; en julio repitió la guía non-IFRS (ingresos +3-5 % a tipo constante, margen del 32,2-32,6 %, BPA de 1,30-1,34 euros) y anunció ArisGlobal (~1.800 M USD), que presenta como acretiva en crecimiento y BPA el primer año [2]. El mensaje cambió de la recuperación de Medidata a la plataforma de IA «agéntica» y a Life Sciences por compras. Europa quedó plana en 2T26 por el automóvil y China baja; Medidata cayó un 3 % pero su ARR ya crece [2]. El margen NIIF sube (23,0 % en 2T26 frente a 15,9 %) por la menor remuneración en acciones, no por el negocio [2]. No he leído las transcripciones de las conferencias: las preguntas de los analistas quedan sin cubrir.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salió de la compra de Medidata: 3.650 M en cuatro tramos emitidos en septiembre de 2019 [4]. Se devolvieron 900 M en 2022 y 700 M en 2024; quedan 900 M al 0,125 % con vencimiento el 16-sep-2026 y 1.150 M al 0,375 % el 16-sep-2029, más el bono de 1.000 M de junio de 2026 (plazo y cupón no leídos) [2, 4]. La caja neta pasó de −890 M en 2021 a +1.530 M en 2025 y +2.282 M en junio de 2026 (cálculo propio con caja menos deuda financiera sin arrendamientos). El circulante es negativo de forma estructural: clientes de 2.168 M frente a pasivos por contrato de 1.536 M y otras deudas corrientes [1]. El coste de la deuda es casi nulo (0,75 % en 2025, intereses de bonos y pagarés entre deuda bruta media: estimación propia), y la vida media de ~1,9 años a diciembre de 2025 (estimación propia ponderada por vencimientos) se alarga con la emisión de 2026. Entre 2021 y 2023 los comunicados solo dan fondo de comercio e intangibles juntos: van en la línea de intangibles.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6.800</w:t>
      </w:r>
      <w:r>
        <w:t xml:space="preserve">, conversión </w:t>
      </w:r>
      <w:r>
        <w:rPr>
          <w:b/>
          <w:bCs/>
        </w:rPr>
        <w:t xml:space="preserve">132 %</w:t>
      </w:r>
      <w:r>
        <w:t xml:space="preserve"> del beneficio neto; adquisiciones 570, dividendos 1.292, recompras 2.012.</w:t>
      </w:r>
    </w:p>
    <w:p>
      <w:pPr>
        <w:spacing w:after="100"/>
      </w:pPr>
      <w:r>
        <w:t xml:space="preserve">El flujo operativo es estable, 1.525-1.660 M al año en 2021-2025, y el capex ligero (2-3 % de las ventas: 160,5 M en 2025), así que el flujo libre tras arrendamientos ronda 1.380 M en 2025 y 1.486 M en el LTM a junio de 2026 (1.719,6 M de flujo operativo, 129,5 M de capex y 104,5 M de arrendamientos; cálculo propio) [1, 2]. La conversión sobre el beneficio NIIF supera el 115 % porque la remuneración en acciones y la amortización de intangibles adquiridos no son caja. El primer trimestre concentra el cobro de las renovaciones anuales (949 M de flujo operativo en 1T26) [3]. En 2025 la línea de adquisiciones suma Contentserv (203,5 M neto de caja) y la compra de minoritarios de Centric (253,8 M) [1]. La emisión de acciones incluye ejercicio de opciones y las ampliaciones del plan de accionariado de empleados (198,6 M en 2022, 146,1 M en 2023, 111,3 M en 2025) [4-6]. La empresa no separa capex de mantenimiento y crecimiento; los intereses pagados no aparecen en financiación en los comunicados (se asume que van en explotación).</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(desde 2005, renovado en 2023 hasta 2028) y KPMG S.A. (desde 2022, hasta 2027),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NIIF-UE con dos auditores cotitulares, como exige la ley francesa; PwC lleva 21 ejercicios seguidos [4]. La principal distancia entre el beneficio contable y el que la empresa comunica es la remuneración en acciones: 249,7 M en 2025, el 20,9 % del beneficio neto NIIF y el 4,0 % de las ventas, y 242,1 M en 2021 (31 % del beneficio) [1, 5]. Su caída a 39,2 M en 1S26 (196,2 M en 1S25) eleva el margen NIIF siete puntos en el semestre sin explicación detallada en el comunicado; es probable que refleje planes de rendimiento que no se cumplirán (el plan 2025-A se liga al BPA non-IFRS), lo que hay que vigilar en el URD de 2026 [2, 4]. La amortización de intangibles adquiridos (337,6 M en 2025) baja cada año a medida que se amortiza Medidata. El fondo de comercio cayó de 5.046 M a 4.714 M en 2025, sobre todo por el dólar; el URD describe 12 UGT y test anual en el tercer trimestre, y no he encontrado deterioro reconocido en lo leído [4]. La I+D (1.323 M) se lleva a gasto. Los indicadores Altman, Piotroski y Beneish del motor deben leerse sabiendo que el circulante es negativo por diseño (pasivos por contrato). Lectura de los indicadores: un Altman Z de 4,43 está en zona segura con holgura; un Piotroski F de 7 sobre 9 solo falla en endeudamiento y liquidez, por el bono de 1.000 M de junio de 2026 [2]; el Beneish M de −2,61 queda lejos del umbral de −1,78 que sugiere manipulación. La señal que sí vigilamos es el plazo de cobro: los días de clientes pasan de 103 en 2021 a 127 en 2025, coherente con la facturación anual por adelantado de la suscripción, pero hay que confirmarlo con el envejecimiento de saldos del URD 2026.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 y excluida de la guía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168-250 M al año en 2021-2025 (hasta el 31 % del beneficio NIIF); la guía y el BPA non-IFRS la excluyen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brusca de la remuneración en acciones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en 1S26 frente a 196,2 M en 1S25: mejora el margen NIIF sin cambio del negocio; probable reversión por condiciones de rendimiento no alcanzadas (inferencia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por incertidumbre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171,6 M a diciembre de 2025 (194,0 M en 2024)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gastos operativos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46,7 M en 2025 frente a 15,0 M en 2024 (reestructuración e integración), excluidos del non-IFRS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34,6 % · </w:t>
      </w:r>
      <w:r>
        <w:rPr>
          <w:b/>
          <w:bCs/>
        </w:rPr>
        <w:t xml:space="preserve">WACC</w:t>
      </w:r>
      <w:r>
        <w:t xml:space="preserve">: 8,1 %.</w:t>
      </w:r>
    </w:p>
    <w:p>
      <w:pPr>
        <w:spacing w:after="100"/>
      </w:pPr>
      <w:r>
        <w:t xml:space="preserve">Dassault crea valor, pero menos de lo que sugiere su margen. El ROIC con el fondo de comercio de Medidata dentro sube del 11,1 % de 2021 al 13,8 % de 2025, 5,7 puntos por encima de un WACC del 8,13 %: crea valor desde siempre, con un diferencial moderado, porque el capital invertido (8.016 M) es casi todo fondo de comercio e intangibles de compras (6.869 M a diciembre de 2025) [4]. Sin ellos, el capital operativo apenas llega a ~1.150 M y el ROIC supera el 90 % (estimación propia: NOPAT de 1.103 M entre 8.016 − 6.869 M): el negocio orgánico casi no consume capital, porque el circulante lo financian los clientes (1.536 M de pasivos por contrato) [4]. Lo mueve la rotación, no el margen: el margen NIIF es plano en el 21-23 % y la rotación sube de 0,34 a 0,41. El ROIC incremental del 34,6 % muestra que el crecimiento de 2021-2025 se hizo con poco capital. Frente a sus rivales, queda por debajo de PTC (19,7 %), Cadence (17,2 %) y Autodesk (57,6 %), con el mismo criterio de Stock Analysis [59, 60,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 de junio de 2026: caja y equivalentes 5.660,1 M frente a 3.377,7 M de deuda bruta (1.237,5 M a corto y 2.140,2 M a largo), posición financiera neta de 2.282,4 M (1.530,1 M a diciembre de 2025) [2]. En junio de 2026 emitió 1.000 M en bonos y refinanció la línea de crédito renovable, que era de 750 M sin disponer y vencía en octubre de 2026 [2, 4]. La compra de ArisGlobal (~1.800 M USD al cierre, en efectivo) consumirá cerca de 1.540 M EUR al tipo del plan de 1,17 USD/EUR (estimación propia)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perspectiva estable (URD 2025) [4]. Sin calificación de Moody's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arrendamiento de 574,0 M a diciembre de 2025 (81,0 M corrientes y 493,0 M no corrientes) [4]. Avantages postérieurs à l'emploi (pensiones, sobre todo Francia, Alemania y Japón) de 147,6 M [4]. Provisión por incertidumbre sobre tratamientos fiscales de 171,6 M (194,0 M en 2024) [4]. Programa de pagarés NEU CP con límite de 750 M (548,5 M emitidos a diciembre de 2025) [4]. Pasivos por contrato (ingresos diferidos) de 1.536,0 M a diciembre y 1.642,7 M a junio de 2026, que se facturan por adelantado y explican la estacionalidad del circulante [1, 2]. ArisGlobal añade un pago aplazado de hasta 200 M USD ligado a hitos de ingresos de IA [11]. Los bonos no tienen covenants financieros descritos en el URD; la deuda es toda a tipo fijo [4].</w:t>
      </w:r>
    </w:p>
    <w:p>
      <w:pPr>
        <w:pStyle w:val="Heading1"/>
      </w:pPr>
      <w:r>
        <w:t xml:space="preserve">12. Asignación de capital</w:t>
      </w:r>
    </w:p>
    <w:p>
      <w:pPr>
        <w:pStyle w:val="Confianza"/>
        <w:spacing w:after="100"/>
      </w:pPr>
      <w:r>
        <w:t xml:space="preserve">Confianza: Media</w:t>
      </w:r>
    </w:p>
    <w:p>
      <w:pPr>
        <w:spacing w:after="100"/>
      </w:pPr>
      <w:r>
        <w:t xml:space="preserve">Dividendo en efectivo creciente: 0,17 euros por 2021, 0,21, 0,23, 0,26 y 0,27 por 2025 (+3,8 %), unos 360 M y un 30 % del beneficio NIIF [4]. La junta autoriza recompras de hasta 25 millones de acciones y 1.000 M al año, sobre todo para cubrir los planes de acciones de rendimiento; las recompras netas fueron de 340 M en 2025 y 60 M en 1S26 [1, 2, 4]. Las ampliaciones del plan de accionariado de empleados (111 M en 2025) y los ejercicios de opciones devuelven parte del dinero. La prioridad declarada en 2026 es crecer en Life Sciences por compras (ArisGlobal) «preservando capacidad» para otras inversiones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 (EE. UU., software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3.650 M en cuatro tramos (sep-2019)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5.800 M USD (92,25 USD por acción) [12]; importe en EUR estimado al tipo de la época. Life Sciences pasó de 899 M en 2021 a 1.159 M en 2023 y bajó a 1.081 M en 2025 (−6 %) y a 511 M en 1S26 (−9 %) [1, 2, 5]. Sin deterioro identificado en lo leído; la amortización de sus intangibles es la mayor partida del non-IFRS.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Contentserv (gestión de información de producto, por CENTRIC)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(203,5 M netos pagados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~161 M sobre un precio de 212 M según la nota de combinaciones de negocios del URD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CENTRIC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participación pagado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 (cumplimiento y farmacovigilancia con IA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(~1.800 M USD al cierre) más hasta 200 M USD por hitos de ingresos de 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el 23-jul-2026, sin cerrar a 2T26. Ingresos esperados de 175 M USD en 2026: unas 10x ventas sin el pago aplazado (cálculo propio). Importe en EUR estimado a 1,17 USD/EUR [2, 11].</w:t>
            </w:r>
          </w:p>
        </w:tc>
      </w:tr>
    </w:tbl>
    <w:p>
      <w:pPr>
        <w:spacing w:after="160" w:before="0"/>
      </w:pPr>
    </w:p>
    <w:p>
      <w:pPr>
        <w:spacing w:after="100"/>
      </w:pPr>
      <w:r>
        <w:t xml:space="preserve">La asignación de capital de 2021-2025 ha sido conservadora tras Medidata: la caja neta pasó de −890 M a +1.530 M, y el grueso del flujo libre fue a dividendos (1.292 M acumulados) y recompras (2.013 M brutas) [1, 4, 5, 6]. Las recompras solo compensan la dilución de los planes: las acciones diluidas fueron 1.332 M en 2021 y 1.329 M en 2025, así que no han reducido el capital. Medidata, la gran apuesta, no ha cumplido en 2024-2026: los ingresos de Life Sciences están por debajo de 2023 y el fondo de comercio sigue en balance. ArisGlobal vuelve a apostar por Life Sciences a unas 10 veces ventas. El veredicto depende del ROIC incremental que calcule el motor, pero los datos muestran a una dirección que paga caro por crecer y que reparte poco más de lo que diluye.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2001: estrategia, director financiero hasta 2021, director de operaciones 2020-2023 y consejero delegado adjunto en 2023; consejero delegado desde el 1-ene-2024 y también presidente desde el 21-feb-2026 [4, 29]. Antes, Arthur D. Little y analista tecnológico en Credit Suisse First Boston [4]. Como primer ejecutivo ha recortado la guía de ingresos dos años seguidos (2024 y 2025) y aplazado de 2028 a 2029 el objetivo de duplicar el BPA [10, 36,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Rouven Bergmann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Medidata (2019), donde llevó la integración; el comunicado de resultados de febrero de 2022 lo presenta ya como director financiero, relevando a Daloz [35]. Sigue en el comité ejecutivo a la fecha del URD 2025 [4]: cuatro años y medio en el cargo, sin rotación.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en 1981 y presidente del consejo hasta el 8-ene-2023 [4]. Con 88 años sigue en el consejo (renovado en la junta de 2026 con el 98,31 % a favor) [30] y es el único comprador relevante del último año: 400.000 acciones por 9,4 millones de EUR en el mercado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Florence Hu-Aubigny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adjunta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 12 personas que preside Daloz [4]. Recibió 250.000 acciones de rendimiento en la entrega de mayo de 2026, la mayor tras la del PDG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Swedberg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adjunto,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[4]. Vendedor recurrente de las acciones que recibe de los planes: 92.561 acciones vendidas en 12 meses por 2,1 millones de EUR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BPA non-IFRS 4,10-4,15 EUR (antes del desdoblamiento 5x de 2021; unos 0,82-0,83 EUR hoy), +13-14 %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BPA non-IFRS 0,95 EUR, +26 %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(5.300-5.350 M); BPA non-IFRS 0,98-1,00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1,13 EUR, ayudado por el tipo de cambio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+8-9 %; BPA non-IFRS 1,18-1,20 EUR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1,20 EUR, +12 % a tipos constantes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duplicar el BPA non-IFRS en cinco años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non-IFRS duplicado hasta 1,20 EUR en 2023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BPA non-IFRS 1,29-1,31 EUR [6]. Recortada el 9-jul-2024 a ingresos +6-8 % y BPA +8-11 %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+5 % (6.210 M), por debajo incluso de la guía recortada; BPA non-IFRS 1,28 EUR, +9 % a tipos constantes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+6-8 %, margen operativo non-IFRS 32,6-32,9 %, BPA non-IFRS 1,36-1,39 EUR [7]. Ingresos recortados a +4-6 % el 23-oct-2025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+4 % (6.240 M), en el suelo de la guía recortada; margen 32,0 %; BPA non-IFRS 1,31 EUR (+7 % a tipos constantes; 1,36 EUR sin efecto divisa según el consejo) [4,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de cinco años: duplicar el BPA non-IFRS en 2028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junio de 2025 se aplazó a 2029 [37]; el BPA de 2025 (1,31 EUR) y la guía de 2026 (1,30-1,34 EUR) dejan el BPA plano dos años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Hasta 2023 la dirección cumplió con precisión: tres guías anuales seguidas dentro del rango y el BPA duplicado en 2018-2023 como prometió [5, 6, 34, 35]. Desde que Daloz es primer ejecutivo, la credibilidad se ha resentido: guía de ingresos recortada en julio de 2024 y en octubre de 2025, ambos años cerrados en el suelo o por debajo del rango, y el objetivo de duplicar el BPA aplazado de 2028 a 2029 con la guía de 2026 implicando un BPA plano [7, 10, 13, 36, 37]. El equipo es estable y endogámico: Daloz lleva 25 años en la casa y Bergmann es director financiero desde 2022 [4, 35]. La sucesión fue ordenada (Charlès a Daloz, preparada desde 2020), pero la salida de Charlès de la presidencia el 21-feb-2026, «con efecto inmediato» y por «razones personales», no se anunció con antelación [29]. Ahora todo el poder ejecutivo recae en una persona.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SAS (repr. Olivier Costa de Beauregard)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Trappier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GIMD)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Laurence Daures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(administrateur référent)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y selección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Cauchois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Soumitra Dutta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 (presidente); Remuneraciones y selección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Geneviève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referente de sostenibilidad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Rouvet Lazare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Donatella Sciuto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Anne-Laure Chevalier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Christine Defert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10,32 / ventas 3,38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(GIMD, familia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53,75 % de los votos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39,97 % a cierre de 2024 y 40,02 % a cierre de 2023: estable en 535,4 millones de acciones. Entre abril y septiembre de 2025 vendió opciones de venta (puts) sobre acciones de Dassault Systèmes fuera de mercado, una apuesta a comprar más si la acción caía; no constan operaciones suyas en los 12 meses previos al corte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 (fundador) y sociedades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8,05 % de los votos; 57,6 millones de acciones en usufructo (solo vota el reparto del resultado)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5,99 % en 2024; compró 400.000 acciones más entre oct-2025 y ago-2026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Charlès (cofundador) y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3,60 %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2024; recibió 1,5 millones de acciones de rendimiento en 2025; dejó el consejo el 21-feb-2026 [4,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0,37 %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0,27 % en 2024; +450.000 acciones por entrega del plan en mayo de 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y autocontrol (SW Securities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 (público)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 34,23 %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Eagle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declaró más del 2,5 % a 19-feb-2026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Cruce del umbral estatutario del 2,5 % en 2026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declaró más del 2,5 % del capital y de los votos a 11-mar-2026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 del umbral estatutario del 2,5 % en 2026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(10 declaraciones, 24-oct a 7-nov-2025)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Xavier Cauchois,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Laurence Daures, consejera coordinadora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 (5 y 8-dic-2025)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Donatella Sciuto y Nathalie Rouvet Lazare, consejeras (12 y 13-feb-2026)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(venta tras la entrega de 90.000 acciones del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Trappier, consejero (presidente de GIMD)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(29-jul, 28-ago y 31-ago-2026)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Elisa Prisner-Levyne, directora general adjunta de Estrategia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Daloz cobró en 2025 13,0 millones de EUR: 1,0 de fijo, 0,94 de variable anual (94 % del objetivo) y 11,0 de acciones de rendimiento valoradas a NIIF (450.000 acciones); el variable pesa el 91,9 % del total y la paga equivale a 118 veces el coste medio por empleado [4]. El variable anual mezcla BPA non-IFRS (20 %), margen (15 %), posición competitiva (15 %), cartera de productos (20 %), estrategia cualitativa (15 %) y ESG (15 %) [4]. Las acciones de rendimiento dependen en un 80 % del BPA non-IFRS (desde 2026, dos tercios BPA y un tercio conversión de resultado en caja) y en un 20 % de ESG; no hay ROIC ni rentabilidad total para el accionista [4]. Para 2026, además de las 450.000 habituales, el consejo concede 225.000 acciones extra con consolidación de solo dos años «por retención», porque la transición a suscripción deprime los criterios financieros [4]. Hay recuperación (clawback) desde 2025 e indemnización máxima de dos años [4]. </w:t>
      </w:r>
      <w:r>
        <w:rPr>
          <w:b/>
        </w:rPr>
        <w:t xml:space="preserve">En la junta de 2026 la política de remuneración recibió un 21,27 % en contra; sin los votos de GIMD, un 52,5 % del capital libre presente votó en contra</w:t>
      </w:r>
      <w:r>
        <w:t xml:space="preserve"> (53,4 % en 2024 sobre la remuneración de Charlès; en 2025 la política solo tuvo un 7,57 % en contra) [30, 31, 32]. Estimación propia: votos en contra entre votos emitidos menos los 1.070,9 millones de votos dobles de GIMD.</w:t>
      </w:r>
    </w:p>
    <w:p>
      <w:pPr>
        <w:pStyle w:val="Heading2"/>
      </w:pPr>
      <w:r>
        <w:t xml:space="preserve">Operaciones vinculadas, estructura de control y defensas</w:t>
      </w:r>
    </w:p>
    <w:p>
      <w:pPr>
        <w:spacing w:after="100"/>
      </w:pPr>
      <w:r>
        <w:t xml:space="preserve">GIMD, holding de la familia Dassault, tiene el 39,91 % del capital y el 53,75 % de los votos gracias al voto doble que los estatutos (art. 29) dan a toda acción nominativa con dos años de inscripción: controla por sí sola la junta [4]. Con Edelstenne, Charlès y Daloz, el bloque llega al 65,8 % de los votos; el flotante, con el 49,4 % del capital, solo pesa el 34,2 % [4]. GIMD, Edelstenne, Charlès y Daloz han firmado desde 2011 compromisos colectivos de conservación (régimen fiscal del art. 787 B del CGI), el último el 1-oct-2025 sobre el 16,71 % del capital: son de naturaleza fiscal, no pactos de voto, pero bloquean ese paquete [4]. Contrapesos: 55 % de consejeros independientes (50 % con Trappier), consejera coordinadora desde 2022 y las tres comisiones íntegramente independientes [4]. Las operaciones con Dassault Aviation, sociedad hermana, son pequeñas (56,4 millones de EUR de ingresos en 2025, en condiciones de mercado) [4]. No hay límites de voto ni píldoras; la junta de 2026 aprobó delegaciones para fusiones, escisiones y aportaciones parciales de activos con un 94-95 % a favor [30].</w:t>
      </w:r>
    </w:p>
    <w:p>
      <w:pPr>
        <w:pStyle w:val="Heading2"/>
      </w:pPr>
      <w:r>
        <w:t xml:space="preserve">Señales de alerta</w:t>
      </w:r>
    </w:p>
    <w:p>
      <w:pPr>
        <w:pStyle w:val="ListParagraph"/>
        <w:numPr>
          <w:ilvl w:val="0"/>
          <w:numId w:val="2"/>
        </w:numPr>
        <w:spacing w:after="60"/>
      </w:pPr>
      <w:r>
        <w:t xml:space="preserve">Salida abrupta del presidente: Bernard Charlès dejó la presidencia y el consejo el 21-feb-2026 «con efecto inmediato» y por «razones personales», sin anuncio previo; Daloz acumula desde entonces presidencia y dirección ejecutiva [29].</w:t>
      </w:r>
    </w:p>
    <w:p>
      <w:pPr>
        <w:pStyle w:val="ListParagraph"/>
        <w:numPr>
          <w:ilvl w:val="0"/>
          <w:numId w:val="2"/>
        </w:numPr>
        <w:spacing w:after="60"/>
      </w:pPr>
      <w:r>
        <w:t xml:space="preserve">Rechazo del capital libre: la política de remuneración de 2026 recibió un 21,27 % en contra en la junta, que equivale a un 52,5 % del capital libre presente si se descuentan los votos de GIMD (estimación propia); en 2024 la remuneración de Charlès tuvo un 53,4 % en contra del capital libre [30, 32].</w:t>
      </w:r>
    </w:p>
    <w:p>
      <w:pPr>
        <w:pStyle w:val="ListParagraph"/>
        <w:numPr>
          <w:ilvl w:val="0"/>
          <w:numId w:val="2"/>
        </w:numPr>
        <w:spacing w:after="60"/>
      </w:pPr>
      <w:r>
        <w:t xml:space="preserve">Se mueve la portería de los incentivos: en 2026 hay 225.000 acciones extra para el PDG con consolidación en dos años «por retención», justificadas porque la transición a suscripción deprime los criterios financieros [4].</w:t>
      </w:r>
    </w:p>
    <w:p>
      <w:pPr>
        <w:pStyle w:val="ListParagraph"/>
        <w:numPr>
          <w:ilvl w:val="0"/>
          <w:numId w:val="2"/>
        </w:numPr>
        <w:spacing w:after="60"/>
      </w:pPr>
      <w:r>
        <w:t xml:space="preserve">Guía recortada dos años seguidos (jul-2024 y oct-2025) y objetivo de duplicar el BPA aplazado de 2028 a 2029 [10, 36, 37].</w:t>
      </w:r>
    </w:p>
    <w:p>
      <w:pPr>
        <w:pStyle w:val="ListParagraph"/>
        <w:numPr>
          <w:ilvl w:val="0"/>
          <w:numId w:val="2"/>
        </w:numPr>
        <w:spacing w:after="60"/>
      </w:pPr>
      <w:r>
        <w:t xml:space="preserve">Ventas sistemáticas de la alta dirección (director financiero, Américas, Estrategia: 3,4 millones de EUR en 12 meses), compensadas por las compras del fundador Edelstenne (9,4 millones de EUR)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confirmados el 23 de julio de 2026, solo en base non-IFRS [39]: ingresos de 6.296-6.416 M EUR (+1-3 % publicado, +3-5 % a tipo constante), crecimiento a tipo constante de software del 3-5 % y de servicios del 2-6 %, margen operativo del 32,2-32,6 % y BPA diluido de 1,30-1,34 EUR ((1)-2 % publicado; +3-6 % a tipo constante). Supuestos: 1,17 USD y 177,1 JPY por euro. Para el 3T26 guía ingresos de 1.497-1.537 M EUR, margen del 31,0-31,1 % y BPA de 0,30-0,31 EUR. La guía excluye unos 115 M de remuneración en acciones, unos 315 M de amortización de intangibles adquiridos (sobre todo Medidata) y no incluye ArisGlobal [11, 39]. La guía 2026 se inició el 11 de febrero de 2026 con un 3-5 % de crecimiento de ingresos y se confirmó el 23 de abril y el 23 de julio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[45]; EBITDA y EBIT non-IFRS,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11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33,35</w:t>
            </w:r>
          </w:p>
        </w:tc>
      </w:tr>
    </w:tbl>
    <w:p>
      <w:pPr>
        <w:spacing w:after="160" w:before="0"/>
      </w:pPr>
    </w:p>
    <w:p>
      <w:pPr>
        <w:pStyle w:val="Heading2"/>
      </w:pPr>
      <w:r>
        <w:t xml:space="preserve">Revisiones de estimaciones</w:t>
      </w:r>
    </w:p>
    <w:p>
      <w:pPr>
        <w:spacing w:after="100"/>
      </w:pPr>
      <w:r>
        <w:t xml:space="preserve">No hay serie gratuita de revisiones del consenso a 3 y 12 meses (MarketScreener las muestra solo en gráfico) [46]. Lo que sí consta: en los últimos tres meses Exane BNP Paribas rebajó a vender (16-sep-2026), Jefferies mantuvo vender con 16 EUR (28-sep), Deutsche Bank subió su precio objetivo de 20 a 22 EUR (1-sep) y Citi de 20 a 21 EUR (27-jul) [49]; las recomendaciones pasaron de 12 a 11 «mantener» y de 0 a 1 «vender» entre agosto y septiembre [49]. A 12 meses, la caída de las estimaciones la marcan dos hechos: la rebaja de la previsión de ingresos de 2025 (23-oct-2025) y una guía 2026 del 3-5 % (11-feb-2026) [39]. El BPA de S&amp;P Global para 2026 y 2027 (1,33 y 1,41 EUR) es non-IFRS, coherente con la guía de 1,30-1,34 [49]; el de MarketScreener (1,00 y 1,07) es NIIF [45].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Dassault Systèmes cierra el 6 de octubre de 2026 a 21,51 EUR (la sesión del 7 no había terminado a la fecha de corte), un 26 % menos que hace un año y un 59 % por debajo del cierre de 2021 (52,31 EUR) [38]. La caída máxima de cinco años es del 70,9 %, entre el 19 de noviembre de 2021 y el 16 de febrero de 2026 [38]. Dos sesiones de resultados explican buena parte del último año: el 23 de octubre de 2025 (−13 %), cuando la compañía rebajó la previsión de ingresos de 2025, y el 11 de febrero de 2026 (−20,8 %), con un 4T25 que creció un 1 % y una guía 2026 del 3-5 % [38, 39]. En el mismo año, el CAC 40 cedió un 1,4 % y el ETF tecnológico europeo (EXV3) subió un 23,8 %: el castigo es propio, no del sector. Rentabilidades de precio, sin dividendos, porque el CAC 40 de Yahoo es un índice de precio; la beta mensual frente al CAC (0,58) está deprimida por esos choques idiosincráticos.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en mínimos de su propia historia: 13,1 veces EBITDA de los últimos 12 meses frente a una media de 23,6x en los cierres de 2021-2025 (mínimo de 16,2x), un descuento del 44 %, y 22,2 veces beneficio frente a 47,8x (−54 %). No es un abaratamiento del mismo negocio. Entre 2021 y 2023 Dassault guiaba crecimientos del 8-10 % y los cumplía [5, 34, 35]; desde 2024 recortó la guía dos años seguidos y para 2026 espera un 3-5 % a tipo constante [2, 10, 36]. A la vez, el Bund a 10 años pasó de tipos negativos en 2021 al 3,52 % [42]. El múltiplo de 2021 (44,7x) descontaba crecimiento de doble dígito con tipos cero; el de hoy descuenta un crecimiento del 1,9 % anual (DCF inverso). Usamos la historia como referencia de techo, no como objetivo.</w:t>
      </w:r>
    </w:p>
    <w:p>
      <w:pPr>
        <w:pStyle w:val="Heading1"/>
      </w:pPr>
      <w:r>
        <w:t xml:space="preserve">18. Comparables cotizados</w:t>
      </w:r>
    </w:p>
    <w:p>
      <w:pPr>
        <w:pStyle w:val="Confianza"/>
        <w:spacing w:after="100"/>
      </w:pPr>
      <w:r>
        <w:t xml:space="preserve">Confianza: Media</w:t>
      </w:r>
    </w:p>
    <w:p>
      <w:pPr>
        <w:spacing w:after="100"/>
      </w:pPr>
      <w:r>
        <w:t xml:space="preserve">Ocho cotizadas de software de diseño, simulación y gestión del ciclo de vida, la misma industria que Dassault: PTC (PLM, el más parecido en crecimiento), Autodesk, Synopsys y Cadence (diseño electrónico y, tras Ansys y Hexagon D&amp;E, simulación), Bentley y Nemetschek (infraestructura y construcción), Veeva (software de ciencias de la vida, el rival de Medidata) y Siemens, que no es puro: su software (Digital Industries) es una parte de un conglomerado industrial. Fuera: Altair (comprada por Siemens), Ansys (por Synopsys) y Hexagon, cuya escisión de 2026 deja estimaciones sin perímetro comparable (ventas 2026e de 4.126 M EUR frente a 5.425 M en 2025) [51, 52, 53, 54, 55, 56, 57, 58, 59, 60, 61, 62, 63, 64, 65,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(no puro: Digital Industries es una parte)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16,6x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19,9x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 / 28,6x / 45,8x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7,8x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14,0 + 0,36 × crecimiento; R² = 0,10. El crecimiento explica poco los múltiplos de estos comparables (R² &lt; 0,3): la regresión no se usa en la valoración.</w:t>
      </w:r>
    </w:p>
    <w:p>
      <w:pPr>
        <w:spacing w:after="100"/>
      </w:pPr>
      <w:r>
        <w:t xml:space="preserve">Dassault cotiza a 11,9 veces el EBITDA de los próximos 12 meses y 20,4 veces el beneficio, frente a medianas de 16,6x y 28,6x de los ocho comparables, pero espera crecer un 5,9 % frente al 12,9 % de la mediana y su ROIC (13,8 %) está por debajo del 17,2 % mediano. El descuento se explica en buena parte: el único rival que crece tan poco, PTC (4,9 %), cotiza a 15,5x con un margen EBITDA del 43 % [51, 59]. La regresión no ayuda (R² de 0,10) y hay un sesgo de base: el EBITDA de los comparables es ajustado (sin remuneración en acciones, que en los estadounidenses pesa más) y el de Dassault en el motor resta su remuneración en acciones (2,4 % de ventas en el consenso). Con esas cautelas, la mediana de EV/EBITDA y PER da 29,83 EUR por acción. Lo tomamos como techo de referencia y le damos un 10 % del peso: aplicar múltiplos de empresas que crecen el doble sobrevalora a Dassault.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 USD por acción en efectivo, valor empresa de 5.800 M USD; ingresos de 2018 de 636 M USD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≈35.000 M USD (197 USD en efectivo + 0,345 acciones de Synopsys); prima del 29 % sobre el cierre del 21-dic-2023 [67]; ingresos de 2023 de 2.269,9 M USD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en efectivo; el comunicado da el valor de las acciones (≈10.600 M USD), no el valor empresa: se usa como aproximación [68]. Ingresos de 2023 de 612,7 M USD [71]. Prima del 19 % sobre el cierre del 21-oct-2024.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Dotmatics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5.100 M USD a Insight Partners; ingresos esperados de más de 300 M USD en 2025 (múltiplo sobre ventas futuras, techo) y margen EBITDA ajustado superior al 40 %, es decir, menos de ≈42x EBITDA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Design &amp; Engineering de Hexagon (antigua MSC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Design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23-feb-2026: 2.900 M USD netos de la caja adquirida (2.200 M en efectivo y 3,2 M de acciones de Cadence valoradas en 902,2 M) [72]. Cadence no publica los ingresos del negocio.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USD en efectivo más hasta 200 M USD por hitos de ingresos de IA (11,4x con el contingente); ingresos esperados de 175 M USD en 2026 (múltiplo sobre ventas del año en curso); cierre previsto en el 2S26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49,39 – 80,81</w:t>
            </w:r>
          </w:p>
        </w:tc>
      </w:tr>
    </w:tbl>
    <w:p>
      <w:pPr>
        <w:spacing w:after="160" w:before="0"/>
      </w:pPr>
    </w:p>
    <w:p>
      <w:pPr>
        <w:spacing w:after="100"/>
      </w:pPr>
      <w:r>
        <w:t xml:space="preserve">Las seis operaciones se pagaron sobre ventas (ninguna publicó EBITDA): mediana de 15,4 veces, frente a 4,3 veces a las que cotiza hoy Dassault. Esa referencia da 73,41 EUR por acción y no sirve como valor: son compras de control, con primas del 19-29 % en las OPA (Ansys y Altair) y de negocios que crecían a doble dígito [67, 68]. Lo útil es otra lectura: Dassault pagó 9,1 veces ventas por Medidata en 2019 y 10,3 veces por ArisGlobal en 2026 [11, 12], más del doble de lo que el mercado paga hoy por la propia Dassault. Una OPA sobre Dassault es improbable: el Groupe Industriel Marcel Dassault tiene el 39,91 % del capital y el 53,75 % de los votos [4]. Peso en la síntesis: 0.</w:t>
      </w:r>
    </w:p>
    <w:p>
      <w:pPr>
        <w:pStyle w:val="Heading1"/>
      </w:pPr>
      <w:r>
        <w:t xml:space="preserve">20. Descuento de flujos de caja (DCF)</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(+2,1 %, 6.367 M) es el punto medio de la guía non-IFRS (6.296-6.416 M, +3-5 % a tipo constante con unos dos puntos de divisa en contra) y coincide con el consenso (6.366 M) [2, 45]; con dos trimestres publicados lo dejamos fijo. Para 2027-2029 proyectamos un 5,0-5,5 %: el crecimiento a tipo constante fue del 4 % en 2025 y del 3 % en el 1S26, pero el ARR crece un 6 % y la suscripción un 8 % en el 2T26 [1, 2], y lo que hoy frena la cifra (licencias que pasan a suscripción y Medidata) se va diluyendo. Desde 2030 baja medio punto al año hasta el 3,0 % de 2034-2035. Quedamos un 1,3-2,0 % por debajo del consenso en ingresos de 2027-2028, que en parte ya incluye ArisGlobal; nosotros la dejamos fuera. El mercado amplio del PLM crece un 9,6 % anual según CIMdata [27]: Dassault lleva tres años creciendo por debajo, y no suponemos que recupere cuota.</w:t>
      </w:r>
    </w:p>
    <w:p>
      <w:pPr>
        <w:keepNext/>
        <w:spacing w:after="100"/>
      </w:pPr>
      <w:r>
        <w:rPr>
          <w:b/>
          <w:bCs/>
        </w:rPr>
        <w:t xml:space="preserve">Márgenes.</w:t>
      </w:r>
    </w:p>
    <w:p>
      <w:pPr>
        <w:spacing w:after="100"/>
      </w:pPr>
      <w:r>
        <w:t xml:space="preserve">Trabajamos en NIIF y tratamos la remuneración en acciones como coste. El margen EBITDA NIIF fue del 30,4-33,5 % en 2021-2025. Para 2026e fijamos un 33,4 %: la guía de margen operativo non-IFRS del 32,2-32,6 % más ~3,3 puntos de amortización propia, menos los ~115 M de remuneración en acciones previstos (1,8 % de ventas) y ~0,5 puntos de otros gastos operativos [2]. Ese 115 M es anómalo (en 2021-2025 fue de 168-250 M, el 3,5-4,0 % de las ventas [1, 5]), así que desde 2027 lo normalizamos en el ~3 %: el 36,4 % de EBITDA non-IFRS del consenso de 2027 [45] se queda en un 33,0 % NIIF. Después sube 0,4 puntos al año hasta el 34,6 % en 2031, por apalancamiento con una plantilla que ya baja (25.512 personas a junio de 2026, −3 %) [2]. PTC gana un 35,9 % de margen EBIT en US GAAP [18]: el techo es alcanzable.</w:t>
      </w:r>
    </w:p>
    <w:p>
      <w:pPr>
        <w:keepNext/>
        <w:spacing w:after="100"/>
      </w:pPr>
      <w:r>
        <w:rPr>
          <w:b/>
          <w:bCs/>
        </w:rPr>
        <w:t xml:space="preserve">Inversión y circulante.</w:t>
      </w:r>
    </w:p>
    <w:p>
      <w:pPr>
        <w:spacing w:after="100"/>
      </w:pPr>
      <w:r>
        <w:t xml:space="preserve">El capex fue del 2,1-3,1 % de las ventas en 2021-2025 y los pagos de arrendamientos, de 80-102 M al año (1,3-2,0 %) [1, 4]. Con los arrendamientos en la deuda (NIIF 16), sumamos ambos: capex del 4,0 % de las ventas, que incluye las altas de derechos de uso. La amortización (3,4 %) es la del inmovilizado, los derechos de uso y el software propio. Deja fuera la de los intangibles adquiridos (337,6 M en 2025, sobre todo Medidata) [1], que no hay que reponer ni da un escudo fiscal relevante, porque la compra fue de acciones. El circulante (clientes más activos por contrato, menos proveedores y pasivos por contrato) pasó del −2,4 % de las ventas en 2021 al 6,7 % en 2025, al alargarse el cobro de 103 a 127 días; lo dejamos en el 6,5 %. Tipo impositivo del 21 %, en la media del 18,6-28,8 % efectivo de 2021-2025, con el tipo legal francés del 25,8 % como techo.</w:t>
      </w:r>
    </w:p>
    <w:p>
      <w:pPr>
        <w:keepNext/>
        <w:spacing w:after="100"/>
      </w:pPr>
      <w:r>
        <w:rPr>
          <w:b/>
          <w:bCs/>
        </w:rPr>
        <w:t xml:space="preserve">Coste del capital.</w:t>
      </w:r>
    </w:p>
    <w:p>
      <w:pPr>
        <w:spacing w:after="100"/>
      </w:pPr>
      <w:r>
        <w:t xml:space="preserve">Tasa libre: el Bund a 10 años, al 3,52 % el 6-oct-2026 [42]. Los flujos van en euros y Dassault vende en todo el mundo, así que no le cargamos la prima soberana francesa; con la OAT (≈4,0 % de media en agosto [43]), el WACC subiría ~0,45 puntos. Beta de 0,95, contrastada con tres índices [38]. Frente al STOXX Europe 600 sale 0,82 mensual a 5 años y 0,95-0,97 semanal o ajustada. Frente al CAC 40 sale 0,58 mensual (0,87 ajustada semanal), deprimida por dos caídas propias en días de resultados (−13 % y −20,8 %) en un índice cargado de lujo y bancos. Frente al ETF tecnológico europeo EXV3 sale 0,65-0,82, porque está dominado por semiconductores. Elegimos el STOXX 600: es la cartera de mercado de un inversor en euros. Prima de mercado del 5,5 % (la implícita, 4,2 %, se aplica en la regla relativa [73]). Coste de la deuda del 4,0 %: estimación propia para un emisor A de S&amp;amp;P [4], con un peso de la deuda bruta a valor de mercado del 10,6 %.</w:t>
      </w:r>
    </w:p>
    <w:p>
      <w:pPr>
        <w:keepNext/>
        <w:spacing w:after="100"/>
      </w:pPr>
      <w:r>
        <w:rPr>
          <w:b/>
          <w:bCs/>
        </w:rPr>
        <w:t xml:space="preserve">Valor terminal.</w:t>
      </w:r>
    </w:p>
    <w:p>
      <w:pPr>
        <w:spacing w:after="100"/>
      </w:pPr>
      <w:r>
        <w:t xml:space="preserve">Crecimiento a perpetuidad del 2,5 % en euros: entre la inflación objetivo del BCE (2 %) y la tasa libre menos medio punto (3,0 %). Implica 12,5 veces el EBITDA de salida, por debajo de la mediana de comparables (16,6x NTM); el múltiplo de control, 16x, implicaría un crecimiento perpetuo del 3,66 %. No usamos la etapa de transición (DCF en tres etapas). El ROIC con el fondo de comercio de Medidata (13,8 %) supera al WACC en 5,7 puntos, justo por encima del mínimo de 5, y sin él pasa del 90 %: el negocio orgánico crea valor de sobra. Lo que falta es la otra condición: un crecimiento que dure. Dassault crece por debajo de su mercado desde 2024 y ha recortado la guía dos años seguidos [10, 36]. Por eso alargamos la proyección explícita a diez años con un 3 % al final, en vez de suponer una década más de crecimiento por encima del terminal.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(hoy: 8,3 %)</w:t>
            </w:r>
          </w:p>
        </w:tc>
      </w:tr>
    </w:tbl>
    <w:p>
      <w:pPr>
        <w:spacing w:after="160" w:before="0"/>
      </w:pPr>
    </w:p>
    <w:p>
      <w:pPr>
        <w:spacing w:after="100"/>
      </w:pPr>
      <w:r>
        <w:t xml:space="preserve">La proyección apenas necesita inversión neta de la amortización (reinversión acumulada de 665 M, el 3 % del NOPAT, con un capex bruto medio del 4,0 % de las ventas). En un negocio de activos ligeros, el crecimiento medio del 4,1 % tiene que salir de subir precios y de ganar volumen sin capital nuevo, y la prueba es el poder de precios y la cuota (8,6 % del mercado en 2035e, frente al 8,3 %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+3-5 % a tipo constante y +1-3 % publicado: unos dos puntos de divisa en contra (otros) [2, 39]. La empresa no publica precios ni renovaciones; el reparto entre usuarios (3DEXPERIENCE, nube) y precio es estimación propia, con Ciencias de la vida restando volumen (−3 %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+6 % y suscripción +8 % en el 2T26 [2]; el paso de licencias a suscripción frena hoy la cifra y se diluye (mezcla en otros). Precio: margen non-IFRS estable en el 32 % con inflación salarial, única evidencia indirecta [2].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penetración de 3DEXPERIENCE (43 % del software elegible en el 2T26) y nube (28 %) [2]; el consenso da +6,2 % [45]. Reparto, estimación propia.</w:t>
            </w:r>
          </w:p>
        </w:tc>
      </w:tr>
    </w:tbl>
    <w:p>
      <w:pPr>
        <w:spacing w:after="160" w:before="0"/>
      </w:pPr>
    </w:p>
    <w:p>
      <w:pPr>
        <w:spacing w:after="100"/>
      </w:pPr>
      <w:r>
        <w:t xml:space="preserve">Sí: el base pide poco. Un 4,1 % anual en 2026e-2035e, cerca del 4 % a tipo constante de 2025 y por debajo del ARR (+6 %), y menos de la mitad del 9,6 % previsto para su mercado [1, 2, 27]. La cuota implícita en 2035e (8,6 % frente al 8,3 %) congela el mercado en 2029e: es una cota alta. Casi no necesita capital (capex del 4 % frente a una amortización del 3,4 %), así que la prueba es la cuota y el precio: costes de cambio altos (82 % recurrente, décadas de datos en CATIA) [1, 4]. Lo no demostrado es el poder de precios, que no se publica, y crece por debajo de su mercado desde 2024 [10, 36].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(base: 34,6 %)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8,1 %)</w:t>
            </w:r>
          </w:p>
        </w:tc>
      </w:tr>
    </w:tbl>
    <w:p>
      <w:pPr>
        <w:spacing w:after="160" w:before="0"/>
      </w:pPr>
    </w:p>
    <w:p>
      <w:pPr>
        <w:spacing w:after="100"/>
      </w:pPr>
      <w:r>
        <w:t xml:space="preserve">El DCF da 25,17 EUR por acción, un 17,0 % por encima del precio (21,51 EUR), con un 62 % del valor en el terminal. La pregunta central es qué descuenta el precio, y la respuesta es poco: con nuestro WACC del 8,13 %, los 21,51 EUR equivalen a un crecimiento del 1,9 % anual en 2027-2035 (frente al 4,3 % de nuestra base y el 9,6 % previsto para el mercado del PLM [27]). Visto por el lado del margen, equivalen a un EBITDA NIIF del 30,0 % a largo plazo, por debajo del 30,4 % de 2025 y del 34,6 % que proyectamos. Dicho de otro modo, quien compra hoy con nuestras cifras obtiene un 9,1 % anual, frente al 8,13 % de coste de capital y al 7,03 % que pide hoy el mercado con su prima implícita. Las cifras no son agresivas: quedamos un 1,3-4,8 % por debajo del consenso en ingresos y EBITDA de 2026-2028. Si se exige un 9,1 % (WACC de 9,1 % en la tabla), el valor cae a 21,54 EUR: el precio solo se justifica con un coste de capital un punto por encima del nuestro o con un crecimiento de la mitad.</w:t>
      </w:r>
    </w:p>
    <w:p>
      <w:pPr>
        <w:pStyle w:val="Heading1"/>
      </w:pPr>
      <w:r>
        <w:t xml:space="preserve">21. Escenarios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2024-2025: la guía se recorta otra vez, Medidata sigue cayendo con menos ensayos y la IA abarata el CAD de gama media (SOLIDWORKS). El crecimiento se queda en el 1,5-2 % y el margen NIIF vuelve al 30-31 % de 2023-2025 cuando la remuneración en acciones recupera su nivel [1, 10, 36].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la suscripción y 3DEXPERIENCE (+14 % en el 2T26) compensan la transición de licencias, Medidata se estabiliza con su ARR ya en positivo y el crecimiento vuelve al 5-5,5 % en 2027-2029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día del inversor (17-nov-2026) fija objetivos creíbles, la nube se acelera, las biotecnológicas vuelven a lanzar ensayos y ArisGlobal suma ventas cruzadas en ciencias de la vida: crecimiento del 6,5-7 % como en 2023 y margen NIIF del 36 %, a la altura de PTC [2,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23,79 EUR (+10,6 %).</w:t>
      </w:r>
    </w:p>
    <w:p>
      <w:pPr>
        <w:spacing w:after="100"/>
      </w:pPr>
      <w:r>
        <w:t xml:space="preserve">La asimetría es de 2,05 veces: el alcista (29,92 EUR, +39,1 %) gana el doble de lo que pierde el bajista (17,40 EUR, −19,1 %). La pérdida bajista es moderada porque el precio ya descuenta casi todo ese escenario: un crecimiento del 1,5-2 % con margen del 30-31 % vale 17,40 EUR, a un 19 % del precio. El bajista no es cosmético; es lo que ocurrió en 2024-2025, cuando el crecimiento publicado pasó del 4,4 % al 0,4 % [1]. Le damos un 30 % de probabilidad, más que al alcista, porque la dirección ha fallado la guía dos años seguidos [10, 36]. El ponderado (23,79 EUR, +10,6 %) queda por debajo del DCF base por esa inclinación.</w:t>
      </w:r>
    </w:p>
    <w:p>
      <w:pPr>
        <w:pStyle w:val="Heading1"/>
      </w:pPr>
      <w:r>
        <w:t xml:space="preserve">22. Suma de partes</w:t>
      </w:r>
    </w:p>
    <w:p>
      <w:pPr>
        <w:pStyle w:val="Confianza"/>
        <w:spacing w:after="100"/>
      </w:pPr>
      <w:r>
        <w:t xml:space="preserve">Confianza: Media</w:t>
      </w:r>
    </w:p>
    <w:p>
      <w:pPr>
        <w:spacing w:after="100"/>
      </w:pPr>
      <w:r>
        <w:t xml:space="preserve">No aplica. Dassault publica un único segmento operativo y no da resultado por línea de producto [4]; Ciencias de la vida (18 % del software) tiene un perfil distinto, pero sin su margen cualquier suma de partes sería inventada. El riesgo de Medidata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25,08 EUR (+16,6 % sobre 21,51).</w:t>
      </w:r>
    </w:p>
    <w:p>
      <w:pPr>
        <w:spacing w:after="100"/>
      </w:pPr>
      <w:r>
        <w:t xml:space="preserve">El DCF pesa un 50 % porque el negocio es recurrente en un 82 % [1] y su caja es predecible (1.525-1.660 M de flujo operativo al año en 2021-2025). Los escenarios pesan un 40 % para incorporar el riesgo de un nuevo recorte de guía. Los comparables pesan solo un 10 %: crecen el doble que Dassault y la regresión no explica sus múltiplos, así que su 29,83 EUR es un techo. Las transacciones pesan 0: son primas de control sobre negocios de doble dígito, y Dassault no es opable. La dispersión es amplia, pero todos los métodos con peso quedan por encima del precio: escenarios 23,79, DCF 25,17 y comparables 29,83, con el valor objetivo en 25,08 EUR (+16,6 %). Con la prima implícita del mercado (4,2 %) [73], el DCF sube a 31,05 EUR. El puente usa el balance de 30-jun-2026: caja de 5.660 M, deuda de 3.378 M, arrendamientos de 574 M y pensiones de 110 M netas de impuestos [2, 4, 47]. El bono de 900 M que venció el 16-sep-2026 se pagó con caja y no cambia la deuda neta [4]. ArisGlobal (~1.610 M EUR en efectivo) no está restada porque tampoco está su negocio; si valiera cero, el DCF bajaría a 23,95 EUR (−4,8 %).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(21.7x) × 1.1 (tope: la mediana de 5 años, 49.2x,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+77,9 %</w:t>
            </w:r>
          </w:p>
        </w:tc>
      </w:tr>
    </w:tbl>
    <w:p>
      <w:pPr>
        <w:spacing w:after="160" w:before="0"/>
      </w:pPr>
    </w:p>
    <w:p>
      <w:pPr>
        <w:spacing w:after="100"/>
      </w:pPr>
      <w:r>
        <w:rPr>
          <w:b/>
          <w:bCs/>
        </w:rPr>
        <w:t xml:space="preserve">Objetivo a 12 meses (ponderado):</w:t>
      </w:r>
      <w:r>
        <w:t xml:space="preserve"> 25,55 EUR · rentabilidad +20,0 % (base +21,2 %) · señal Comprar.</w:t>
      </w:r>
    </w:p>
    <w:p>
      <w:pPr>
        <w:spacing w:after="100"/>
      </w:pPr>
      <w:r>
        <w:t xml:space="preserve">Para comparar, con la regla v2 (historia al cierre, mismo precio): 18,4x / 21,7x / 28,2x, 9,3 % Mantener; con el tope anterior del base (×1,3, 14-oct mediodía): 41,6 % Comprar. Decide la regla vigente (v3 con tope ×1,1; METODO-VIGENTE.md).</w:t>
      </w:r>
    </w:p>
    <w:p>
      <w:pPr>
        <w:keepNext/>
        <w:spacing w:after="100"/>
      </w:pPr>
      <w:r>
        <w:rPr>
          <w:b/>
          <w:bCs/>
        </w:rPr>
        <w:t xml:space="preserve">Frente al consenso (solo contraste).</w:t>
      </w:r>
    </w:p>
    <w:p>
      <w:pPr>
        <w:spacing w:after="100"/>
      </w:pPr>
      <w:r>
        <w:t xml:space="preserve">Nuestro BPA base de 2028e (1,08) se separa un -6,9 % del consenso (1,16) y nuestro precio base (23,44) un +0,5 % del objetivo medio de los analistas (23,32).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25,08 (+16,6 %) frente al objetivo a 12 meses ponderado 23,23 (+9,3 % con dividendo; base +10,3 %).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ingresos de 1.497-1.537 M, margen non-IFRS del 31,0-31,1 % y BPA de 0,30-0,31 EUR [2]. Un cuarto trimestre seguido sin recorte reforzaría la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medio plazo. Confirmar o rebajar el objetivo de duplicar el BPA non-IFRS en 2029, ya aplazado una vez desde 2028 [2,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ArisGlobal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USD en efectivo más hasta 200 M USD por hitos; 175 M USD de ingresos en 2026. Suma unos 2,5 puntos de crecimiento en 2027 y se paga a 10,3 veces ventas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crecimiento vuelve al 5 % que suponemos o se queda en el 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de Ciencias de la vida (Medidata)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ya crece en el 2T26 tras buena contratación en el semestre [2]; si se traslada a ingresos, desaparece el principal lastre.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política de remuneración: en 2026, el 52,5 % del capital libre presente votó en contra (estimación sin GIMD)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estructuralmente más lento: el PLM crece al 9,6 % y Dassault al 3-4 % a tipo constante, con la consolidación de rivales (Synopsys-Ansys, Siemens-Altair) y la IA en el CAD de gama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por cada punto menos de crecimiento anual (23,59 EUR); escenario bajista −30,9 % (17,40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CATIA en aeroespacial y automoción; 82 % de software recurrente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software a tipo constante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(18 % del software) sigue cayendo: Medidata depende del número de ensayos y sus contratos no se renuevan solos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si el grupo crece 3 puntos menos en 2027-2029 (23,31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volvió a crecer en el 2T26 y ArisGlobal suma seguridad y regulación [2,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Ciencias de la vida a tipo constante negativos en 3T26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recorte de guía o de los objetivos del día del inversor (17-nov-2026), como en 2024 y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−30,9 %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ha confirmado dos veces y es la más baja en años (3-5 %) [2,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4 %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el valor es sensible al WACC por el peso del terminal (62 %)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 (23,21 EUR); −14,4 % con un punto (21,54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ningún vencimiento relevante hasta 2029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del software se vende en América y Medidata factura en dólares; el yen también resta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si el dólar cae un 10 % frente al euro (ingresos de 2027 −4 puntos y margen −0,5 puntos; 23,89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dólares (Medidata) y coberturas del yen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vuelve a su nivel de 2021-2025 (250 M) o hace falta invertir más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con 1,5 puntos menos de margen EBITDA (23,98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ya incorpora una plantilla a la baja (−3 %)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non-IFRS de 2026 por debajo del 32,2 %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 pagada cara (10,3 veces ventas) en un área, ciencias de la vida, donde Medidata ya decepcionó</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si su valor fuera cero (23,95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 caja, sin deuda nueva neta; la empresa prevé que mejore el BPA desde el primer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de Ciencias de la vida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GIMD controla el 53,75 % del voto y el capital libre rechaza la remuneración del primer ejecutivo, ligada al BPA non-IFRS y no a la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DCF; limita la presión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 y comisiones 100 % independientes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concesiones extraordinarias de acciones o compras a sociedades del grupo Dassault</w:t>
            </w:r>
          </w:p>
        </w:tc>
      </w:tr>
    </w:tbl>
    <w:p>
      <w:pPr>
        <w:spacing w:after="160" w:before="0"/>
      </w:pPr>
    </w:p>
    <w:p>
      <w:pPr>
        <w:pStyle w:val="Heading2"/>
      </w:pPr>
      <w:r>
        <w:t xml:space="preserve">Pre-mortem</w:t>
      </w:r>
    </w:p>
    <w:p>
      <w:pPr>
        <w:spacing w:after="100"/>
      </w:pPr>
      <w:r>
        <w:t xml:space="preserve">Es octubre de 2029 y la acción vale 13 EUR. El día del inversor de noviembre de 2026 rebajó otra vez el objetivo de duplicar el BPA, y la guía de 2027 salió en el 2-4 %. La transición a suscripción no aceleró nada: los clientes de automoción europeos, presionados por la competencia china, retrasaron las renovaciones de CATIA y negociaron precio. En la gama media, herramientas de CAD con IA generativa y Autodesk Fusion en la nube restaron cuota a SOLIDWORKS, cuyo crecimiento por unidades se frenó en 2027. Medidata no se recuperó: los laboratorios llevaron más ensayos a plataformas propias y a Veeva, y ArisGlobal, pagada a 10 veces ventas, acabó con un deterioro en 2028. Para defender el BPA, la empresa recortó I+D y siguió excluyendo la remuneración en acciones, que volvió a 250 M; el margen NIIF se quedó en el 30 %. El mercado dejó de pagar por la recurrencia y la valoró como un software maduro a 10 veces EBITDA. La señal estaba disponible a principios de 2027: un crecimiento del software a tipo constante por debajo del 3 % dos trimestres seguidos y unos ingresos de Ciencias de la vida aún negativos, con la contratación de Medidata sin trasladarse a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(líder del sector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de riesgo ESG (riesgo bajo; mejora en 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(2 % mejor del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 decil)</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82/100 (5 % mejor de todas las industrias)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Para un editor de software, lo ESG que mueve cifras es el capital humano, no las emisiones. El talento es el insumo crítico: 25.000 empleados, más de 9.900 en I+D, y una rotación que subió al 8,4 % en 2025 (8,0 % en 2024); la propia empresa califica la rotación de riesgo financiero [4]. La huella directa es pequeña: 5.450 t CO₂e de alcance 1 y 2 en 2025, un 78 % menos que en 2019, con un 94 % de electricidad renovable [4]; en julio de 2026 fijó un objetivo de cero emisiones netas validado por SBTi [2]. La parte comercial cuenta: el 42,9 % de los ingresos está alineado con la taxonomía europea [4], y la protección de datos de pacientes en Medidata es el riesgo reputacional más sensible del grupo.</w:t>
      </w:r>
    </w:p>
    <w:p>
      <w:pPr>
        <w:pStyle w:val="Heading2"/>
      </w:pPr>
      <w:r>
        <w:t xml:space="preserve">Controversias</w:t>
      </w:r>
    </w:p>
    <w:p>
      <w:pPr>
        <w:spacing w:after="100"/>
      </w:pPr>
      <w:r>
        <w:t xml:space="preserve">Según el documento de registro de 2025, no hay procedimientos judiciales, gubernamentales ni de arbitraje con efectos significativos en los doce meses anteriores a su publicación (marzo de 2026); sí inspecciones y regularizaciones fiscales en varios países, algunas recurridas [4]. No he encontrado sanciones, multas ni incidentes de datos relevantes en 2023-2026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de 196 M en el 1S25 a 39 M en el 1S26? ¿Qué parte es reversión de planes cuyas condiciones no se cumplirán y cuál es el nivel normal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todo el salto del margen NIIF (del 17,6 % al 23,0 %) y es la diferencia entre nuestro margen normalizado y el de 2026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día del inversor el objetivo de duplicar el BPA non-IFRS en 2029, partiendo de un BPA plano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referencia que el mercado usará para medir la credibilidad tras dos recortes de guía [13, 37].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Medidata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ARR de Medidata es de contratos plurianuales y cuánto de estudios concretos? ¿Cuándo se traslada la contratación del 1S26 a ingresos?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es el 18 % del software y lleva dos años cayendo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suscripción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crecimiento resta este año el paso de licencias a suscripción y en qué año deja de restar?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que es efecto contable de lo que es pérdida de demanda; nuestra base supone que la transición deja de restar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y el crecimiento de ArisGlobal y qué ventas cruzadas con Medidata justifican 10 veces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~1.610 M EUR de caja, el 5,6 % de la capitalización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de renovación tienen SOLIDWORKS y CATIA en los clientes que prueban herramientas de diseño con IA o Fusion?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en el CAD de gama media es la amenaza más difícil de medir hoy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plazo de cobro pasa de 103 a 127 días entre 2021 y 2025? ¿Cuánto es facturación anual anticipada y cuánto morosidad?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sobre ventas pasó del −2,4 % al 6,7 % y resta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dilución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para compensar la dilución de los planes, ahora que ArisGlobal consume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(2.012 M en 2021-2025) neutralizaron la dilución: las acciones diluidas apenas se movieron de 1.332 M a 1.328 M.</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73 (47 primarias); citas distintas en el texto: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8,6 % en 2035e frente al 8,3 %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6,5 % frente a 6,7 %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R² de 0,10: el crecimiento no explica los múltiplos de este grupo (PTC crece como Dassault y cotiza a 15,5x; Synopsys y Cadence llevan prima por el diseño electrónico).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10,7 %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40, 41, 44, 48,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fondo de comercio separado y reservas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da 2024-2025); 2) comunicados del 4T22 y 4T23 (fondo de comercio e intangibles juntos, sin arrendamientos ni reservas); 3) URD 2023 y 2022: la web de inversores no responde y el PDF del URD en gcs-web corta la conexión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(fondo de comercio e intangibles juntos en la partida de intangibles)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las conferencias del 1T26 y del 2T26 y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investor.3ds.com (no responde a curl); 2) comunicados con los comentarios del CEO y el CFO (usados); 3) sin búsqueda adicional por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resumen de las conferencias se basa en los comunicados y no se compara con el consenso previo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por intereses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de resultado financiero (solo 2024-2025); 2) comunicados del 4T22 y 4T23 (solo resultado financiero neto); 3) URD de años anteriores no descargables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del fondo de comercio de Medidata y compras anteriores (IQMS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18 (test anual con 12 UGT, sin deterioro localizado en el texto leído); 2) conciliación non-IFRS (otros gastos operativos de 15-56 M, sin desglose de deterioros); 3) sin URD de 2019-2023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plazo y cupón del bono de 1.000 M de junio de 2026 e importe de la nueva línea de crédito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2T26 (solo importe); 2) investor.3ds.com no responde; 3) sin búsqueda adicional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capítulo de competencia: solo da que los tres primeros de ciencias de la vida suman menos del 30 %; 2) notas de prensa de CIMdata 2025 y 2026: no publican cuotas de proveedores (la web de CIMdata devuelve 403); 3) estimación con ingresos de los competidores sobre el mercado CIMdata: el perímetro (EDA, AEC, automatización de Siemens) no permite un CR5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(2019-2022) y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cimdata.com: 403 y tiempo agotado; 2) prensa sectorial (Digital Engineering 24/7, Industrial Machinery Digest): solo 2024, 2025 y la previsión de 2029; 3) documento de registro 2025: no publica serie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2023 calculado y marcado como estimación (80.300 / 1,107)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Siemens Digital Industries Software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Earnings Release Q4 FY2025 de Siemens: solo ingresos del software del trimestre (1.900 M EUR), sin margen; 2) tabla anual de segmentos del mismo documento: solo Digital Industries completo; 3) búsqueda del informe anual FY2025: no localizado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segmento Digital Industries completo y se dice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Versión inglesa del documento de registro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investor.3ds.com/static-files: tiempo agotado; 2) espejo 3ds.gcs-web.com: tiempo agotado; 3) direcciones en 3ds.com/assets/invest: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versión francesa ESEF descargada de la DILA (info-financiere.gouv.fr)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 (objetivos de febrero de 2020 frente al cierre)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 el presupuesto de tiempo se dedicó a 2021-2025 y a los dos planes a medio plazo; 2) el comunicado del 4T19 está en info-financiere.gouv.fr (consulta por LEI 96950065LBWY0APQIM86); 3) sin intentar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Bergmann, Hu-Aubigny y Swedberg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5 (solo da las acciones de los consejeros y del PDG); 2) declaraciones AMF de 12 meses (dan operaciones, no saldos); 3) no se pueden derivar sin el saldo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a 30-jun-2026 (acciones exactas sin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en investor.3ds.com (no responde ni a descarga ni a WebFetch); 2) declaración mensual de derechos de voto en Euronext (solo da acciones emitidas: 1.342,86 M); 3) derivado: acciones diluidas medias ponderadas del 2T26 del comunicado (1.325,3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resumido del comunicado del 2T26 (no los desglosa); 2) informe semestral (inaccesible); 3) nota 19 del DEU 2025 a 31-dic-2025 (574,0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datos_wacc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10 años diaria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Banque de France, página de taux indicatifs (404); 2) Webstat API de la Banque de France y serie FM del BCE (404); 3) BCE, tipo de convergencia mensual de Francia (4,00 % en agosto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SVG, sin cifras); 2) Investing (solo ofrece el ADR DASTY y las revisiones son de pago); 3) Stock Analysis/S&amp;P Global: tendencias de recomendaciones y cambios de precio objetivo, sin serie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 y ingresos del negocio D&amp;E de Hexagon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(no publican EBITDA); 2) Hexagon y Cadence (sus webs dan 403) y 10-Q de Cadence (solo el precio); 3) Dotmatics: solo margen EBITDA ajustado «superior al 40 %»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consultó el registro de posiciones cortas netas de la AMF por presupuesto de tiempo; 2) Stock Analysis no da el dato para valores europeos; 3) sin fuente secundaria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4T25 y del ejercicio 2025 (IFRS y non-IFRS,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2T26 y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https://www.3ds.com/assets/invest/2026-07/dassault-systemes-26q2-earnings_pr_final.pdf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https://www.3ds.com/assets/invest/2026-04/dassault-systemes-26q1-earnings_pr_vfinal.pdf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(cuentas consolidadas y notas, informe de auditoría, capítulo 1.7 a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https://fr.ftp.opendatasoft.com/datadila/INFOFI/105/8888/01/FC105622033_20260331.zip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del ejercicio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https://fr.ftp.opendatasoft.com/datadila/INFOFI/MKW/2023/02/FCMKW110316_20230202.pdf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https://fr.ftp.opendatasoft.com/datadila/INFOFI/MKW/2024/02/FCMKW111447_20240201.pdf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https://fr.ftp.opendatasoft.com/datadila/INFOFI/MKW/2025/02/FCMKW116500_20250204.pdf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https://fr.ftp.opendatasoft.com/datadila/INFOFI/MKW/2024/10/FCMKW119177_20241024.pdf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https://fr.ftp.opendatasoft.com/datadila/INFOFI/MKW/2025/07/FCMKW119421_20250724.pdf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https://fr.ftp.opendatasoft.com/datadila/INFOFI/MKW/2025/10/FCMKW114539_20251023.pdf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to acquire ArisGlobal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https://live.euronext.com/en/ajax/node/company-press-release/12900403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comunicado del acuerdo de compra por Dassault Systèmes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https://www.sec.gov/Archives/edgar/data/1453814/000145381419000098/pressrelease.htm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(copia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https://fr.ftp.opendatasoft.com/datadila/INFOFI/MKW/2026/02/FCMKW114073_20260211.pdf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 de la compañía (Our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https://www.3ds.com/about/company/history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five-for-one stock split on July 7,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https://www.globenewswire.com/news-release/2021/05/27/2236987/0/en/dassault-systemes-five-for-one-stock-split-on-july-7-2021.html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8-K, anexo 99.1: aprobación de los accionistas de la compra por Dassault Systèmes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https://www.sec.gov/Archives/edgar/data/1453814/000114036119015239/nt10004156x1_ex99-1.htm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appoints new chairman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https://www.digitalengineering247.com/article/dassault-systemes-appoints-new-chairman-of-the-board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datos XBRL de los 10-K (companyfacts),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https://data.sec.gov/api/xbrl/companyfacts/CIK0000857005.json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datos XBRL de los 10-K (companyfacts), ejercicio a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https://data.sec.gov/api/xbrl/companyfacts/CIK0000883241.json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(companyfacts),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datos XBRL de los 10-K (companyfacts),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https://data.sec.gov/api/xbrl/companyfacts/CIK0001031308.json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https://data.sec.gov/api/xbrl/companyfacts/CIK0001393052.json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Publishes Executive PLM Market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vía Industrial Machinery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https://www.industrialmachinerydigest.com/software/quality-management-software/cimdata-publishes-executive-plm-market-report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releases PLM Geography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https://www.digitalengineering247.com/article/cimdata-releases-plm-geography-report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CEO Pascal Daloz becomes also Chairman of the Board of Directors of Dassault Systèmes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https://fr.ftp.opendatasoft.com/datadila/INFOFI/MKW/2026/02/FCMKW115992_20260221.pdf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20, 2026: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https://investor.3ds.com/static-files/520af36f-a304-4ac1-81a0-f71f771514ac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2025: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https://investor.3ds.com/static-files/5f640ff9-6ae8-429c-afd9-7ec87e86d650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2024: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https://investor.3ds.com/system/files-encrypted/nasdaq_kms/assets/2024/05/23/12-23-11/3DS-GSM2024-Votingresults%20vF.pdf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sobre Dassault Systèmes (art. L.621-18-2 CMF), 30 declaraciones del 24-oct-2025 al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https://bdif.amf-france.org/back/api/v1/informations?TypesInformation=DD&amp;RechercheTexte=DASSAULT%20SYSTEMES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Reports 2020 Fourth Quarter Results (con los objetivos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https://fr.ftp.opendatasoft.com/datadila/INFOFI/MKW/2021/02/FCMKW114346_20210204.pdf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Delivers Strong 2021 Results (con los objetivos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https://fr.ftp.opendatasoft.com/datadila/INFOFI/MKW/2022/02/FCMKW112582_20220203.pdf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Provides Preliminary Second Quarter 2024 Results and Full 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https://fr.ftp.opendatasoft.com/datadila/INFOFI/MKW/2024/07/FCMKW110637_20240709.pdf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Doubling EPS by 2029, 3D UNIV+RSES creating new growth opportunities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https://fr.ftp.opendatasoft.com/datadila/INFOFI/MKW/2025/06/FCMKW111166_20250606.pdf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DSY.PA, ^FCHI, ^STOXX y EXV3.DE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https://finance.yahoo.com/quote/DSY.PA/history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2T26 y objetivos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https://live.euronext.com/en/listview/company-press-release/064315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https://live.euronext.com/en/ajax/node/company-press-release/12897257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https://live.euronext.com/en/ajax/node/company-press-release/12914301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alemana a 10 años (curva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interés a largo plazo de convergencia,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zona del euro,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(comptes consolidés, notes 19, 20, 22 y 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https://investor.3ds.com/regulated-information/periodic-information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Stock Forecast &amp; Price Targets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https://www.marketscreener.com/quote/stock/SYNOPSYS-INC-4908/finances/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https://www.marketscreener.com/quote/stock/CADENCE-DESIGN-SYSTEMS-IN-8724/finances/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(PTC)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https://stockanalysis.com/stocks/ptc/statistics/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(ADSK)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(SNPS)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https://stockanalysis.com/stocks/snps/statistics/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https://stockanalysis.com/stocks/cdns/statistics/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(BSY)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(ETR:SIE)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(ETR:NEM)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https://stockanalysis.com/quote/etr/NEM/statistics/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Signs Definitive Agreement with Siemens to be Acquired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https://www.sec.gov/Archives/edgar/data/1701732/000119312524247631/d859065dex991.htm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acquires Dotmatics to extend AI-powered software portfolio to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https://press.siemens.com/global/en/pressrelease/siemens-acquires-dotmatics-extend-ai-powered-software-portfolio-life-sciences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ingresos anuales (XBRL companyconcept, us-gaap:Revenues)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ingresos anuales (XBRL companyconcept)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https://data.sec.gov/api/xbrl/companyconcept/CIK0001701732/us-gaap/RevenueFromContractWithCustomerExcludingAssessedTax.json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Form 10-Q del trimestre cerrado el 30-jun-2026 (nota 2, adquisición del negocio D&amp;E de Hexagon)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https://www.sec.gov/Archives/edgar/data/0000813672/000081367226000092/cdns-20260630.htm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 escenarios</w:t>
      </w:r>
      <w:r>
        <w:t xml:space="preserve"> · Generado el 14 oct 2026.</w:t>
      </w:r>
    </w:p>
    <w:p>
      <w:pPr>
        <w:pStyle w:val="Nota"/>
        <w:spacing w:after="100"/>
      </w:pPr>
      <w:r>
        <w:t xml:space="preserve">Línea cotizada: Euronext Paris (DSY), la única. Precio de cierre del 6-oct-2026: al empezar el análisis (17:21 del 7-oct) la sesión del día de corte no había cerrado. Cifras NIIF reportadas en millones de EUR; la empresa comunica y guía en non-IFRS, y la conciliación se da en «Ajustes». Las acciones (1.325,3 M) son las diluidas medias del 2T26, ya sin autocartera, y casan con el balance del puente (30-jun-2026); los arrendamientos y las pensiones del puente son de 31-dic-2025 porque el balance resumido del 2T26 no los desglosa y el informe semestral no se pudo descargar (investor.3ds.com no respondía). La compra de ArisGlobal (firmada el 23-jul-2026, sin cerrar a la fecha de corte) queda fuera de la proyección y del puente. Los competidores y comparables de EE. UU. se convierten al tipo del BCE (cierre de su ejercicio para las cuentas; 7-oct-2026 para los datos de mercado). Fondo de comercio, arrendamientos y reservas de 2021-2023 no se publican por separado en los comunicados: se dan agregados con los intangibles.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Dassault Systèmes SE (DSY)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Industrial Innovation (software)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2417.9</c:v>
                </c:pt>
                <c:pt idx="1">
                  <c:v>2719.1</c:v>
                </c:pt>
                <c:pt idx="2">
                  <c:v>2908</c:v>
                </c:pt>
                <c:pt idx="3">
                  <c:v>3019.6</c:v>
                </c:pt>
                <c:pt idx="4">
                  <c:v>3134.5</c:v>
                </c:pt>
              </c:numCache>
            </c:numRef>
          </c:val>
        </c:ser>
        <c:ser>
          <c:idx val="1"/>
          <c:order val="1"/>
          <c:tx>
            <c:strRef>
              <c:f>Hoja1!$C$1</c:f>
              <c:strCache>
                <c:ptCount val="1"/>
                <c:pt idx="0">
                  <c:v>Life Sciences (software)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898.8</c:v>
                </c:pt>
                <c:pt idx="1">
                  <c:v>1126.2</c:v>
                </c:pt>
                <c:pt idx="2">
                  <c:v>1158.9</c:v>
                </c:pt>
                <c:pt idx="3">
                  <c:v>1144.2</c:v>
                </c:pt>
                <c:pt idx="4">
                  <c:v>1081.1</c:v>
                </c:pt>
              </c:numCache>
            </c:numRef>
          </c:val>
        </c:ser>
        <c:ser>
          <c:idx val="2"/>
          <c:order val="2"/>
          <c:tx>
            <c:strRef>
              <c:f>Hoja1!$D$1</c:f>
              <c:strCache>
                <c:ptCount val="1"/>
                <c:pt idx="0">
                  <c:v>Mainstream Innovation (software)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1085.9</c:v>
                </c:pt>
                <c:pt idx="1">
                  <c:v>1268.8</c:v>
                </c:pt>
                <c:pt idx="2">
                  <c:v>1293.2</c:v>
                </c:pt>
                <c:pt idx="3">
                  <c:v>1449.4</c:v>
                </c:pt>
                <c:pt idx="4">
                  <c:v>1425.5</c:v>
                </c:pt>
              </c:numCache>
            </c:numRef>
          </c:val>
        </c:ser>
        <c:ser>
          <c:idx val="3"/>
          <c:order val="3"/>
          <c:tx>
            <c:strRef>
              <c:f>Hoja1!$E$1</c:f>
              <c:strCache>
                <c:ptCount val="1"/>
                <c:pt idx="0">
                  <c:v>Servicios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457.5</c:v>
                </c:pt>
                <c:pt idx="1">
                  <c:v>551.2</c:v>
                </c:pt>
                <c:pt idx="2">
                  <c:v>591.4</c:v>
                </c:pt>
                <c:pt idx="3">
                  <c:v>600.3</c:v>
                </c:pt>
                <c:pt idx="4">
                  <c:v>594.7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Industrial Innovation (software)</c:v>
                </c:pt>
                <c:pt idx="1">
                  <c:v>Life Sciences (software)</c:v>
                </c:pt>
                <c:pt idx="2">
                  <c:v>Mainstream Innovation (software)</c:v>
                </c:pt>
                <c:pt idx="3">
                  <c:v>Servicios</c:v>
                </c:pt>
              </c:strCache>
            </c:strRef>
          </c:cat>
          <c:val>
            <c:numRef>
              <c:f>Hoja1!$B$2:$B$5</c:f>
              <c:numCache>
                <c:formatCode>General</c:formatCode>
                <c:ptCount val="4"/>
                <c:pt idx="0">
                  <c:v>50.3</c:v>
                </c:pt>
                <c:pt idx="1">
                  <c:v>17.3</c:v>
                </c:pt>
                <c:pt idx="2">
                  <c:v>22.9</c:v>
                </c:pt>
                <c:pt idx="3">
                  <c:v>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 (EMEA)</c:v>
                </c:pt>
                <c:pt idx="2">
                  <c:v>Asia-Pacífico</c:v>
                </c:pt>
              </c:strCache>
            </c:strRef>
          </c:cat>
          <c:val>
            <c:numRef>
              <c:f>Hoja1!$B$2:$B$4</c:f>
              <c:numCache>
                <c:formatCode>0"%"</c:formatCode>
                <c:ptCount val="3"/>
                <c:pt idx="0">
                  <c:v>39.4</c:v>
                </c:pt>
                <c:pt idx="1">
                  <c:v>38.4</c:v>
                </c:pt>
                <c:pt idx="2">
                  <c:v>22.2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(CIMdata, PLM amplio; 2023 deducido del crecimiento de 2024; 2029e, previsión de CIMdata))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2029e</c:v>
                </c:pt>
              </c:strCache>
            </c:strRef>
          </c:cat>
          <c:val>
            <c:numRef>
              <c:f>Hoja1!$B$2:$B$5</c:f>
              <c:numCache>
                <c:formatCode>#,##0</c:formatCode>
                <c:ptCount val="4"/>
                <c:pt idx="0">
                  <c:v>72538</c:v>
                </c:pt>
                <c:pt idx="1">
                  <c:v>80300</c:v>
                </c:pt>
                <c:pt idx="2">
                  <c:v>88300</c:v>
                </c:pt>
                <c:pt idx="3">
                  <c:v>126700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Dassault Systèmes</c:v>
                </c:pt>
                <c:pt idx="1">
                  <c:v>Siemens Digital Industries (incluye Siemens Digital Industries Software)</c:v>
                </c:pt>
                <c:pt idx="2">
                  <c:v>Autodesk</c:v>
                </c:pt>
                <c:pt idx="3">
                  <c:v>Synopsys (con Ansys desde julio de 2025)</c:v>
                </c:pt>
                <c:pt idx="4">
                  <c:v>PTC</c:v>
                </c:pt>
                <c:pt idx="5">
                  <c:v>Hexagon Manufacturing Intelligence</c:v>
                </c:pt>
                <c:pt idx="6">
                  <c:v>Bentley Systems</c:v>
                </c:pt>
                <c:pt idx="7">
                  <c:v>Veeva Systems</c:v>
                </c:pt>
              </c:strCache>
            </c:strRef>
          </c:cat>
          <c:val>
            <c:numRef>
              <c:f>Hoja1!$B$2:$B$9</c:f>
              <c:numCache>
                <c:formatCode>0.0"%"</c:formatCode>
                <c:ptCount val="8"/>
                <c:pt idx="0">
                  <c:v>21.7</c:v>
                </c:pt>
                <c:pt idx="1">
                  <c:v>14.9</c:v>
                </c:pt>
                <c:pt idx="2">
                  <c:v>21.9</c:v>
                </c:pt>
                <c:pt idx="3">
                  <c:v>13</c:v>
                </c:pt>
                <c:pt idx="4">
                  <c:v>35.9</c:v>
                </c:pt>
                <c:pt idx="5">
                  <c:v>25.7</c:v>
                </c:pt>
                <c:pt idx="6">
                  <c:v>24.1</c:v>
                </c:pt>
                <c:pt idx="7">
                  <c:v>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4860.1</c:v>
                </c:pt>
                <c:pt idx="1">
                  <c:v>5665.3</c:v>
                </c:pt>
                <c:pt idx="2">
                  <c:v>5951.4</c:v>
                </c:pt>
                <c:pt idx="3">
                  <c:v>6213.6</c:v>
                </c:pt>
                <c:pt idx="4">
                  <c:v>6235.8</c:v>
                </c:pt>
                <c:pt idx="5">
                  <c:v>6367</c:v>
                </c:pt>
                <c:pt idx="6">
                  <c:v>6685</c:v>
                </c:pt>
                <c:pt idx="7">
                  <c:v>7053</c:v>
                </c:pt>
                <c:pt idx="8">
                  <c:v>7441</c:v>
                </c:pt>
                <c:pt idx="9">
                  <c:v>7813</c:v>
                </c:pt>
                <c:pt idx="10">
                  <c:v>8164</c:v>
                </c:pt>
                <c:pt idx="11">
                  <c:v>8491</c:v>
                </c:pt>
                <c:pt idx="12">
                  <c:v>8788</c:v>
                </c:pt>
                <c:pt idx="13">
                  <c:v>9052</c:v>
                </c:pt>
                <c:pt idx="14">
                  <c:v>9323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1579.9</c:v>
                </c:pt>
                <c:pt idx="1">
                  <c:v>1899.7</c:v>
                </c:pt>
                <c:pt idx="2">
                  <c:v>1811.4</c:v>
                </c:pt>
                <c:pt idx="3">
                  <c:v>1920.6</c:v>
                </c:pt>
                <c:pt idx="4">
                  <c:v>1895</c:v>
                </c:pt>
                <c:pt idx="5">
                  <c:v>2126</c:v>
                </c:pt>
                <c:pt idx="6">
                  <c:v>2206</c:v>
                </c:pt>
                <c:pt idx="7">
                  <c:v>2363</c:v>
                </c:pt>
                <c:pt idx="8">
                  <c:v>2522</c:v>
                </c:pt>
                <c:pt idx="9">
                  <c:v>2680</c:v>
                </c:pt>
                <c:pt idx="10">
                  <c:v>2825</c:v>
                </c:pt>
                <c:pt idx="11">
                  <c:v>2938</c:v>
                </c:pt>
                <c:pt idx="12">
                  <c:v>3041</c:v>
                </c:pt>
                <c:pt idx="13">
                  <c:v>3132</c:v>
                </c:pt>
                <c:pt idx="14">
                  <c:v>3226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83.7</c:v>
                </c:pt>
                <c:pt idx="1">
                  <c:v>83.8</c:v>
                </c:pt>
                <c:pt idx="2">
                  <c:v>83.7</c:v>
                </c:pt>
                <c:pt idx="3">
                  <c:v>83.6</c:v>
                </c:pt>
                <c:pt idx="4">
                  <c:v>83.7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32.5</c:v>
                </c:pt>
                <c:pt idx="1">
                  <c:v>33.5</c:v>
                </c:pt>
                <c:pt idx="2">
                  <c:v>30.4</c:v>
                </c:pt>
                <c:pt idx="3">
                  <c:v>30.9</c:v>
                </c:pt>
                <c:pt idx="4">
                  <c:v>30.4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c:v>
                </c:pt>
                <c:pt idx="1">
                  <c:v>23</c:v>
                </c:pt>
                <c:pt idx="2">
                  <c:v>20.9</c:v>
                </c:pt>
                <c:pt idx="3">
                  <c:v>21.9</c:v>
                </c:pt>
                <c:pt idx="4">
                  <c:v>21.7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15.9</c:v>
                </c:pt>
                <c:pt idx="1">
                  <c:v>16.4</c:v>
                </c:pt>
                <c:pt idx="2">
                  <c:v>17.7</c:v>
                </c:pt>
                <c:pt idx="3">
                  <c:v>19.3</c:v>
                </c:pt>
                <c:pt idx="4">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2.8</c:v>
                </c:pt>
                <c:pt idx="1">
                  <c:v>6.7</c:v>
                </c:pt>
                <c:pt idx="2">
                  <c:v>4.9</c:v>
                </c:pt>
                <c:pt idx="3">
                  <c:v>1.7</c:v>
                </c:pt>
                <c:pt idx="4">
                  <c:v>-0.3</c:v>
                </c:pt>
                <c:pt idx="5">
                  <c:v>-4.2</c:v>
                </c:pt>
                <c:pt idx="6">
                  <c:v>-4.1</c:v>
                </c:pt>
                <c:pt idx="7">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103</c:v>
                </c:pt>
                <c:pt idx="1">
                  <c:v>107</c:v>
                </c:pt>
                <c:pt idx="2">
                  <c:v>105</c:v>
                </c:pt>
                <c:pt idx="3">
                  <c:v>125</c:v>
                </c:pt>
                <c:pt idx="4">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89</c:v>
                </c:pt>
                <c:pt idx="1">
                  <c:v>86</c:v>
                </c:pt>
                <c:pt idx="2">
                  <c:v>87</c:v>
                </c:pt>
                <c:pt idx="3">
                  <c:v>93</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1411.8</c:v>
                </c:pt>
                <c:pt idx="1">
                  <c:v>1290.9</c:v>
                </c:pt>
                <c:pt idx="2">
                  <c:v>1330.5</c:v>
                </c:pt>
                <c:pt idx="3">
                  <c:v>1386.6999999999998</c:v>
                </c:pt>
                <c:pt idx="4">
                  <c:v>1379.6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773.7</c:v>
                </c:pt>
                <c:pt idx="1">
                  <c:v>931.5</c:v>
                </c:pt>
                <c:pt idx="2">
                  <c:v>1050.9</c:v>
                </c:pt>
                <c:pt idx="3">
                  <c:v>1200.2</c:v>
                </c:pt>
                <c:pt idx="4">
                  <c:v>1196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11.1</c:v>
                </c:pt>
                <c:pt idx="1">
                  <c:v>12.7</c:v>
                </c:pt>
                <c:pt idx="2">
                  <c:v>13.5</c:v>
                </c:pt>
                <c:pt idx="3">
                  <c:v>14.3</c:v>
                </c:pt>
                <c:pt idx="4">
                  <c:v>13.8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12.5</c:v>
                </c:pt>
                <c:pt idx="1">
                  <c:v>13.8</c:v>
                </c:pt>
                <c:pt idx="2">
                  <c:v>13.9</c:v>
                </c:pt>
                <c:pt idx="3">
                  <c:v>14.2</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0.56</c:v>
                </c:pt>
                <c:pt idx="1">
                  <c:v>0.12</c:v>
                </c:pt>
                <c:pt idx="2">
                  <c:v>-0.32</c:v>
                </c:pt>
                <c:pt idx="3">
                  <c:v>-0.46</c:v>
                </c:pt>
                <c:pt idx="4">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2029</c:v>
                </c:pt>
              </c:strCache>
            </c:strRef>
          </c:cat>
          <c:val>
            <c:numRef>
              <c:f>Hoja1!$B$2:$B$3</c:f>
              <c:numCache>
                <c:formatCode>#,##0</c:formatCode>
                <c:ptCount val="2"/>
                <c:pt idx="0">
                  <c:v>1449.4</c:v>
                </c:pt>
                <c:pt idx="1">
                  <c:v>1145.8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21.5</c:v>
                </c:pt>
                <c:pt idx="1">
                  <c:v>48.2</c:v>
                </c:pt>
                <c:pt idx="2">
                  <c:v>17</c:v>
                </c:pt>
                <c:pt idx="3">
                  <c:v>25.8</c:v>
                </c:pt>
                <c:pt idx="4">
                  <c:v>457.3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147.1</c:v>
                </c:pt>
                <c:pt idx="1">
                  <c:v>223.5</c:v>
                </c:pt>
                <c:pt idx="2">
                  <c:v>276.2</c:v>
                </c:pt>
                <c:pt idx="3">
                  <c:v>302.7</c:v>
                </c:pt>
                <c:pt idx="4">
                  <c:v>342.6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283.2</c:v>
                </c:pt>
                <c:pt idx="1">
                  <c:v>639.6</c:v>
                </c:pt>
                <c:pt idx="2">
                  <c:v>375.4</c:v>
                </c:pt>
                <c:pt idx="3">
                  <c:v>374</c:v>
                </c:pt>
                <c:pt idx="4">
                  <c:v>340.3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1</c:v>
                </c:pt>
                <c:pt idx="1">
                  <c:v>5</c:v>
                </c:pt>
                <c:pt idx="2">
                  <c:v>6</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Groupe Industriel Marcel Dassault (GIMD, familia Dassault)</c:v>
                </c:pt>
                <c:pt idx="1">
                  <c:v>Charles Edelstenne (fundador) y sociedades familiares</c:v>
                </c:pt>
                <c:pt idx="2">
                  <c:v>Bernard Charlès (cofundador) y familia</c:v>
                </c:pt>
                <c:pt idx="3">
                  <c:v>Pascal Daloz</c:v>
                </c:pt>
                <c:pt idx="4">
                  <c:v>Autocartera y autocontrol (SW Securities LLC)</c:v>
                </c:pt>
                <c:pt idx="5">
                  <c:v>Capital flotante (público)</c:v>
                </c:pt>
                <c:pt idx="6">
                  <c:v>First Eagle Investment Management</c:v>
                </c:pt>
                <c:pt idx="7">
                  <c:v>BlackRock, Inc.</c:v>
                </c:pt>
              </c:strCache>
            </c:strRef>
          </c:cat>
          <c:val>
            <c:numRef>
              <c:f>Hoja1!$B$2:$B$9</c:f>
              <c:numCache>
                <c:formatCode>0.0"%"</c:formatCode>
                <c:ptCount val="8"/>
                <c:pt idx="0">
                  <c:v>39.91</c:v>
                </c:pt>
                <c:pt idx="1">
                  <c:v>6.01</c:v>
                </c:pt>
                <c:pt idx="2">
                  <c:v>2.81</c:v>
                </c:pt>
                <c:pt idx="3">
                  <c:v>0.31</c:v>
                </c:pt>
                <c:pt idx="4">
                  <c:v>1.58</c:v>
                </c:pt>
                <c:pt idx="5">
                  <c:v>49.38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22.4</c:v>
                </c:pt>
                <c:pt idx="2">
                  <c:v>17.1</c:v>
                </c:pt>
                <c:pt idx="3">
                  <c:v>41.3</c:v>
                </c:pt>
                <c:pt idx="4">
                  <c:v>13.4</c:v>
                </c:pt>
                <c:pt idx="5">
                  <c:v>57.4</c:v>
                </c:pt>
                <c:pt idx="6">
                  <c:v>-36</c:v>
                </c:pt>
                <c:pt idx="7">
                  <c:v>32.1</c:v>
                </c:pt>
                <c:pt idx="8">
                  <c:v>-24.3</c:v>
                </c:pt>
                <c:pt idx="9">
                  <c:v>-28.8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44.7</c:v>
                </c:pt>
                <c:pt idx="6">
                  <c:v>23.6</c:v>
                </c:pt>
                <c:pt idx="7">
                  <c:v>32.3</c:v>
                </c:pt>
                <c:pt idx="8">
                  <c:v>22.8</c:v>
                </c:pt>
                <c:pt idx="9">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23.6</c:v>
                </c:pt>
                <c:pt idx="1">
                  <c:v>23.6</c:v>
                </c:pt>
                <c:pt idx="2">
                  <c:v>23.6</c:v>
                </c:pt>
                <c:pt idx="3">
                  <c:v>23.6</c:v>
                </c:pt>
                <c:pt idx="4">
                  <c:v>23.6</c:v>
                </c:pt>
                <c:pt idx="5">
                  <c:v>23.6</c:v>
                </c:pt>
                <c:pt idx="6">
                  <c:v>23.6</c:v>
                </c:pt>
                <c:pt idx="7">
                  <c:v>23.6</c:v>
                </c:pt>
                <c:pt idx="8">
                  <c:v>23.6</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Dassault Systèmes</c:v>
                </c:pt>
                <c:pt idx="1">
                  <c:v>PTC</c:v>
                </c:pt>
                <c:pt idx="2">
                  <c:v>Autodesk</c:v>
                </c:pt>
                <c:pt idx="3">
                  <c:v>Synopsys</c:v>
                </c:pt>
                <c:pt idx="4">
                  <c:v>Cadence Design Systems</c:v>
                </c:pt>
                <c:pt idx="5">
                  <c:v>Bentley Systems</c:v>
                </c:pt>
                <c:pt idx="6">
                  <c:v>Veeva Systems</c:v>
                </c:pt>
                <c:pt idx="7">
                  <c:v>Siemens (no puro: Digital Industries es una parte)</c:v>
                </c:pt>
                <c:pt idx="8">
                  <c:v>Nemetschek</c:v>
                </c:pt>
              </c:strCache>
            </c:strRef>
          </c:cat>
          <c:val>
            <c:numRef>
              <c:f>Hoja1!$B$2:$B$10</c:f>
              <c:numCache>
                <c:formatCode>0.0"x"</c:formatCode>
                <c:ptCount val="9"/>
                <c:pt idx="0">
                  <c:v>11.9</c:v>
                </c:pt>
                <c:pt idx="1">
                  <c:v>15.5</c:v>
                </c:pt>
                <c:pt idx="2">
                  <c:v>12.8</c:v>
                </c:pt>
                <c:pt idx="3">
                  <c:v>22.7</c:v>
                </c:pt>
                <c:pt idx="4">
                  <c:v>29.3</c:v>
                </c:pt>
                <c:pt idx="5">
                  <c:v>17.6</c:v>
                </c:pt>
                <c:pt idx="6">
                  <c:v>21.3</c:v>
                </c:pt>
                <c:pt idx="7">
                  <c:v>15.1</c:v>
                </c:pt>
                <c:pt idx="8">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Dassault Systèmes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11.9</c:v>
                </c:pt>
              </c:numCache>
            </c:numRef>
          </c:yVal>
          <c:smooth val="0"/>
        </c:ser>
        <c:ser>
          <c:idx val="1"/>
          <c:order val="1"/>
          <c:tx>
            <c:strRef>
              <c:f>Hoja1!$A$3</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15.5</c:v>
                </c:pt>
              </c:numCache>
            </c:numRef>
          </c:yVal>
          <c:smooth val="0"/>
        </c:ser>
        <c:ser>
          <c:idx val="2"/>
          <c:order val="2"/>
          <c:tx>
            <c:strRef>
              <c:f>Hoja1!$A$4</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12.5</c:v>
                </c:pt>
              </c:numCache>
            </c:numRef>
          </c:xVal>
          <c:yVal>
            <c:numRef>
              <c:f>Hoja1!$C$4</c:f>
              <c:numCache>
                <c:formatCode>0.0"x"</c:formatCode>
                <c:ptCount val="1"/>
                <c:pt idx="0">
                  <c:v>12.8</c:v>
                </c:pt>
              </c:numCache>
            </c:numRef>
          </c:yVal>
          <c:smooth val="0"/>
        </c:ser>
        <c:ser>
          <c:idx val="3"/>
          <c:order val="3"/>
          <c:tx>
            <c:strRef>
              <c:f>Hoja1!$A$5</c:f>
              <c:strCache>
                <c:ptCount val="1"/>
                <c:pt idx="0">
                  <c:v>Synopsys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22.7</c:v>
                </c:pt>
              </c:numCache>
            </c:numRef>
          </c:yVal>
          <c:smooth val="0"/>
        </c:ser>
        <c:ser>
          <c:idx val="4"/>
          <c:order val="4"/>
          <c:tx>
            <c:strRef>
              <c:f>Hoja1!$A$6</c:f>
              <c:strCache>
                <c:ptCount val="1"/>
                <c:pt idx="0">
                  <c:v>Cadence Design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15.3</c:v>
                </c:pt>
              </c:numCache>
            </c:numRef>
          </c:xVal>
          <c:yVal>
            <c:numRef>
              <c:f>Hoja1!$C$6</c:f>
              <c:numCache>
                <c:formatCode>0.0"x"</c:formatCode>
                <c:ptCount val="1"/>
                <c:pt idx="0">
                  <c:v>29.3</c:v>
                </c:pt>
              </c:numCache>
            </c:numRef>
          </c:yVal>
          <c:smooth val="0"/>
        </c:ser>
        <c:ser>
          <c:idx val="5"/>
          <c:order val="5"/>
          <c:tx>
            <c:strRef>
              <c:f>Hoja1!$A$7</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11.2</c:v>
                </c:pt>
              </c:numCache>
            </c:numRef>
          </c:xVal>
          <c:yVal>
            <c:numRef>
              <c:f>Hoja1!$C$7</c:f>
              <c:numCache>
                <c:formatCode>0.0"x"</c:formatCode>
                <c:ptCount val="1"/>
                <c:pt idx="0">
                  <c:v>17.6</c:v>
                </c:pt>
              </c:numCache>
            </c:numRef>
          </c:yVal>
          <c:smooth val="0"/>
        </c:ser>
        <c:ser>
          <c:idx val="6"/>
          <c:order val="6"/>
          <c:tx>
            <c:strRef>
              <c:f>Hoja1!$A$8</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13.2</c:v>
                </c:pt>
              </c:numCache>
            </c:numRef>
          </c:xVal>
          <c:yVal>
            <c:numRef>
              <c:f>Hoja1!$C$8</c:f>
              <c:numCache>
                <c:formatCode>0.0"x"</c:formatCode>
                <c:ptCount val="1"/>
                <c:pt idx="0">
                  <c:v>21.3</c:v>
                </c:pt>
              </c:numCache>
            </c:numRef>
          </c:yVal>
          <c:smooth val="0"/>
        </c:ser>
        <c:ser>
          <c:idx val="7"/>
          <c:order val="7"/>
          <c:tx>
            <c:strRef>
              <c:f>Hoja1!$A$9</c:f>
              <c:strCache>
                <c:ptCount val="1"/>
                <c:pt idx="0">
                  <c:v>Siemens (no puro: Digital Industries es una parte)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7.8</c:v>
                </c:pt>
              </c:numCache>
            </c:numRef>
          </c:xVal>
          <c:yVal>
            <c:numRef>
              <c:f>Hoja1!$C$9</c:f>
              <c:numCache>
                <c:formatCode>0.0"x"</c:formatCode>
                <c:ptCount val="1"/>
                <c:pt idx="0">
                  <c:v>15.1</c:v>
                </c:pt>
              </c:numCache>
            </c:numRef>
          </c:yVal>
          <c:smooth val="0"/>
        </c:ser>
        <c:ser>
          <c:idx val="8"/>
          <c:order val="8"/>
          <c:tx>
            <c:strRef>
              <c:f>Hoja1!$A$10</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20</c:v>
                </c:pt>
              </c:numCache>
            </c:numRef>
          </c:xVal>
          <c:yVal>
            <c:numRef>
              <c:f>Hoja1!$C$10</c:f>
              <c:numCache>
                <c:formatCode>0.0"x"</c:formatCode>
                <c:ptCount val="1"/>
                <c:pt idx="0">
                  <c:v>14.4</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1474</c:v>
                </c:pt>
                <c:pt idx="1">
                  <c:v>1502</c:v>
                </c:pt>
                <c:pt idx="2">
                  <c:v>1611</c:v>
                </c:pt>
                <c:pt idx="3">
                  <c:v>1723</c:v>
                </c:pt>
                <c:pt idx="4">
                  <c:v>1836</c:v>
                </c:pt>
                <c:pt idx="5">
                  <c:v>1940</c:v>
                </c:pt>
                <c:pt idx="6">
                  <c:v>2021</c:v>
                </c:pt>
                <c:pt idx="7">
                  <c:v>2094</c:v>
                </c:pt>
                <c:pt idx="8">
                  <c:v>2160</c:v>
                </c:pt>
                <c:pt idx="9">
                  <c:v>2224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12093</c:v>
                </c:pt>
                <c:pt idx="1">
                  <c:v>19667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17.4</c:v>
                </c:pt>
                <c:pt idx="1">
                  <c:v>25.17</c:v>
                </c:pt>
                <c:pt idx="2">
                  <c:v>29.92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