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Deckers Outdoor Corporation</w:t>
      </w:r>
    </w:p>
    <w:p>
      <w:pPr>
        <w:spacing w:after="60"/>
        <w:rPr>
          <w:color w:val="52514E"/>
          <w:sz w:val="22"/>
          <w:szCs w:val="22"/>
        </w:rPr>
      </w:pPr>
      <w:r>
        <w:rPr>
          <w:color w:val="52514E"/>
          <w:sz w:val="22"/>
          <w:szCs w:val="22"/>
        </w:rPr>
        <w:t xml:space="preserve">DECK · New York Stock Exchange · ISIN US2435371073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82,89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95,31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+15,0 % (base +16,0 %)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108,87 USD · mercado 124,61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Alta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11.332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Deckers Outdoor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DECK / US2435371073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Textiles, Apparel &amp; Luxury Goods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Goleta, California (250 Coromar Drive) · 1973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https://www.deckers.com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82,89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77,20 – 122,29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11.332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249 M USD/día (2,83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Alta · Objetivo a 12 meses </w:t>
      </w:r>
      <w:r>
        <w:rPr>
          <w:b/>
          <w:bCs/>
        </w:rPr>
        <w:t xml:space="preserve">95,31 USD</w:t>
      </w:r>
      <w:r>
        <w:t xml:space="preserve"> frente a 82,89 · Rentabilidad a 12 meses </w:t>
      </w:r>
      <w:r>
        <w:rPr>
          <w:b/>
          <w:bCs/>
        </w:rPr>
        <w:t xml:space="preserve">+15,0 % (base +16,0 %)</w:t>
      </w:r>
      <w:r>
        <w:t xml:space="preserve"> · Valor intrínseco 108,87 USD · con la prima implícita del mercado: 124,61 (+50,3 %) · Alcista / bajista +53,0 % / -18,5 %</w:t>
      </w:r>
    </w:p>
    <w:p>
      <w:pPr>
        <w:spacing w:after="100"/>
      </w:pPr>
      <w:r>
        <w:rPr>
          <w:b/>
        </w:rPr>
        <w:t xml:space="preserve">La recomendación y por qué.</w:t>
      </w:r>
      <w:r>
        <w:t xml:space="preserve"> Comprar, con convicción alta. El valor objetivo es de 108,87 USD, un 31,3 % por encima del precio de 82,89 USD; sin dividendo, esa es la rentabilidad total esperada a 12 meses. La asimetría es de 2,86 veces (+53,0 % en el alcista frente a −18,5 % en el bajista) y las dos reglas dan Comprar; con la prima de riesgo que hoy pide el mercado, el objetivo sube a 124,61 USD (+50,3 %). La razón: el precio descuenta ventas planas para siempre, y la guía de este año da un 7-8 %. La convicción es la que sugieren los criterios: el bajista pierde menos de un 25 % y el precio pide 5,6 puntos menos de crecimiento que nuestro caso base. Bajaría a media si HOKA crece menos de un 5 % en el 2T27 (resultados hacia el 22 de octubre).</w:t>
      </w:r>
    </w:p>
    <w:p>
      <w:pPr>
        <w:spacing w:after="100"/>
      </w:pPr>
      <w:r>
        <w:rPr>
          <w:b/>
        </w:rPr>
        <w:t xml:space="preserve">El negocio.</w:t>
      </w:r>
      <w:r>
        <w:t xml:space="preserve"> Dos marcas premium con un 97 % de las ventas: UGG (2.739 M, margen de segmento del 38,2 %) y HOKA (2.587 M, 35,2 %) [1]. El margen bruto (57,7 %) supera en 15 puntos al de Nike, el operativo es del 23,1 % y el ROIC del 160,3 %, porque Deckers no fabrica ni tiene deuda [1, 25]. Su calidad sí sostiene el crecimiento que proyectamos: el 5,5 % anual no pide capital y es menos de la mitad del 13,2 % de FY2017-FY2026, logrado sin compras y con precios al alza. El riesgo es la moda: HOKA ha pasado del +15,9 % al +7,7 % en el 1T27, con On y Asics al 20-30 % [4, 27, 32].</w:t>
      </w:r>
    </w:p>
    <w:p>
      <w:pPr>
        <w:spacing w:after="100"/>
      </w:pPr>
      <w:r>
        <w:rPr>
          <w:b/>
        </w:rPr>
        <w:t xml:space="preserve">Finanzas.</w:t>
      </w:r>
      <w:r>
        <w:t xml:space="preserve"> Caja neta de 1.570 M (11,5 USD por acción), flujo libre de 1.097 M en FY2026 (9,9 % de la capitalización) y recompras de 1.080 M ese año; las acciones han bajado un 15,3 % desde FY2020 [1]. Cuentas limpias (Beneish M de −2,64). Unos 120 M de aranceles IEEPA pagados, cuya devolución se reclama, no están en la guía ni en nuestro valor [2].</w:t>
      </w:r>
    </w:p>
    <w:p>
      <w:pPr>
        <w:spacing w:after="100"/>
      </w:pPr>
      <w:r>
        <w:rPr>
          <w:b/>
        </w:rPr>
        <w:t xml:space="preserve">Equipo y gobierno.</w:t>
      </w:r>
      <w:r>
        <w:t xml:space="preserve"> No resta: 9 consejeros independientes de 10, una acción un voto, sin accionista de control y la guía anual batida en FY2022-FY2026 [5, 7, 17, 18, 21, 57, 58, 59]. La sombra: recompras de FY2025-FY2026 a 149 y 102 USD, por encima del precio actual [1].</w:t>
      </w:r>
    </w:p>
    <w:p>
      <w:pPr>
        <w:spacing w:after="100"/>
      </w:pPr>
      <w:r>
        <w:rPr>
          <w:b/>
        </w:rPr>
        <w:t xml:space="preserve">Valoración.</w:t>
      </w:r>
      <w:r>
        <w:t xml:space="preserve"> El DCF da 109,57 USD (+32,2 %). El DCF inverso dice que el precio supone unas ventas planas (−0,1 % anual) hasta FY2034e, frente al 5,5 % de nuestro caso base y al 5,2 % previsto para el mercado, o un margen EBITDA del 17,4 % en vez del 23,0 %: comprar hoy rinde un 14,2 % anual con nuestro caso base, frente a un WACC del 11,1 %. Cotiza a 6,9 veces el EBITDA de los próximos 12 meses y 10,4 veces el beneficio (medianas de los comparables: 8,6 y 16,1), en mínimos de diez años. Nuestras cifras coinciden con el consenso (+0 % en ventas de FY2027e, −1 % en FY2029e) y con su precio objetivo medio (120,41 USD) [60]: no discrepamos de los analistas, sino del precio.</w:t>
      </w:r>
    </w:p>
    <w:p>
      <w:pPr>
        <w:spacing w:after="100"/>
      </w:pPr>
      <w:r>
        <w:rPr>
          <w:b/>
        </w:rPr>
        <w:t xml:space="preserve">Riesgos y catalizadores.</w:t>
      </w:r>
      <w:r>
        <w:t xml:space="preserve"> El mayor riesgo es que HOKA pierda el favor del corredor y UGG gire su ciclo a la vez: bajista de 67,53 USD. Cada punto de margen que quiten los aranceles resta unos 5 USD por acción. Los foros, divididos, comparten el miedo a HOKA [92, 95]. Catalizadores: resultados del 2T27 hacia el 22 de octubre, la Navidad de UGG (finales de enero) y la guía de FY2028 en mayo de 2027.</w:t>
      </w:r>
    </w:p>
    <w:p>
      <w:pPr>
        <w:spacing w:after="100"/>
      </w:pPr>
      <w:r>
        <w:rPr>
          <w:b/>
        </w:rPr>
        <w:t xml:space="preserve">Qué cambiaría la decisión.</w:t>
      </w:r>
      <w:r>
        <w:t xml:space="preserve"> Comprar por debajo de 103,64 USD y vender por encima de 126,72. Pasaríamos a Mantener si HOKA crece menos de un 5 % dos trimestres seguidos o si la guía de FY2028 baja de un dígito alto, y si el margen operativo de FY2027 cae por debajo del 20 %.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Alta · Horizonte: 12 meses · Objetivo a 12 meses: </w:t>
      </w:r>
      <w:r>
        <w:rPr>
          <w:b/>
          <w:bCs/>
        </w:rPr>
        <w:t xml:space="preserve">95,31 USD</w:t>
      </w:r>
      <w:r>
        <w:t xml:space="preserve"> (rentabilidad +15,0 % (base +16,0 %)) · Valor intrínseco: 108,87 USD (+31,3 % sobre 82,89) · con la prima implícita del mercado: 124,61 (+50,3 %)</w:t>
      </w:r>
    </w:p>
    <w:p>
      <w:pPr>
        <w:spacing w:after="100"/>
      </w:pPr>
      <w:r>
        <w:t xml:space="preserve">Deckers es dueña de dos marcas de calzado premium, UGG y HOKA, que venden 5.472 M USD con un margen bruto del 57,7 % y uno operativo del 23,1 %, muy por encima de Nike y adidas (8,3 %) [1, 25, 30]. No fabrica, no tiene deuda y convierte en caja más del 100 % del beneficio: en diez años ha generado 5.173 M de flujo libre y ha recomprado el 15 % de sus acciones sin hacer una sola compra [1, 13]. HOKA pasó de 223 M a 2.587 M de ventas en siete años [1].</w:t>
      </w:r>
    </w:p>
    <w:p>
      <w:pPr>
        <w:spacing w:after="100"/>
      </w:pPr>
      <w:r>
        <w:t xml:space="preserve">El precio, 82,89 USD, descuenta que todo eso se acabó. A 6,9 veces el EBITDA de los próximos 12 meses y 10,4 veces el beneficio, en mínimos de diez años, el DCF inverso pide unas ventas planas hasta FY2034e o un margen EBITDA del 17,4 %, el de antes de HOKA. La caída del 49 % en 2025 y del 20 % en 2026 responde al frenazo de HOKA (+7,7 % en el 1T27), a los aranceles y a un EE. UU. que no crece [4, 65].</w:t>
      </w:r>
    </w:p>
    <w:p>
      <w:pPr>
        <w:spacing w:after="100"/>
      </w:pPr>
      <w:r>
        <w:t xml:space="preserve">El mercado acierta en que HOKA ya no crecerá al 20-30 %, y se equivoca al suponer que no crecerá nada: la guía da un 7-8 % este año, el exterior crece al 27 % y la empresa ha batido su guía cinco años seguidos [1, 5, 7, 17, 18, 57, 58, 59]. Para invertir hay que creer que las dos marcas mantienen su precio y crecen como su mercado, en torno al 5 %. Con eso, la acción rinde un 14,2 % anual y la caja neta (11,5 USD por acción) limita la pérdida.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6,03 = 54,87 · 11,3x × 8,51 = 96,16 · 15,3x × 9,38 = 143,51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120,41 (nuestro base -20,1 %)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 / -18,5 %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 frente a 11,1 %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 frente a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31,3 %, asimetría de 2,86, bajista del -18,5 % y el precio descuenta 5,6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82,88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82,88 y 105,90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105,90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HOKA crece menos de un 5 % en dos trimestres seguidos, pasaríamos a Mantener.</w:t>
      </w:r>
    </w:p>
    <w:p>
      <w:pPr>
        <w:pStyle w:val="ListParagraph"/>
        <w:numPr>
          <w:ilvl w:val="0"/>
          <w:numId w:val="2"/>
        </w:numPr>
        <w:spacing w:after="60"/>
      </w:pPr>
      <w:r>
        <w:t xml:space="preserve">Si el margen operativo de FY2027 queda por debajo del 20 % (guía: algo más del 21,5 %), revisaríamos el margen del DCF y pasaríamos a Mantener.</w:t>
      </w:r>
    </w:p>
    <w:p>
      <w:pPr>
        <w:pStyle w:val="ListParagraph"/>
        <w:numPr>
          <w:ilvl w:val="0"/>
          <w:numId w:val="2"/>
        </w:numPr>
        <w:spacing w:after="60"/>
      </w:pPr>
      <w:r>
        <w:t xml:space="preserve">Si la guía de FY2028 (mayo de 2027) baja de un crecimiento de un dígito alto, reduciríamos el caso base.</w:t>
      </w:r>
    </w:p>
    <w:p>
      <w:pPr>
        <w:pStyle w:val="ListParagraph"/>
        <w:numPr>
          <w:ilvl w:val="0"/>
          <w:numId w:val="2"/>
        </w:numPr>
        <w:spacing w:after="60"/>
      </w:pPr>
      <w:r>
        <w:t xml:space="preserve">Si la acción supera los 126,72 USD sin cambio en las previsiones, pasaríamos a Vender o reducir.</w:t>
      </w:r>
    </w:p>
    <w:p>
      <w:pPr>
        <w:pStyle w:val="ListParagraph"/>
        <w:numPr>
          <w:ilvl w:val="0"/>
          <w:numId w:val="2"/>
        </w:numPr>
        <w:spacing w:after="60"/>
      </w:pPr>
      <w:r>
        <w:t xml:space="preserve">Si la empresa usa deuda para recomprar por encima del valor objetivo,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Unas ventas planas desde FY2027e hasta FY2034e con nuestro margen, o un margen EBITDA del 17,4 % con nuestro crecimiento: Deckers como una marca de moda en declive, valorada a 6,9 veces el EBITDA de los próximos 12 meses, al nivel de Crocs y por debajo de su mínimo de diez años (8,6 veces).</w:t>
      </w:r>
    </w:p>
    <w:p>
      <w:pPr>
        <w:keepNext/>
        <w:spacing w:after="100"/>
      </w:pPr>
      <w:r>
        <w:rPr>
          <w:b/>
          <w:bCs/>
        </w:rPr>
        <w:t xml:space="preserve">Lo que creemos nosotros.</w:t>
      </w:r>
    </w:p>
    <w:p>
      <w:pPr>
        <w:spacing w:after="100"/>
      </w:pPr>
      <w:r>
        <w:t xml:space="preserve">Un crecimiento del 5,5 % anual que baja del 7,5 % de FY2027e (la guía) al 3,5 % de FY2034e, con un margen EBITDA del 23 %, en línea con el consenso y por debajo del marco de la empresa. Es una Deckers más lenta que la de FY2021-FY2025, pero no una que deje de crecer.</w:t>
      </w:r>
    </w:p>
    <w:p>
      <w:pPr>
        <w:keepNext/>
        <w:spacing w:after="100"/>
      </w:pPr>
      <w:r>
        <w:rPr>
          <w:b/>
          <w:bCs/>
        </w:rPr>
        <w:t xml:space="preserve">Por qué podemos tener razón.</w:t>
      </w:r>
    </w:p>
    <w:p>
      <w:pPr>
        <w:spacing w:after="100"/>
      </w:pPr>
      <w:r>
        <w:t xml:space="preserve">HOKA se ha frenado, pero sigue creciendo un 7,7 % con la venta directa al 13 % y el exterior al 27 % [1, 4]. El poder de precios está probado: el margen bruto solo cedió 20 puntos básicos con los aranceles [1]. Y la empresa ha batido su guía anual en FY2022-FY2026 [5, 7, 17, 18, 57, 58, 59]. El precio confunde una desaceleración con un final.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ventas planas</w:t>
      </w:r>
      <w:r>
        <w:t xml:space="preserve">: el DCF inverso pide un −0,1 % anual hasta FY2034e, frente al 7-8 % de la guía de FY2027.</w:t>
      </w:r>
    </w:p>
    <w:p>
      <w:pPr>
        <w:pStyle w:val="ListParagraph"/>
        <w:numPr>
          <w:ilvl w:val="0"/>
          <w:numId w:val="2"/>
        </w:numPr>
        <w:spacing w:after="60"/>
      </w:pPr>
      <w:r>
        <w:rPr>
          <w:b/>
        </w:rPr>
        <w:t xml:space="preserve">Márgenes de marca premium</w:t>
      </w:r>
      <w:r>
        <w:t xml:space="preserve">: margen bruto del 57,7 % y operativo del 23,1 %, frente al 8,3 % de Nike y adidas [1, 25, 30].</w:t>
      </w:r>
    </w:p>
    <w:p>
      <w:pPr>
        <w:pStyle w:val="ListParagraph"/>
        <w:numPr>
          <w:ilvl w:val="0"/>
          <w:numId w:val="2"/>
        </w:numPr>
        <w:spacing w:after="60"/>
      </w:pPr>
      <w:r>
        <w:rPr>
          <w:b/>
        </w:rPr>
        <w:t xml:space="preserve">Caja neta y recompras</w:t>
      </w:r>
      <w:r>
        <w:t xml:space="preserve">: 1.570 M de caja neta (11,5 USD por acción) y un 9,9 % de flujo libre sobre la capitalización, con 4.711 M de autorización de recompra [1, 2].</w:t>
      </w:r>
    </w:p>
    <w:p>
      <w:pPr>
        <w:pStyle w:val="ListParagraph"/>
        <w:numPr>
          <w:ilvl w:val="0"/>
          <w:numId w:val="2"/>
        </w:numPr>
        <w:spacing w:after="60"/>
      </w:pPr>
      <w:r>
        <w:rPr>
          <w:b/>
        </w:rPr>
        <w:t xml:space="preserve">Mínimos de valoración</w:t>
      </w:r>
      <w:r>
        <w:t xml:space="preserve">: 6,9 veces el EBITDA NTM y 10,4 veces el beneficio, frente a 8,6 y 16,1 veces de los comparables.</w:t>
      </w:r>
    </w:p>
    <w:p>
      <w:pPr>
        <w:pStyle w:val="ListParagraph"/>
        <w:numPr>
          <w:ilvl w:val="0"/>
          <w:numId w:val="2"/>
        </w:numPr>
        <w:spacing w:after="60"/>
      </w:pPr>
      <w:r>
        <w:rPr>
          <w:b/>
        </w:rPr>
        <w:t xml:space="preserve">Dirección fiable</w:t>
      </w:r>
      <w:r>
        <w:t xml:space="preserve">: ha batido su guía anual en FY2022-FY2026 y subió el BPA de FY2027 en julio [4, 5, 7, 17, 18, 57, 58, 59].</w:t>
      </w:r>
    </w:p>
    <w:p>
      <w:pPr>
        <w:pStyle w:val="ListParagraph"/>
        <w:numPr>
          <w:ilvl w:val="0"/>
          <w:numId w:val="2"/>
        </w:numPr>
        <w:spacing w:after="60"/>
      </w:pPr>
      <w:r>
        <w:rPr>
          <w:b/>
        </w:rPr>
        <w:t xml:space="preserve">Opción gratis</w:t>
      </w:r>
      <w:r>
        <w:t xml:space="preserve">: unos 120 M de aranceles IEEPA por cobrar que no están en la guía ni en el valor [2].</w:t>
      </w:r>
    </w:p>
    <w:p>
      <w:pPr>
        <w:pStyle w:val="Heading2"/>
      </w:pPr>
      <w:r>
        <w:t xml:space="preserve">En contra</w:t>
      </w:r>
    </w:p>
    <w:p>
      <w:pPr>
        <w:pStyle w:val="ListParagraph"/>
        <w:numPr>
          <w:ilvl w:val="0"/>
          <w:numId w:val="2"/>
        </w:numPr>
        <w:spacing w:after="60"/>
      </w:pPr>
      <w:r>
        <w:rPr>
          <w:b/>
        </w:rPr>
        <w:t xml:space="preserve">HOKA se frena</w:t>
      </w:r>
      <w:r>
        <w:t xml:space="preserve">: del +15,9 % en FY2026 al +7,7 % en el 1T27, mientras On crece un 30 % y Asics un 19,5 % [1, 4, 27, 32].</w:t>
      </w:r>
    </w:p>
    <w:p>
      <w:pPr>
        <w:pStyle w:val="ListParagraph"/>
        <w:numPr>
          <w:ilvl w:val="0"/>
          <w:numId w:val="2"/>
        </w:numPr>
        <w:spacing w:after="60"/>
      </w:pPr>
      <w:r>
        <w:rPr>
          <w:b/>
        </w:rPr>
        <w:t xml:space="preserve">EE. UU. no crece</w:t>
      </w:r>
      <w:r>
        <w:t xml:space="preserve">: +0,2 % en FY2026, con el 58,3 % de las ventas [1].</w:t>
      </w:r>
    </w:p>
    <w:p>
      <w:pPr>
        <w:pStyle w:val="ListParagraph"/>
        <w:numPr>
          <w:ilvl w:val="0"/>
          <w:numId w:val="2"/>
        </w:numPr>
        <w:spacing w:after="60"/>
      </w:pPr>
      <w:r>
        <w:rPr>
          <w:b/>
        </w:rPr>
        <w:t xml:space="preserve">Riesgo de moda en UGG</w:t>
      </w:r>
      <w:r>
        <w:t xml:space="preserve">: en FY2017 el margen EBITDA del grupo sin deterioros fue del 9,4 % [12, 13].</w:t>
      </w:r>
    </w:p>
    <w:p>
      <w:pPr>
        <w:pStyle w:val="ListParagraph"/>
        <w:numPr>
          <w:ilvl w:val="0"/>
          <w:numId w:val="2"/>
        </w:numPr>
        <w:spacing w:after="60"/>
      </w:pPr>
      <w:r>
        <w:rPr>
          <w:b/>
        </w:rPr>
        <w:t xml:space="preserve">Aranceles</w:t>
      </w:r>
      <w:r>
        <w:t xml:space="preserve">: la guía de FY2027 supone un 12,5 % y un margen operativo del 21,5 %, 1,6 puntos menos que en FY2026 [4].</w:t>
      </w:r>
    </w:p>
    <w:p>
      <w:pPr>
        <w:pStyle w:val="ListParagraph"/>
        <w:numPr>
          <w:ilvl w:val="0"/>
          <w:numId w:val="2"/>
        </w:numPr>
        <w:spacing w:after="60"/>
      </w:pPr>
      <w:r>
        <w:rPr>
          <w:b/>
        </w:rPr>
        <w:t xml:space="preserve">Recompras caras</w:t>
      </w:r>
      <w:r>
        <w:t xml:space="preserve">: 1.075 M a 102,43 USD en FY2026, un 24 % por encima del precio actual [1].</w:t>
      </w:r>
    </w:p>
    <w:p>
      <w:pPr>
        <w:pStyle w:val="ListParagraph"/>
        <w:numPr>
          <w:ilvl w:val="0"/>
          <w:numId w:val="2"/>
        </w:numPr>
        <w:spacing w:after="60"/>
      </w:pPr>
      <w:r>
        <w:rPr>
          <w:b/>
        </w:rPr>
        <w:t xml:space="preserve">Posición corta del 8,7 % del flotante</w:t>
      </w:r>
      <w:r>
        <w:t xml:space="preserve"> antes de los resultados del 2T27 [64].</w:t>
      </w:r>
    </w:p>
    <w:p>
      <w:pPr>
        <w:pStyle w:val="Heading2"/>
      </w:pPr>
      <w:r>
        <w:t xml:space="preserve">Qué tiene que pasar para que la tesis funcione</w:t>
      </w:r>
    </w:p>
    <w:p>
      <w:pPr>
        <w:spacing w:after="100"/>
      </w:pPr>
      <w:r>
        <w:t xml:space="preserve">La tesis depende de que HOKA siga creciendo a un dígito alto, sobre todo fuera de EE. UU., y de que el margen operativo se mantenga por encima del 21 % con los aranceles. La señal de que no se cumple: dos trimestres seguidos con HOKA por debajo del +5 %, o un aumento de las promociones que lleve el margen bruto por debajo del 55 %. Los resultados del 2T27 (hacia el 22 de octubre) y la Navidad de UGG son las dos pruebas de los próximos cuatro meses.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HOKA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(1T27); +15,9 %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el centro de la tesis [1,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ejercicio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(FY2026); guía FY2027 algo más del 21,5 %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unos 5 USD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UGG en el 3T (Navidad)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UGG +8,2 %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 un ciclo de moda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internacionales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 (FY2026), 41,7 %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Compensan un EE. UU. plano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precios frente a los aranceles y las promociones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 / 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10,4x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Deckers nace en 1973 de la mano de Doug Otto como fabricante estadounidense de sandalias [22]. En 1985 firma la licencia de las sandalias Teva, cuyos derechos compra en noviembre de 2002, y en 1993 sale a bolsa [22]. La compra de UGG en 1995 define la compañía durante dos décadas: una marca estacional de botas de piel de oveja que convierte en marca de moda global [22]. En 2011 compra Sanuk y en 2012 HOKA, una pequeña marca de running de máxima amortiguación (participación minoritaria en mayo y el resto en septiembre de 2012) [23]. En 2014 cambia el cierre del ejercicio al 31 de marzo para ajustarlo a la estacionalidad [24]. Desde entonces poda la cartera (venta de Sanuk en agosto de 2024, cierre de Koolaburra y AHNU en FY2026) y se concentra en dos marcas: en FY2026 HOKA vendió 2.587 M USD y UGG 2.739 M USD, el 97 % de los 5.472 M USD del grupo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 Otto funda la empresa como fabricante estadounidense de sandalias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licencia de las sandalias Teva; los derechos de la marca se compran en noviembre de 2002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UGG, que se convierte en la marca principal del grupo durante dos décadas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Sanuk (cerrada en julio de 2011)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HOKA: participación minoritaria en mayo de 2012 y el resto en septiembre de 2012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cambia el cierre del ejercicio del 31 de diciembre al 31 de marzo para alinearlo con la estacionalidad de UGG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Sanuk (15-ago-2024) e inicio del cierre de Koolaburra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ventas de 5.472 M USD (+9,8 %); HOKA 2.587 M (+15,9 %) y UGG 2.739 M (+8,2 %); cierre completo de Koolaburra y AHNU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Tribunal Supremo de EE. UU. anula los aranceles IEEPA (20-feb-2026); Deckers había pagado unos 120 M USD brutos y empieza a pedir su devolución tras junio de 2026 [2, 40].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Deckers diseña y vende calzado, ropa y complementos de dos marcas principales: </w:t>
      </w:r>
      <w:r>
        <w:rPr>
          <w:b/>
        </w:rPr>
        <w:t xml:space="preserve">HOKA</w:t>
      </w:r>
      <w:r>
        <w:t xml:space="preserve"> (running, trail, senderismo, fitness y estilo de vida; 2.587 M USD en FY2026, el 47 % de las ventas) y </w:t>
      </w:r>
      <w:r>
        <w:rPr>
          <w:b/>
        </w:rPr>
        <w:t xml:space="preserve">UGG</w:t>
      </w:r>
      <w:r>
        <w:t xml:space="preserve"> (calzado y moda de confort premium, con la bota de piel de oveja como icono; 2.739 M USD, el 50 %); el resto es Teva (146 M USD con los restos de Koolaburra y AHNU) [1]. No fabrica: toda la producción está subcontratada, sobre todo en Vietnam e Indonesia, con menos del 5 % en China o en cualquier otro país [1]. Vende al por mayor a tiendas especializadas de running y outdoor, cadenas deportivas, grandes almacenes de gama alta y distribuidores (3.208 M USD, el 58,6 %), y directamente al consumidor (2.264 M USD, el 41,4 %) en 54 países con web propia y 203 tiendas (141 de UGG y 62 de HOKA) [1]. EE. UU. supone el 58,3 % de las ventas y el exterior el 41,7 %, que crece un 26,8 % frente al 0,2 % del mercado doméstico [1]. Emplea a unas 6.000 personas [1].</w:t>
      </w:r>
    </w:p>
    <w:p>
      <w:pPr>
        <w:pStyle w:val="Heading2"/>
      </w:pPr>
      <w:r>
        <w:t xml:space="preserve">Cómo gana dinero</w:t>
      </w:r>
    </w:p>
    <w:p>
      <w:pPr>
        <w:spacing w:after="100"/>
      </w:pPr>
      <w:r>
        <w:t xml:space="preserve">El beneficio sale del precio premium de dos marcas: margen bruto del 57,7 % y margen operativo del 23,1 % en FY2026 [1]. Por segmentos, UGG ganó 1.045 M USD (38,2 % de sus ventas) y HOKA 911 M USD (35,2 %), antes de 710 M USD de gastos corporativos no asignados [1]. No hay ingresos recurrentes por contrato: los mayoristas compran por temporada, con pedidos previos de hasta 12 meses, y Deckers compra a los fabricantes pedido a pedido, sin compromisos a largo plazo [1]. El margen depende del precio, la mezcla de canal (la venta directa deja más margen), las promociones, los aranceles y el coste de la piel de oveja, que se compra con contratos de precio fijo [1]. UGG concentra sus ventas en el tercer trimestre fiscal (Navidad); HOKA reparte mejor el año y suaviza la estacionalidad [1]. Gastos de marketing al alza: +63,6 M USD en FY2026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HOKA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brands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HOKA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brands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llegó al 10 % de las ventas en FY2026, pero un cliente representaba el 18,5 % de las cuentas por cobrar comerciales a 31-mar-2026 (13,6 % un año antes), sin garantías [1]. Los mayoristas suponen el 58,6 % de las ventas y compran por pedidos de temporada, sin contratos plurianuales [1]. Poder de precios demostrado con matices: en FY2026 el margen bruto solo cedió 20 pb (al 57,7 %) pese a los aranceles, gracias a «subidas de precio estratégicas», reparto de costes con los fabricantes y mejor mezcla [1]. Las unidades vendidas subieron un 6,2 % (78,7 millones) frente a un 9,8 % de las ventas, lo que implica un ingreso medio por unidad de unos 69,5 USD frente a 67,3 USD (+3,4 %, estimación propia a partir de [1]). Las promociones aumentaron ligeramente desde niveles excepcionalmente bajos, aunque con altas ventas a precio completo [1]. En 1T27 la empresa admite que no espera compensar del todo el arancel incremental del ejercicio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mayoristas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58,6 % de las ventas en 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directas al consumidor, DTC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41,4 % de las ventas en 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DTC (52 semanas, divisa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Ejercicios terminados el 30-mar-2025 y el 29-mar-2026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Todas las categorías y marcas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HOKA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la marca 35,2 % (38,0 % en FY2025)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UGG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la marca 38,2 % (39,6 % en FY2025)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internacionales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+0,2 % (3.191,5 M USD)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Tiendas propias (a 31-mar)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(137 UGG, 42 HOKA)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(141 UGG, 62 HOKA)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tiendas concepto y 98 outlets en 2026 [1][8]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calzado deportivo de marca</w:t>
      </w:r>
      <w:r>
        <w:t xml:space="preserve"> mundial (running, entrenamiento, estilo de vida deportivo), donde compite HOKA y que pesa casi la mitad de las ventas; UGG compite en el calzado de moda y confort premium, para el que no hay una cifra pública fiable y se describe con los datos de Circana para EE. UU. Se usa la serie de Global Market Insights (130.100 M USD en 2025) y se contrasta con IMARC (130.700 M USD en 2025), dos estimaciones independientes que casi coinciden [34, 35]. Dentro de ese mercado, el calzado de running suma unos 44.500 M USD en 2025 [34]. En EE. UU., el primer mercado de Deckers, Circana mide un mercado total de calzado de unos 90.000 M USD en 2025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130.100 M USD de calzado deportivo mundial en 2025 [34] (IMARC: 130.700 M USD [35]); running ≈ 44.500 M USD [34]; calzado total en EE. UU. ≈ 90.000 M USD en 2025 [36].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y auge del running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running creció un 9 % en dólares en 2025 y un 13 % en el primer semestre de 2026, frente a un mercado total plano (+1 %) [36, 39]; en 2024 el running de rendimiento sumó 7.400 M USD (+6 %) por el giro a producto más caro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el sudeste asiático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pagó unos 120 M USD brutos de aranceles IEEPA y el margen bruto bajó 20 pb en FY2026 por los aranceles sobre el producto vendido en EE. UU.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discrecional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calzado en EE. UU. se estancó en 89.200 M USD en 2024 y unos 90.000 M USD en 2025, con unidades a la baja [36, 37]; las ventas domésticas de Deckers subieron solo un 0,2 % en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internacionales de Deckers crecieron un 26,8 % en FY2026, hasta 2.281 M USD [1]; Asia-Pacífico supone más del 36,8 % del mercado mundial según IMARC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y fidelización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directa ya es el 41,4 % de las ventas de Deckers y sus ventas comparables crecieron un 4,6 % en FY2026; en 1T27 subió un 13,0 %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Marcas retadoras en running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creció un 30,0 % en 2025 (3.014 M CHF) y ASICS un 19,5 % (810.916 M JPY), con su running de rendimiento en 363.542 M JPY (+11,2 %) [27, 32].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tienen el 50 % y Nike más del 27 % [34]; Nike perdió un 9,8 % de ventas en FY2025 y Puma cerró 2025 con un EBIT de −357 M EUR tras rebajas y limpieza de inventario [25, 31]. Deckers admite un mercado «muy competitivo» con rivales mayores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mayorista es el 58,6 % de las ventas de Deckers; ningún cliente llega al 10 %, pero uno concentra el 18,5 % de las cuentas por cobrar [1]. El consumidor final cambia de marca sin coste.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por pedidos sin compromiso a largo plazo y con varios proveedores [1]; la excepción es la piel de oveja de UGG, procedente sobre todo de Australia y curtida por dos curtidurías en China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en el extranjero y el comercio electrónico facilitan la entrada, según la propia Deckers [1]; On pasó de 1.222 M CHF de ventas en 2022 a 3.014 M CHF en 2025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no tiene sustituto funcional; la sustitución se da entre categorías (zapatilla deportiva de estilo de vida, +4 % en EE. UU. en 2025, frente a moda, −2 %) [36].</w:t>
            </w:r>
          </w:p>
        </w:tc>
      </w:tr>
    </w:tbl>
    <w:p>
      <w:pPr>
        <w:spacing w:after="160" w:before="0"/>
      </w:pPr>
    </w:p>
    <w:p>
      <w:pPr>
        <w:pStyle w:val="Heading2"/>
      </w:pPr>
      <w:r>
        <w:t xml:space="preserve">Ciclo</w:t>
      </w:r>
    </w:p>
    <w:p>
      <w:pPr>
        <w:spacing w:after="100"/>
      </w:pPr>
      <w:r>
        <w:t xml:space="preserve">El mercado de EE. UU. lleva dos años plano en dólares (89.200 M USD en 2024 y unos 90.000 M en 2025) con unidades a la baja y precio medio al alza [36, 37]; el primer semestre de 2026 creció un 1 % [39]. El ciclo es de consumo discrecional: Nike, el líder, subió un 2,9 % en FY2009 y cayó un 0,8 % en FY2010; cayó un 4,4 % en FY2020 y rebotó un 19,1 % en FY2021; tras el exceso de inventario de 2022-23 volvió a caer un 9,8 % en FY2025 [25]. Dentro del ciclo, el running sigue en expansión (+13 % en el primer semestre de 2026) [39].</w:t>
      </w:r>
    </w:p>
    <w:p>
      <w:pPr>
        <w:pStyle w:val="Heading2"/>
      </w:pPr>
      <w:r>
        <w:t xml:space="preserve">Regulación</w:t>
      </w:r>
    </w:p>
    <w:p>
      <w:pPr>
        <w:spacing w:after="100"/>
      </w:pPr>
      <w:r>
        <w:t xml:space="preserve">Lo que más mueve las cifras son los aranceles de EE. UU.: Deckers fabrica sobre todo en Vietnam e Indonesia y menos del 5 % en China [1]. El 20-feb-2026 el Tribunal Supremo anuló (6-3) los aranceles basados en la IEEPA; el 24-feb entró en vigor un arancel general del 10 % por la sección 122, limitado a 150 días, y la USTR abrió investigaciones de la sección 301 para sustituirlo [40]. En marzo de 2026 el Tribunal de Comercio Internacional ordenó devolver los aranceles IEEPA y en abril la CBP habilitó el proceso CAPE; Deckers pagó unos 120 M USD brutos, empezó a reclamar tras junio y no ha reconocido ningún ingreso por ello [2]. En Europa, Deckers ya ha hecho el análisis de doble materialidad de las normas ESRS [41].</w:t>
      </w:r>
    </w:p>
    <w:p>
      <w:pPr>
        <w:pStyle w:val="Heading2"/>
      </w:pPr>
      <w:r>
        <w:t xml:space="preserve">Tendencias y disrupción</w:t>
      </w:r>
    </w:p>
    <w:p>
      <w:pPr>
        <w:spacing w:after="100"/>
      </w:pPr>
      <w:r>
        <w:t xml:space="preserve">La zapatilla deportiva de estilo de vida es la mayor categoría en EE. UU. (31.000 M USD en 2024, +4 % en 2025), impulsada por modelos inspirados en el running, lo que favorece a HOKA [36, 37]. En moda, el calzado cae (−2 % en 2025), pero crecen las botas de caña alta (+14 %) y los zuecos y mules (+5 %), segmentos donde juega UGG [36]. El canal directo y la fidelización ganan peso (HOKA lanzó su programa de fidelización en EE. UU. en FY2026) [1]. La presión viene de marcas retadoras de running: On creció un 30 % en 2025 y ASICS un 19,5 % [27, 32], mientras Nike intenta recuperar el running tras dos años de caída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HOKA es una de las marcas líderes del running especializado y del outdoor en el canal mayorista [1]. Sus 2.587 M USD de FY2026 equivalen como máximo a un 5,8 % del mercado mundial de calzado de running de 2025 (44.500 M USD) [1, 34] (estimación propia: incluye ropa, senderismo y estilo de vida, así que la cuota real en running es menor). En calzado deportivo total, Deckers (5.472 M USD) es alrededor del 4 % de 130.100 M USD (estimación propia con [1, 34]), lejos de Nike (más del 27 %), adidas (12 %) o Puma (5 %) [34]. UGG compite en moda y confort premium, sin cuota pública.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(más del 27 % del calzado deportivo) [34]. FY2026 (a mayo): ventas de 46.398 M USD, planas tras caer un 9,8 % en FY2025; EBIT de 3.850 M USD (beneficio antes de impuestos de 3.900 M menos 50 M de ingresos financieros netos) y margen bruto del 42,9 %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24.811 M EUR en 2025 (cifras preliminares), +13 % de la marca a divisa constante; EBIT de 2.056 M EUR y margen bruto del 51,6 % [30]. Convertido a 1,1306 USD/EUR, la media de 2025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Skechers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2024 (último 10-K antes de excluirse de bolsa tras la compra de 3G Capital): ventas de 8.969 M USD y resultado operativo de 904 M USD [29]. Compite en confort y precio medio.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7.296 M EUR en 2025 (−8,1 % a divisa constante) y EBIT de −357 M EUR (−166 M ajustado) por un plan de reestructuración y deterioros; 2026 declarado año de transición [31]. Convertido a 1,1306 USD/EUR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810.916 M JPY en 2025 (+19,5 %) y beneficio operativo de 142.519 M JPY; el running de rendimiento vende 363.542 M JPY (+11,2 %), unos 2.431 M USD, cifra parecida a la de HOKA [32,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Crocs (con HEYDUDE)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4.041 M USD en 2025; el resultado operativo (150 M USD) se hunde por 737 M USD de deterioros de HEYDUDE; sin ellos, el margen sería de un 21,9 % (estimación propia) [26]. Compite con UGG en zuecos y calzado de confort.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directo de HOKA en running premium: 3.014 M CHF en 2025 (+30,0 %), resultado operativo de 377 M CHF y margen bruto del 62,8 % [27]. Convertido a 0,8305 CHF/USD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2.097 M EUR en el ejercicio a sep-2025 (+16 %) y resultado operativo de 550 M EUR [28]. Rival de UGG en calzado de confort premium. Convertido a la media de 2025 (1,1306 USD/EUR)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una zapatilla no aumenta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la fidelización depende del producto y de programas propios (HOKA lanzó el suyo en EE. UU. en FY2026)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57,7 % frente al 42,9 % de Nike y el 51,6 % de adidas, y margen operativo del 23,1 % frente al 8,3 % de ambos [1, 6, 11]; márgenes de segmento del 38,2 % en UGG y del 35,2 % en HOKA [1]; 201 patentes de diseño y utilidad registradas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subcontratada a terceros como sus rivales, sin fábricas propias [1]; Deckers soporta los mismos aranceles que el resto del sector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5.472 M USD de ventas es mucho menor que Nike (46.398 M USD) o adidas (24.811 M EUR) [1, 6, 11]; la escala no frena la entrada, como muestra On [8].</w:t>
            </w:r>
          </w:p>
        </w:tc>
      </w:tr>
    </w:tbl>
    <w:p>
      <w:pPr>
        <w:spacing w:after="160" w:before="0"/>
      </w:pPr>
    </w:p>
    <w:p>
      <w:pPr>
        <w:pStyle w:val="Heading2"/>
      </w:pPr>
      <w:r>
        <w:t xml:space="preserve">Amenazas</w:t>
      </w:r>
    </w:p>
    <w:p>
      <w:pPr>
        <w:spacing w:after="100"/>
      </w:pPr>
      <w:r>
        <w:t xml:space="preserve">Las marcas retadoras crecen más deprisa que HOKA en running: On un 30 % en 2025 y ASICS un 19,5 %, con su running de rendimiento ya de un tamaño parecido al de HOKA (≈ 2.431 M USD) [27, 32]. HOKA creció un 15,9 % en FY2026, pero solo un 7,7 % en 1T27 [1, 2]. Nike y adidas reaccionan con más innovación en amortiguación [34]. En UGG el riesgo es de moda: la marca depende de un producto icónico y estacional, y compite con Birkenstock y Crocs en confort [26, 28]. El canal mayorista (58,6 %) y la imitación y falsificación de los diseños de UGG, que Deckers persigue en los tribunales, son otros frentes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FY2017-FY2026: ingresos </w:t>
      </w:r>
      <w:r>
        <w:rPr>
          <w:b/>
          <w:bCs/>
        </w:rPr>
        <w:t xml:space="preserve">13,2 %</w:t>
      </w:r>
      <w:r>
        <w:t xml:space="preserve">, EBITDA </w:t>
      </w:r>
      <w:r>
        <w:rPr>
          <w:b/>
          <w:bCs/>
        </w:rPr>
        <w:t xml:space="preserve">25,9 %</w:t>
      </w:r>
      <w:r>
        <w:t xml:space="preserve">, BPA </w:t>
      </w:r>
      <w:r>
        <w:rPr>
          <w:b/>
          <w:bCs/>
        </w:rPr>
        <w:t xml:space="preserve">83,3 %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1.790 M USD en FY2017 a 5.472 M en FY2026, todo crecimiento orgánico: no hubo compras en el periodo y la única operación fue la venta de Sanuk (agosto de 2024), que resta ventas [1, 8]. El motor es HOKA, que pasó de 223 M en FY2019 a 2.587 M en FY2026; UGG creció de 1.533 M a 2.739 M en el mismo periodo [1, 11]. El margen bruto subió de 51,5 % en FY2019 a 57,9 % en FY2025 por mezcla de marca, más venta a precio completo y menos saldos de UGG, y cedió 20 puntos básicos en FY2026 (57,7 %) por los aranceles, compensados en parte con precio y reparto de costes con fabricantes [1, 8]. Los gastos generales subieron hasta el 34,6 % de las ventas en FY2026 (34,3 % en FY2025) por marketing, alquileres y tiendas propias, y el margen operativo bajó 50 puntos básicos, al 23,1 % [1]. El FY2017 no es comparable: incluye unos 118 M de deterioro del fondo de comercio y patentes de Sanuk [12]. El resultado financiero es positivo desde FY2023 por los intereses de la caja (63,6 M en FY2026) [1].</w:t>
      </w:r>
    </w:p>
    <w:p>
      <w:pPr>
        <w:pStyle w:val="Heading2"/>
      </w:pPr>
      <w:r>
        <w:t xml:space="preserve">Ajustes y partidas no recurrentes</w:t>
      </w:r>
    </w:p>
    <w:p>
      <w:pPr>
        <w:spacing w:after="100"/>
      </w:pPr>
      <w:r>
        <w:t xml:space="preserve">Se usan las cifras reportadas (US GAAP); Deckers no publica BPA ajustado. Partidas no recurrentes devueltas al EBITDA en no_recurrentes_en_ebitda: FY2017, unos 118 M de deterioro del fondo de comercio y de la patente de Sanuk [12]; FY2024, 8,2 M de deterioro de la marca Sanuk dentro de gastos generales [8]. Otros deterioros de activos de tiendas son pequeños (13,2 M en FY2017; 4,3 M en FY2025) y se dejan dentro. El BPA y las acciones de FY2017-FY2022 están ajustados por el desdoblamiento 6 por 1 del 13-sep-2024 (cifras originales divididas o multiplicadas por 6) [8]. El EBITDA es EBIT más depreciación, amortización y actualización del estado de flujos. El gasto financiero de FY2017 (7,3 M) se deduce de la identidad de otros resultados (ingresos por intereses 0,8 M, otros 1,5 M, total −5,1 M) [13].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4T26 (21-may-2026) la dirección presentó un marco a varios años hasta FY2030: crecimiento de las ventas de un dígito alto, HOKA de dos dígitos bajos, UGG de un dígito medio y BPA creciendo a dos dígitos bajos al año; dio una guía FY2027 de 5.860-5.910 M USD de ventas, margen operativo de ~21,5 % y BPA de 7,30-7,45 USD, con un arancel del 10 % y sin contar devoluciones de aranceles (unos 120 M USD pagados), y prevé abrir 20-25 tiendas HOKA al año [5][20]. En la del 1T27 (23-jul-2026) el discurso fue más prudente en márgenes: subió el supuesto de arancel al 12,5 % (impacto concentrado en el 3T y el 4T), avisó de un consumidor europeo más presionado por la energía y elevó el BPA a 7,35-7,50 USD; HOKA creció un 17 % en venta directa y UGG gana peso fuera del invierno (hombre, sandalias, zapatillas) [4][19]. Las preguntas que más se repitieron: la visibilidad de HOKA (cartera mayorista, mezcla de canales, competencia y nuevos distribuidores), la estacionalidad y las cancelaciones de UGG por el tiempo cálido, y el efecto de aranceles, fletes y promociones en el margen. La dirección no cuantificó la cartera de pedidos, el impacto en márgenes del nuevo arancel, el importe y el calendario de las devoluciones de aranceles, las promociones de HOKA ni el número de puntos de venta [19][20]. Resúmenes de las transcripciones de MarketBeat (Quartr), no el texto completo.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1.907 M a 31-mar-2026, el 35 % de las ventas, sin deuda [1]. La caja casi no creció en FY2026 (+18 M) porque las recompras (1.075 M) absorbieron todo el flujo libre [1]. El circulante es estacional: a 30-jun-2026 las existencias suben a 807,6 M (487,0 M en marzo) antes de la campaña de UGG y los proveedores a 726,4 M, por eso el balance de junio no sirve para los ratios anuales [2]. Las existencias de marzo bajaron en FY2026 (487,0 M frente a 495,2 M) aunque las ventas crecieron un 9,8 % y llevan aranceles [1, 5]. El patrimonio cae por primera vez en el periodo (2.499,6 M frente a 2.513,0 M) porque las recompras superaron el beneficio [13]. El fondo de comercio es residual (14,0 M) desde el deterioro de Sanuk en FY2017 [13].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5.173</w:t>
      </w:r>
      <w:r>
        <w:t xml:space="preserve">, conversión </w:t>
      </w:r>
      <w:r>
        <w:rPr>
          <w:b/>
          <w:bCs/>
        </w:rPr>
        <w:t xml:space="preserve">109 %</w:t>
      </w:r>
      <w:r>
        <w:t xml:space="preserve"> del beneficio neto; adquisiciones 0, dividendos 0, recompras 3.333.</w:t>
      </w:r>
    </w:p>
    <w:p>
      <w:pPr>
        <w:spacing w:after="100"/>
      </w:pPr>
      <w:r>
        <w:t xml:space="preserve">El flujo operativo pasó de 199 M en FY2017 a 1.182 M en FY2026 y desde FY2024 supera el beneficio neto (1,15 veces en FY2026) [1, 13]. El año anómalo es FY2022: 172 M de flujo operativo por el aumento de existencias (de 278 a 507 M) en plena crisis logística [13]. El capex es bajo: 84,6 M en FY2026 (1,5 % de las ventas), en tiendas, sistemas y almacenes; la empresa no separa mantenimiento y crecimiento y prevé 145-155 M en FY2027 incluidos costes de implantación en la nube [1]. El flujo libre (operativo menos capex) fue de 1.097 M en FY2026; las recompras se llevaron el 98 % [1, 5]. No hay pagos de arrendamientos en financiación (son operativos y van en el flujo operativo: 92,8 M pagados en FY2026), ni dividendos ni compras [1]. En 1T27 el flujo operativo fue de 47,9 M y las recompras de 338,2 M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(Los Angeles)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y sencillas: sin deuda, sin compras desde hace más de diez años, sin ajustes al BPA (la empresa no publica cifras «ajustadas») y con un flujo operativo que supera al beneficio desde FY2024 (conversión del 107 % en FY2026) [1]. KPMG firma sin salvedades las cuentas y el control interno; su única materia crítica es la provisión por devoluciones de los mayoristas (63,9 M de 80,1 M) [1]. La remuneración en acciones es moderada: 44,8 M, el 4,4 % del beneficio [1]. Los tres indicadores son buenos: Altman Z de 9,86 (zona segura), Piotroski F de 7 sobre 9 (falla en margen bruto, que cedió 20 puntos básicos por los aranceles, y en liquidez corriente) y Beneish M de −2,64, lejos del umbral de manipulación. Dos puntos de atención: KPMG lleva 34 años como auditor, y su ratificación tuvo un 9,4 % de votos en contra en 2026 [21, 43]; y los unos 120 M de aranceles IEEPA pagados cuya devolución se reclama no están reconocidos, así que son un posible ingreso extraordinario de FY2027-FY2028 que no conviene sumar al beneficio recurrente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 crítica de auditoría: provisión por devoluciones del canal mayorista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KPMG la señala por el juicio necesario para ajustar las tasas históricas de devolución; la provisión total por devoluciones es de 80,1 M USD a 31-mar-2026, de ellos 63,9 M del canal mayorista (2,0 % de las ventas mayoristas)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moderada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44,8 M USD en FY2026, el 4,4 % del beneficio neto (37,9 M y 3,9 % en FY2025; 37,3 M y 4,9 % en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segmentación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de seis segmentos por canal a tres por marca; la empresa reexpresó FY2023-FY2025 y redefinió como no asignados ciertos gastos centrales, lo que cambia el resultado de segmento frente a lo publicado antes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no reconocidas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pagó unos 120 M USD brutos de aranceles IEEPA, anulados por el Tribunal Supremo en feb-2026; empezó a pedir la devolución después del 30-jun-2026 y no ha reconocido ningún importe; el efecto neto puede ser menor por los acuerdos de reparto de costes con proveedores. La dirección dijo que lo contabilizará cuando lo cobre [1][2][20].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pequeños y sin fondo de comercio relevante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del fondo de comercio (14,0 M USD) ni de la marca Teva (15,5 M) en FY2024-FY2026; único deterioro, 8,2 M USD de la marca Sanuk en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interno eficaz</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favorable de KPMG sobre el control interno a 31-mar-2026, sin debilidades materiales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11,1 %.</w:t>
      </w:r>
    </w:p>
    <w:p>
      <w:pPr>
        <w:spacing w:after="100"/>
      </w:pPr>
      <w:r>
        <w:rPr>
          <w:b/>
        </w:rPr>
        <w:t xml:space="preserve">Deckers crea valor con muy poco capital.</w:t>
      </w:r>
      <w:r>
        <w:t xml:space="preserve"> El capital invertido de explotación (circulante, inmovilizado e intangibles, sin la caja) fue de 592 M en FY2026 para un beneficio operativo después de impuestos de 975 M: un ROIC del 160,3 %, frente a un WACC del 11,1 %. La cifra está inflada porque con US GAAP los 375 M de derechos de uso de las tiendas no entran en el capital [1]; con ellos seguiría por encima del 90 %. El ROIC subió del 51,1 % de FY2019 al 160,3 % por margen (el EBIT pasó del 16,2 % al 23,1 % de las ventas), no por rotación, que se mantiene en torno a 1,5 veces el activo. El ROE (40,9 %) es menor porque el patrimonio incluye 1.907 M de caja que rinde un 3-4 %. Los rivales que más crecen ganan menos por dólar invertido: On un 32,3 %, Asics un 41,8 % y Crocs un 22,3 % [79]. El crecimiento de Deckers no necesita capital: la prueba es el margen, no la reinversión.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1.602,6 M a 30-jun-2026 (1.907,2 M a 31-mar-2026) y sin deuda financiera [2, 4]. Línea revolving principal sin disponer: 400 M a 31-mar-2026, ampliada a 500 M y con vencimiento al 27-ago-2031 por la modificación del 27-ago-2026 (margen de 1,00-1,50 % sobre SOFR según apalancamiento neto; comisión de no disposición 0,10-0,175 %) [1, 3]. Línea no comprometida en China de 300 M CNY (43,5 M USD)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que en FY2021 se canceló la hipoteca de la sede de Goleta (30,9 M) [13]. Arrendamientos operativos: 375,2 M de pasivo a 31-mar-2026 (472,3 M a 30-jun-2026 tras nuevos contratos), que con US GAAP no se suman a la deuda porque su gasto ya está en el EBITDA [1, 2]. Compromisos de compra fuera de balance por 1.374,3 M (producto y servicios) [1]. Pasivo por devoluciones de clientes de 80,1 M [13]. Las líneas de crédito tienen covenants de apalancamiento que limitan dividendos y recompras; la empresa los cumple [1, 2]. Concentración de crédito: un cliente supone el 18,5 % de las cuentas a cobrar (13,6 % un año antes), aunque ninguno llega al 10 % de las ventas [1]. Posible activo contingente no reconocido: devolución de unos 120 M de aranceles IEEPA pagados [2]. Caja en filiales extranjeras: 653,9 M [1].</w:t>
      </w:r>
    </w:p>
    <w:p>
      <w:pPr>
        <w:pStyle w:val="Heading1"/>
      </w:pPr>
      <w:r>
        <w:t xml:space="preserve">12. Asignación de capital</w:t>
      </w:r>
    </w:p>
    <w:p>
      <w:pPr>
        <w:pStyle w:val="Confianza"/>
        <w:spacing w:after="100"/>
      </w:pPr>
      <w:r>
        <w:t xml:space="preserve">Confianza: Alta</w:t>
      </w:r>
    </w:p>
    <w:p>
      <w:pPr>
        <w:spacing w:after="100"/>
      </w:pPr>
      <w:r>
        <w:t xml:space="preserve">Deckers no ha declarado ni pagado nunca un dividendo en efectivo [1]. Devuelve caja con recompras en mercado abierto: 1.075 M USD en FY2026 (10,5 millones de acciones a 102,43 USD de media) y 338 M USD en el 1T27 (3,3 millones a 103,79 USD) [1][4]. El consejo amplió la autorización en 2.250 M USD el 21-may-2025 y en 3.500 M USD el 20-may-2026; quedaban unos 4.711 M USD autorizados a 30-jun-2026 [1][2]. La guía de FY2027 supone recomprar acciones por un importe de alrededor del 80 % del flujo de caja libre previsto [4][5]. La dirección dice que usará la caja para hacer crecer el negocio con rentabilidad, invertir (capex de 145-155 M USD previsto para FY2027) y recomprar acciones [1][20]. No tiene deuda financiera: a 30-jun-2026 tenía 1.603 M USD de caja y una línea de crédito sin usar ampliada a 500 M USD en ago-2026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adquisición relevante en los últimos diez años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de flujos no muestra pagos por adquisiciones entre FY2017 y FY2026; el crecimiento ha sido orgánico (HOKA, comprada en 2013, y UGG) [1][13].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marca Sanuk y activos relacionados (desinversión)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precio no publicado (cobros por venta de activos de 11,2 M USD en FY2025)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15-ago-2024; no se trató como actividad interrumpida. Sanuk venía de un deterioro de su marca de 8,2 M USD en FY2024 y de caídas de ventas (43,1 M USD en FY2022) [1][8][10].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Koolaburra (independiente) y de AHNU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aplica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Koolaburra: cierre iniciado en el 3T25, web cerrada al final de FY2025 y salida del canal mayorista en el 3T y el 4T de FY2026. AHNU: Ahnu.com cerrada el 1-oct-2025 y salida del mayorista en el 3T y el 4T de FY2026. Sin costes de salida materiales [1].</w:t>
            </w:r>
          </w:p>
        </w:tc>
      </w:tr>
    </w:tbl>
    <w:p>
      <w:pPr>
        <w:spacing w:after="160" w:before="0"/>
      </w:pPr>
    </w:p>
    <w:p>
      <w:pPr>
        <w:spacing w:after="100"/>
      </w:pPr>
      <w:r>
        <w:t xml:space="preserve">La dirección asigna el capital con disciplina en lo operativo y con mala fortuna en el precio de las recompras. En FY2017-FY2026 Deckers generó 5.173 M de flujo libre (109 % del beneficio), no hizo compras ni pagó dividendos y dedicó 3.333 M a recompras: las acciones diluidas bajaron de 172,2 M en FY2020 a 145,8 M en FY2026 [1, 13]. HOKA, comprada en 2012 por una cifra pequeña, es hoy la mitad del grupo: la mejor compra del sector en la década [23]. El problema es el precio: recompró 3,8 M de acciones a 149,21 USD en FY2025 y 10,5 M a 102,43 USD en FY2026 (1.075 M, el 105 % del beneficio), por encima de los 82,89 USD de hoy [1]. Al precio actual, la autorización pendiente (4.711 M, el 42 % de la capitalización) rinde más: con un flujo libre del 9,9 % sobre la capitalización, recomprar es la mejor inversión disponible si la tesis es correcta. La caja ociosa (1.603 M a junio) es el único lastre: rinde menos que el WACC.</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Stefano Caroti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(Chief Executive Officer and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Deckers desde noviembre de 2015 (presidente de Omni-Channel; director comercial desde abril de 2023 y presidente interino de HOKA de 2022 a 2024); antes, director comercial y consejero gerente de PUMA (2008-2014) y directivo de Nike en EMEA [21, 46]. CEO desde el 1-ago-2024: en su primer ejercicio completo (FY2026) las ventas crecieron un 9,8 % hasta 5.472 M USD y el BPA diluido un 10,9 % hasta 7,02 USD, por encima de la guía de octubre (5.350 M y 6,30-6,39 USD) [5, 7, 21]. Posee 187.984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J. Fasching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Deckers desde 2011 (planificación financiera, estrategia y relación con inversores); CFO desde junio de 2018. Antes, 20 años en Princess Cruise Lines (Carnival), donde llegó a director de finanzas y controller adjunto [21]. Con él como CFO las ventas pasaron de 2.133 M USD (FY2020) a 5.472 M (FY2026) y la empresa batió la guía anual inicial de ventas y BPA en todos los ejercicios en que la dio [5, 7, 17, 18, 55, 56, 57, 58, 59]. Posee 92.847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(Cindy) L. Davis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(independiente,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2018 y presidenta desde mayo de 2025, cuando sustituyó a Michael Devine tras seis años en el cargo; presidió la comisión de remuneración de 2019 a 2025 [21, 47]. Fue vicepresidenta de Nike y presidenta de Nike Golf (2008-2014); es consejera de Brinker International [21]. Posee 15.042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Spring-Green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HOKA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HOKA desde febrero de 2024, tras 17 años en Nike, donde fue vicepresidenta global de running y fitness masculino [21]. En FY2026 HOKA facturó 2.587 M USD (+15,9 %), por encima de su objetivo interno de ventas (2.514 M), con un 119 % de cumplimiento en ventas y un 146 % en beneficio operativo de la marca en el bonus [5, 21]. Posee 8.474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 Spangenberg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UGG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UGG desde julio de 2022, tras 13 años en Nike como Chief Merchant y etapas en Gap y Macy's West [21]. UGG facturó 2.739 M USD en FY2026 (+8,2 %), frente a 2.531 M en FY2025, con un beneficio operativo de marca de 1.045 M USD, el 168 % del objetivo del bonus [5, 21]. Posee 30.593 acciones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la empresa no la dio en mayo de 2020 por la COVID-19 ni en julio de 2020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2.546 M USD (+19,4 %) y BPA diluido de 13,47 USD (antes del desdoblamiento 6x1) [56].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2.950-3.000 M USD, margen operativo del 17,5-18,0 % y BPA diluido de 14,05-14,65 USD (antes del desdoblamiento)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3.150 M USD (+23,8 %) y BPA diluido de 16,26 USD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3.450-3.500 M USD, margen operativo del 17,5-18,0 % y BPA diluido de 17,40-18,25 USD (antes del desdoblamiento)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3.627 M USD (+15,1 %) y BPA diluido de 19,37 USD [58].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3.950 M USD, margen operativo de en torno al 18 % y BPA diluido de 21,10-21,60 USD (antes del desdoblamiento)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4.288 M USD (+18,2 %) y BPA diluido de 29,16 USD [59].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4.700 M USD (+10 %), margen operativo de en torno al 19,5 % y BPA diluido de 29,50-30,00 USD antes del desdoblamiento (4,92-5,00 USD después)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4.986 M USD (+16,3 %) y BPA diluido de 6,33 USD tras el desdoblamiento 6x1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mayo de 2025 retiró la guía anual por los aranceles y solo dio la del 1T26 (ventas de 890-910 M USD y BPA de 0,62-0,67 USD); en julio, solo la del 2T26 (1.380-1.420 M y 1,50-1,55 USD). La guía anual volvió en octubre de 2025: ventas de unos 5.350 M USD y BPA diluido de 6,30-6,39 USD [7, 17,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5.472 M USD (+9,8 %) y BPA diluido de 7,02 USD. El 1T26 (964,5 M y 0,93 USD) y el 2T26 (1.431 M y 1,82 USD) también superaron sus guías trimestrales [5, 7,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de 2026: ventas de 5.860-5.910 M USD (HOKA +doble dígito bajo, UGG +un dígito medio), margen operativo de en torno al 21,5 % y BPA diluido de 7,30-7,45 USD, con recompras por el 80 % del flujo libre previsto. Marco FY2028-FY2030: ventas +un dígito alto al año y margen operativo «low 20+»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julio de 2026 mantuvo las ventas y subió el BPA a 7,35-7,50 USD; el 1T27 dio ventas de 1.020 M USD (+5,7 %) y BPA de 0,94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Equipo con mucha antigüedad en la casa: el CEO lleva en Deckers desde 2015, el CFO desde 2011 y la directora de cadena de suministro desde 2008 [21]. La sucesión de Dave Powers fue ordenada y se anunció seis meses antes (febrero de 2024, efectiva en agosto de 2024) [46]. Los presidentes de las dos marcas vienen de Nike (2022 y 2024) [21]. Con guía anual, la dirección la ha batido en ventas y BPA en FY2022-FY2026; en FY2026 el BPA real (7,02 USD) superó en un 10 % el techo de la guía de octubre [5, 7, 17, 18, 56, 57, 58, 59]. La comisión de remuneración supervisa la sucesión de los directivos y el consejo la del CEO; el proxy no nombra a ningún sucesor [21].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(Cindy) L. Davis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las sesiones de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Stefano Caroti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 Burwick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(Talent &amp; Compensation)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Nelson C. Chan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Responsabilidad corporativa,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R. Figuereo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J. Grismer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Maha S. Ibrahim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 Luis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 M. Shanahan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Responsabilidad corporativa,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Bonita C. Stewart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Responsabilidad corporativa, sostenibilidad y gobierno (presidenta);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1,17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14,36 M de acciones según su 13G/A de abril de 2025 (9,5 % entonces); el 10,5 % del proxy se debe a que las recompras redujeron el capital [21,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10,65 M de acciones en abril de 2026 (13G nuevo, 7,8 % en el proxy). The Vanguard Group declaró un 0 % en marzo de 2026 por su reorganización interna en dos gestoras [21, 49,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(institucional activo)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reducción: del 13,8 % (20,45 M de acciones) en nov-2025 al 6,9 % (10,12 M) en ene-2026 y al 4,3 % (6,13 M) en may-2026 [51, 52,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549.704 acciones a 30-jun-2026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Lauri M. Shanahan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Anne Spangenberg (presidenta de UGG)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Robin Spring-Green (presidenta de HOKA)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Angela Ogbechie (directora de cadena de suministro),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declarada de Caroti en FY2026 fue de 11,90 M USD: 1,24 M de sueldo, 3,61 M de bonus anual y 7,00 M en acciones; el fijo es el 12 % de la remuneración objetivo [21]. El bonus anual pesa un 70 % el beneficio operativo consolidado y un 30 % las ventas, y pagó el 173 % del objetivo; en julio de 2025 su bonus objetivo subió del 150 % al 175 % del sueldo [21]. El 60 % de las acciones son PSU a tres años ligadas al beneficio antes de impuestos (50 %) y a las ventas (50 %), con un modificador de TSR relativo de ±25 % que no suma si el TSR es negativo; tope del 200 % [21]. No hay métrica de ROIC ni de flujo de caja. Las PSU de 2024 vencieron al 200 % [21]. Hay cláusula de recuperación (clawback) conforme a la SEC y la NYSE, también por mala conducta grave; la indemnización por cambio de control es de doble condición y sin compensación fiscal [21]. La ratio frente al empleado mediano (51.638 USD) es de 231 a 1 [21].</w:t>
      </w:r>
    </w:p>
    <w:p>
      <w:pPr>
        <w:pStyle w:val="Heading2"/>
      </w:pPr>
      <w:r>
        <w:t xml:space="preserve">Operaciones vinculadas, estructura de control y defensas</w:t>
      </w:r>
    </w:p>
    <w:p>
      <w:pPr>
        <w:spacing w:after="100"/>
      </w:pPr>
      <w:r>
        <w:t xml:space="preserve">No hay accionista de control: los mayores son gestoras de fondos (BlackRock con el 10,5 % y Vanguard con el 7,8 %), y consejeros y directivos suman el 0,4 % [21]. Hay una sola clase de acciones con un voto por acción, el consejo se elige entero cada año (sin escalonar) y por mayoría de votos emitidos, con dimisión obligatoria del consejero que no la obtenga [21]. Nueve de los diez consejeros son independientes, también la presidenta, y las tres comisiones están formadas solo por independientes [21]. La única operación vinculada declarada es el empleo, desde marzo de 2025, de un hijo o hija de la consejera Lauri Shanahan, con más de 120.000 USD al año [21]. Los estatutos fijan entre 1 y 11 consejeros [21]. Está prohibido cubrir o pignorar acciones de la empresa [21].</w:t>
      </w:r>
    </w:p>
    <w:p>
      <w:pPr>
        <w:pStyle w:val="Heading2"/>
      </w:pPr>
      <w:r>
        <w:t xml:space="preserve">Señales de alerta</w:t>
      </w:r>
    </w:p>
    <w:p>
      <w:pPr>
        <w:pStyle w:val="ListParagraph"/>
        <w:numPr>
          <w:ilvl w:val="0"/>
          <w:numId w:val="2"/>
        </w:numPr>
        <w:spacing w:after="60"/>
      </w:pPr>
      <w:r>
        <w:t xml:space="preserve">Cambio de presidencia del consejo en mayo de 2025: Cindy Davis sustituyó a Michael Devine, que se jubiló tras 14 años en el consejo; el 8-K dice que no hubo desacuerdos [47].</w:t>
      </w:r>
    </w:p>
    <w:p>
      <w:pPr>
        <w:pStyle w:val="ListParagraph"/>
        <w:numPr>
          <w:ilvl w:val="0"/>
          <w:numId w:val="2"/>
        </w:numPr>
        <w:spacing w:after="60"/>
      </w:pPr>
      <w:r>
        <w:t xml:space="preserve">Votos en contra al alza: el say-on-pay tuvo un 92,2 % a favor en 2024, un 92,7 % en 2025 y un 89,7 % en 2026, sobre los votos emitidos con abstenciones; la reelección de Lauri Shanahan recibió un 14 % en contra en 2026 (15,4 M de acciones), un 10,4 % en 2025 y un 3,5 % en 2024 [43, 44, 45].</w:t>
      </w:r>
    </w:p>
    <w:p>
      <w:pPr>
        <w:pStyle w:val="ListParagraph"/>
        <w:numPr>
          <w:ilvl w:val="0"/>
          <w:numId w:val="2"/>
        </w:numPr>
        <w:spacing w:after="60"/>
      </w:pPr>
      <w:r>
        <w:t xml:space="preserve">La ratificación de KPMG recibió un 9,4 % en contra en 2026 (11,1 M de acciones), una cifra alta para este tipo de votación [43].</w:t>
      </w:r>
    </w:p>
    <w:p>
      <w:pPr>
        <w:pStyle w:val="ListParagraph"/>
        <w:numPr>
          <w:ilvl w:val="0"/>
          <w:numId w:val="2"/>
        </w:numPr>
        <w:spacing w:after="60"/>
      </w:pPr>
      <w:r>
        <w:t xml:space="preserve">Dos demandas colectivas de consumidores por subidas de precio vinculadas a los aranceles y por los posibles reembolsos de esos aranceles; la empresa dice que se defenderá con firmeza [2].</w:t>
      </w:r>
    </w:p>
    <w:p>
      <w:pPr>
        <w:pStyle w:val="ListParagraph"/>
        <w:numPr>
          <w:ilvl w:val="0"/>
          <w:numId w:val="2"/>
        </w:numPr>
        <w:spacing w:after="60"/>
      </w:pPr>
      <w:r>
        <w:t xml:space="preserve">FMR (Fidelity) bajó del 13,8 % al 4,3 % entre noviembre de 2025 y mayo de 2026 [51, 52, 53].</w:t>
      </w:r>
    </w:p>
    <w:p>
      <w:pPr>
        <w:pStyle w:val="ListParagraph"/>
        <w:numPr>
          <w:ilvl w:val="0"/>
          <w:numId w:val="2"/>
        </w:numPr>
        <w:spacing w:after="60"/>
      </w:pPr>
      <w:r>
        <w:t xml:space="preserve">Ninguna compra de consejeros ni directivos en el mercado en los 12 meses anteriores al corte; solo ventas, por 1,17 M USD en total [54].</w:t>
      </w:r>
    </w:p>
    <w:p>
      <w:pPr>
        <w:pStyle w:val="ListParagraph"/>
        <w:numPr>
          <w:ilvl w:val="0"/>
          <w:numId w:val="2"/>
        </w:numPr>
        <w:spacing w:after="60"/>
      </w:pPr>
      <w:r>
        <w:t xml:space="preserve">El 10-K de FY2026 no recoge ningún litigio material, ni demandas colectivas de valores, tras la caída de la acción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23-jul-2026, con el 1T27, Deckers mantuvo la guía de ventas de FY2027 (5.860-5.910 M USD, +7-8 %) y subió el BPA diluido a 7,35-7,50 USD, el margen bruto a algo más del 56,5 % y el operativo a algo más del 21,5 %, con gastos generales en torno al 35 % de las ventas y un tipo del 23 % [4]. La guía supone un arancel del 12,5 % concentrado en el 3T y el 4T, recompras por el 80 % del flujo libre y ninguna devolución de los aranceles IEEPA pagados [4, 19]. En mayo de 2026 dio un marco para FY2028-FY2030: ventas con crecimiento de un dígito alto, HOKA de dos dígitos bajos, UGG de un dígito medio, margen operativo «en la zona baja del 20 %» y BPA creciendo a dos dígitos bajos [5]. Ha batido su guía anual en FY2022-FY2026 [5, 7, 17, 18, 57, 58,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 analistas, a 9-oct-2026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 analistas, a 9-oct-2026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27 analistas, a 9-oct-2026 [60]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11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184,00</w:t>
            </w:r>
          </w:p>
        </w:tc>
      </w:tr>
    </w:tbl>
    <w:p>
      <w:pPr>
        <w:spacing w:after="160" w:before="0"/>
      </w:pPr>
    </w:p>
    <w:p>
      <w:pPr>
        <w:pStyle w:val="Heading2"/>
      </w:pPr>
      <w:r>
        <w:t xml:space="preserve">Revisiones de estimaciones</w:t>
      </w:r>
    </w:p>
    <w:p>
      <w:pPr>
        <w:spacing w:after="100"/>
      </w:pPr>
      <w:r>
        <w:t xml:space="preserve">Ni MarketScreener ni Stock Analysis publican gratis la serie de estimaciones de hace 3 y 12 meses (solo gráficos sin cifras). El único cambio fechado es la guía: el 23-jul-2026 la empresa subió el BPA de FY2027 en cinco centavos, a 7,35-7,50 USD, y el margen operativo a algo más del 21,5 % [4]. El consenso de BPA de FY2027 (7,53 USD en MarketScreener; 7,52 USD en Stock Analysis, rango 7,18-7,99) queda en el extremo alto de la guía [60, 62]. Solo MarketScreener da estimaciones completas de EBITDA y EBIT; Stock Analysis confirma ventas (5.880 M) y BPA de FY2027 y las 27 opiniones [62].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bl>
    <w:p>
      <w:pPr>
        <w:spacing w:after="160" w:before="0"/>
      </w:pPr>
    </w:p>
    <w:p>
      <w:pPr>
        <w:spacing w:after="100"/>
      </w:pPr>
      <w:r>
        <w:t xml:space="preserve">Deckers es una de las acciones con mejor rentabilidad de la década (23,4 % anual en diez años frente al 15,6 % del S&amp;P 500 [65]), pero lo ha devuelto en los dos últimos años: −49 % en 2025 y −20 % en 2026 hasta el 9 de octubre, frente a +17,7 % y +15,1 % del índice [65]. La caída máxima, del 65,3 %, va del 30-ene-2025 al 15-sep-2026 [65]. Las mayores caídas diarias de los últimos doce meses coinciden con resultados: −15,2 % el 24-oct-2025 y −6,1 % el 23-jul-2026, día en que mantuvo la guía de ventas aunque subió el BPA [4, 65]. La acción marcó su mínimo de 52 semanas (77,20 USD) el 30-sep-2026 [65]. La posición corta subió de 9,46 M de acciones (15-sep) a 11,81 M (30-sep-2026), el 8,7 % del capital flotante, con 3,2 días para cubrir [64].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Deckers cotiza en mínimos de diez años: 7,4 veces el EBITDA de los últimos 12 meses frente a una media de 10,7 veces (mínimo anterior: 8,6) y un PER de 11,8 veces frente a una media de 20,5 (mínimo: 14,0), un 42 % de descuento. No es que el beneficio haya caído (subió de 966 M en FY2025 a 1.024 M en FY2026) ni que haya cambiado el balance: lo que ha cambiado es el crecimiento esperado. Entre FY2021 y FY2025 las ventas crecieron un 15-24 % al año con HOKA al 20-30 % [1]; ahora la guía da un 7-8 % y HOKA creció un 7,7 % en el 1T27 [4]. El mercado ha pasado a valorar a Deckers como una marca madura de calzado, al nivel de Crocs (6,5 veces) [74], y no como la de crecimiento que fue. El tipo a 10 años del 5,24 % también pesa sobre todos los múltiplos [66].</w:t>
      </w:r>
    </w:p>
    <w:p>
      <w:pPr>
        <w:pStyle w:val="Heading1"/>
      </w:pPr>
      <w:r>
        <w:t xml:space="preserve">18. Comparables cotizados</w:t>
      </w:r>
    </w:p>
    <w:p>
      <w:pPr>
        <w:pStyle w:val="Confianza"/>
        <w:spacing w:after="100"/>
      </w:pPr>
      <w:r>
        <w:t xml:space="preserve">Confianza: Media</w:t>
      </w:r>
    </w:p>
    <w:p>
      <w:pPr>
        <w:spacing w:after="100"/>
      </w:pPr>
      <w:r>
        <w:t xml:space="preserve">Ocho marcas cotizadas de calzado y ropa deportiva o de estilo de vida: las rivales de HOKA en running (On, Asics, Nike, adidas), las de UGG en calzado de confort (Birkenstock, Crocs) y dos marcas premium de ropa técnica (Lululemon, Amer Sports). Quedan fuera Skechers (no cotiza desde la compra de 3G Capital en 2025), Brooks y New Balance (no cotizan), y Puma y Wolverine por tamaño y márgenes muy inferiores [60]. Todas las cifras son de MarketScreener a 9-oct-2026, con la misma definición de EBITDA para los últimos y los próximos 12 meses [70, 71, 72, 73, 74, 75, 76,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8,6x / 11,1x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10,8x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16,1x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2,0x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9,0 + 0,04 × crecimiento; R² = 0,01. El crecimiento explica poco los múltiplos de estos comparables (R² &lt; 0,3): la regresión no se usa en la valoración.</w:t>
      </w:r>
    </w:p>
    <w:p>
      <w:pPr>
        <w:spacing w:after="100"/>
      </w:pPr>
      <w:r>
        <w:t xml:space="preserve">Deckers cotiza a 6,9 veces el EBITDA de los próximos 12 meses y 10,4 veces el beneficio, frente a medianas de 8,6 y 16,1 veces, con un margen EBITDA más alto (24,0 % frente a 19,8 %), caja neta y un crecimiento algo menor (8,1 % frente a 10,3 %). Solo Lululemon (4,5 veces, con ventas a la baja) y Crocs (6,5 veces, con deuda y HEYDUDE en caída) cotizan más baratas [74, 76]. Las que crecen a doble dígito (On, Asics, Amer Sports) cotizan a 9,7-12,4 veces. La mediana del EV/EBITDA da 101,26 USD y la del PER 128,51; su media, 114,89 USD. La muestra es frágil (la mediana va de 7,6 a 9,7 veces según el comparable que se quite) y el crecimiento no explica los múltiplos: pesan un 20 %. El descuento de Deckers frente a On y Asics se justifica por el frenazo de HOKA; frente a la mediana, no, con un ROIC muy superior.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USA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USD por acción en efectivo, un 30 % sobre la media ponderada de 15 sesiones; ventas anuales de 9.000 M USD [81]. Greenhill aplicó 8-11 veces el EBITDA de los últimos 12 meses para valorar la empresa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2.500 M USD (2.400 M de fondos propios); 6,1 veces el EBITDA ajustado de 2024; prima del 66 % sobre la media de 60 sesiones [82]. Excluida: es un distribuidor, no una marca.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Helly Hansen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Kontoor Brands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noruega de ropa técnica de exterior; 16,8 veces el EBITDA de los últimos 12 meses según Greenhill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en efectivo [83]; ventas de Supreme de 539,0 M USD en el ejercicio de VF terminado el 30-mar-2024 [84]. Múltiplo de ventas calculado: 1.500 / 539,0.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Authentic Brands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ropa deportiva vendida por Hanesbrands; 11,1 veces el EBITDA de los últimos 12 meses según Greenhill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HEYDUDE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Crocs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M USD (2.050 M en efectivo y 450 M en acciones) [85]; ventas proforma de 2021 de 700-750 M USD y margen operativo no GAAP del 26 % [86]. Múltiplo de ventas sobre el punto medio (725 M).</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Sweaty Betty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Wolverine World Wide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410 M USD en efectivo [87]; 16,0 veces el EBITDA de los últimos 12 meses según Greenhill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base de 2.100 M USD más hasta 300 M ligados a objetivos [88]; VF esperaba al menos 500 M USD de ventas en su ejercicio 2022 [89]. Múltiplo sobre esas ventas esperadas, no sobre las pasadas.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 (13,6x – 16,4x)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143,01 – 170,67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marcas de calzado y ropa se han pagado a 11-17 veces el EBITDA (Champion 11,1; Sweaty Betty 16,0; Helly Hansen 16,8) y las de moda a 2,8-4,2 veces las ventas (Supreme, HEYDUDE) [80, 83, 84, 85, 86, 87, 88, 89]. La mediana de 16,0 veces daría 166,79 USD, el doble del precio, pero son marcas pequeñas compradas con prima de control. La referencia más útil es Skechers: 3G Capital pagó un 30 % de prima y la tasación de Greenhill usó 8-11 veces el EBITDA [80, 81]. Deckers no tiene accionista de control (los consejeros y directivos tienen el 0,4 %) y su capitalización (11.332 M) está al alcance del capital privado, pero no hay indicios de una operación. Peso: 0 %; sirve como suelo de valor de las marcas, no como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+7,5 %, el centro de la guía (5.860-5.910 M) y del consenso (5.881 M) [4, 60]. FY2028e +7,0 % y FY2029e +6,5 %, algo por debajo del consenso (+7,3 % los dos) y del marco de la empresa («un dígito alto»), porque HOKA ha bajado del +15,9 % al +7,7 % en un trimestre [1, 5, 60]. Después baja hasta el 3,5 % de FY2034e. La media (5,5 %) es menos de la mitad del 13,2 % anual de FY2017-FY2026 y está cerca del 5,2 % que se prevé para el calzado deportivo mundial [34]. El crecimiento sale del exterior (+26,8 % en FY2026) y de HOKA; EE. UU. se queda casi plano [1].</w:t>
      </w:r>
    </w:p>
    <w:p>
      <w:pPr>
        <w:keepNext/>
        <w:spacing w:after="100"/>
      </w:pPr>
      <w:r>
        <w:rPr>
          <w:b/>
          <w:bCs/>
        </w:rPr>
        <w:t xml:space="preserve">Márgenes.</w:t>
      </w:r>
    </w:p>
    <w:p>
      <w:pPr>
        <w:spacing w:after="100"/>
      </w:pPr>
      <w:r>
        <w:t xml:space="preserve">Margen EBITDA del 23,1 % en FY2027e, por debajo del 24,5 % de FY2026, porque los aranceles se pagan todo el año y la guía da un margen operativo «algo mejor que el 21,5 %» [4]. Se queda en el 23,0-23,2 % hasta FY2034e, en línea con el consenso (23,2 %) y con la zona baja del 20 % de margen operativo del marco FY2028-FY2030 [5, 60]. Es el margen de una marca premium: el bruto (57,7 %) supera en 15 puntos al de Nike y en 6 al de adidas [25, 30]. No damos ninguna recuperación por la devolución de aranceles.</w:t>
      </w:r>
    </w:p>
    <w:p>
      <w:pPr>
        <w:keepNext/>
        <w:spacing w:after="100"/>
      </w:pPr>
      <w:r>
        <w:rPr>
          <w:b/>
          <w:bCs/>
        </w:rPr>
        <w:t xml:space="preserve">Inversión y circulante.</w:t>
      </w:r>
    </w:p>
    <w:p>
      <w:pPr>
        <w:spacing w:after="100"/>
      </w:pPr>
      <w:r>
        <w:t xml:space="preserve">Capex del 2,5 % de las ventas en FY2027e (guía de 145-155 M, que incluye la implantación de sistemas en la nube) que baja al 2,0 %, por encima del 1,5-2,1 % de FY2024-FY2026 [1, 60]. La amortización pasa del 1,4 % al 1,9 % de las ventas, por debajo del capex en todos los años. Circulante del 8,0 % de las ventas, entre el 7,7 % de FY2026 y el 8,2 % de FY2025, medido a 31 de marzo (en junio es mayor por la campaña de UGG) [1, 2]. Tipo impositivo del 23 %, el de la guía [4]. Los alquileres de las tiendas ya están en el EBITDA (US GAAP).</w:t>
      </w:r>
    </w:p>
    <w:p>
      <w:pPr>
        <w:keepNext/>
        <w:spacing w:after="100"/>
      </w:pPr>
      <w:r>
        <w:rPr>
          <w:b/>
          <w:bCs/>
        </w:rPr>
        <w:t xml:space="preserve">Coste del capital.</w:t>
      </w:r>
    </w:p>
    <w:p>
      <w:pPr>
        <w:spacing w:after="100"/>
      </w:pPr>
      <w:r>
        <w:t xml:space="preserve">Tasa libre del 5,24 %, el Tesoro de EE. UU. a 10 años del 9-oct-2026 [66]. Beta de 1,07, la ajustada (Blume) mensual a 5 años frente al S&amp;P 500; la de Damodaran para calzado, corregida por caja, es 1,00 [65, 69]. Prima de mercado del 5,5 % y ninguna prima adicional: Deckers no tiene deuda, ni accionista de control, ni riesgo país relevante. Sin deuda, el WACC es el coste de los fondos propios: 11,13 %. Con la prima implícita del mercado (4,20 %), el 9,73 % [68].</w:t>
      </w:r>
    </w:p>
    <w:p>
      <w:pPr>
        <w:keepNext/>
        <w:spacing w:after="100"/>
      </w:pPr>
      <w:r>
        <w:rPr>
          <w:b/>
          <w:bCs/>
        </w:rPr>
        <w:t xml:space="preserve">Valor terminal.</w:t>
      </w:r>
    </w:p>
    <w:p>
      <w:pPr>
        <w:spacing w:after="100"/>
      </w:pPr>
      <w:r>
        <w:t xml:space="preserve">Crecimiento a perpetuidad del 3,0 %: unos 2,5 puntos de inflación del dólar y algo de crecimiento real, por debajo de la tasa libre menos medio punto (4,74 %). El múltiplo de salida implícito es de 8,8 veces el EBITDA, por encima de los 6,9 de hoy y en línea con la mediana de los comparables (8,6 veces) y con el mínimo de diez años de la propia Deckers (8,6). El valor terminal es el 57 %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M (5 % del NOPAT)</w:t>
            </w:r>
          </w:p>
        </w:tc>
      </w:tr>
    </w:tbl>
    <w:p>
      <w:pPr>
        <w:spacing w:after="160" w:before="0"/>
      </w:pPr>
    </w:p>
    <w:p>
      <w:pPr>
        <w:spacing w:after="100"/>
      </w:pPr>
      <w:r>
        <w:t xml:space="preserve">La proyección apenas necesita inversión neta de la amortización (reinversión acumulada de 502 M, el 5 % del NOPAT, con un capex bruto medio del 2,2 %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+7-8 % [4]. Precio: subidas por aranceles ya aplicadas en FY2026 (ingreso medio por par +3,4 %) [1]. Volumen: unidades +6,2 % en FY2026; HOKA +7,7 % y venta directa +13 % en el 1T27 [1,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FY2028-FY2030: un dígito alto [5]. Volumen por el exterior (+26,8 % en FY2026) y 20-25 tiendas HOKA al año [1, 20]; precio a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consenso (+7,3 %) [60]: menos tirón de HOKA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línea con el 5,2 % previsto para el calzado deportivo mundial [34].</w:t>
            </w:r>
          </w:p>
        </w:tc>
      </w:tr>
    </w:tbl>
    <w:p>
      <w:pPr>
        <w:spacing w:after="160" w:before="0"/>
      </w:pPr>
    </w:p>
    <w:p>
      <w:pPr>
        <w:spacing w:after="100"/>
      </w:pPr>
      <w:r>
        <w:t xml:space="preserve">Sí. El 5,5 % anual del caso base no necesita capital (la reinversión neta es el 5 % del beneficio operativo después de impuestos) y queda muy por debajo de lo demostrado: un 13,2 % anual en FY2017-FY2026, sin compras, y un 9,8 % en FY2026 con aranceles [1]. El poder de precios está probado: el margen bruto pasó del 51,5 % de FY2019 al 57,7 % y solo cedió 20 puntos básicos con los aranceles, que se trasladaron con precio [1]. Las dos marcas tienen recorrido fuera de EE. UU., que ya es el 41,7 % de las ventas y crece al 27 %. El riesgo no es la capacidad sino la marca: si HOKA pierde el favor del corredor, es el escenario bajista. No se calcula cuota implícita porque la cuota publicada es solo la de HOKA en running.</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(WACC: 11,1 %)</w:t>
            </w:r>
          </w:p>
        </w:tc>
      </w:tr>
    </w:tbl>
    <w:p>
      <w:pPr>
        <w:spacing w:after="160" w:before="0"/>
      </w:pPr>
    </w:p>
    <w:p>
      <w:pPr>
        <w:spacing w:after="100"/>
      </w:pPr>
      <w:r>
        <w:t xml:space="preserve">El DCF da 109,57 USD por acción, un 32,2 % por encima del precio de 82,89 USD, con un 57 % del valor en el terminal y 1.570 M de caja neta (11,5 USD por acción). </w:t>
      </w:r>
      <w:r>
        <w:rPr>
          <w:b/>
        </w:rPr>
        <w:t xml:space="preserve">El precio descuenta una Deckers que no vuelve a crecer.</w:t>
      </w:r>
      <w:r>
        <w:t xml:space="preserve"> El DCF inverso dice que, con nuestros márgenes, los 82,89 USD suponen unas ventas planas (−0,1 % anual) en FY2027e-FY2034e, frente al 5,5 % de nuestro caso base, al 7-8 % de la guía de este año y al 5,2 % previsto para el mercado; o, con nuestro crecimiento, un margen EBITDA del 17,4 % en vez del 23,0 %, el de FY2020-FY2022, antes del despegue de HOKA. Comprar a este precio rinde un 14,2 % anual si se cumple el caso base, frente al WACC del 11,1 % y al 9,7 % que hoy pide el mercado. El supuesto que más pesa es el margen: con dos puntos menos y dos menos de crecimiento, el valor sería de 90,50 USD, todavía un 9 %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sigue el camino de HEYDUDE en Crocs o de Nike en FY2025: On y Asics le quitan el corredor y la venta mayorista se para. UGG vuelve a su ciclo de moda, como en FY2017, cuando el margen EBITDA del grupo sin deterioros fue del 9,4 % [12, 13]. Las ventas se quedan planas siete años y el margen EBITDA baja al 19 %.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crece a un dígito alto con el exterior y la venta directa, UGG a un dígito medio y EE. UU. casi plano. Los aranceles quedan en el 10-15 % y el margen EBITDA se mantiene en el 23 %. Ventas de 8.393 M en FY2034e.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HOKA vuelve a crecer a doble dígito fuera de EE. UU. y gana cuota a Nike en running; UGG consolida las categorías fuera del invierno. Se cobran los aranceles IEEPA y el margen EBITDA recupera el 24 % de FY2026.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8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102,51 USD (+23,7 %).</w:t>
      </w:r>
    </w:p>
    <w:p>
      <w:pPr>
        <w:spacing w:after="100"/>
      </w:pPr>
      <w:r>
        <w:t xml:space="preserve">La asimetría es favorable: el alcista vale 126,83 USD (+53,0 %) y el bajista 67,53 (−18,5 %), 2,86 veces. El bajista no es cosmético: deja las ventas planas siete años y el margen EBITDA en el 19 %, lo que ya le pasó a Deckers con UGG antes de FY2018 y a Crocs con HEYDUDE. La pérdida es limitada porque el precio ya descuenta casi eso y la caja neta pone 11,5 USD por acción de suelo. Un bajista peor, con el margen de FY2017, llevaría la acción a unos 55-60 USD por múltiplos (Lululemon cotiza a 4,5 veces el EBITDA). El valor ponderado es de 102,51 USD (+23,7 %). Con la prima de riesgo que pide hoy el mercado, el bajista sube a 77,56 USD y el alcista a 151,15.</w:t>
      </w:r>
    </w:p>
    <w:p>
      <w:pPr>
        <w:pStyle w:val="Heading1"/>
      </w:pPr>
      <w:r>
        <w:t xml:space="preserve">22. Suma de partes</w:t>
      </w:r>
    </w:p>
    <w:p>
      <w:pPr>
        <w:pStyle w:val="Confianza"/>
        <w:spacing w:after="100"/>
      </w:pPr>
      <w:r>
        <w:t xml:space="preserve">Confianza: Media</w:t>
      </w:r>
    </w:p>
    <w:p>
      <w:pPr>
        <w:spacing w:after="100"/>
      </w:pPr>
      <w:r>
        <w:t xml:space="preserve">No se usa. HOKA y UGG publican resultado de segmento (911 M y 1.045 M en FY2026), pero 710 M de gastos corporativos no se asignan, y una suma de partes dependería de cómo se repartan [1]. Además, las dos marcas comparten balance, canal mayorista y cadena de suministro; no hay razón para pensar que el mercado infravalora una de ellas por estar dentro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8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108,87 USD (+31,3 % sobre 82,89).</w:t>
      </w:r>
    </w:p>
    <w:p>
      <w:pPr>
        <w:spacing w:after="100"/>
      </w:pPr>
      <w:r>
        <w:t xml:space="preserve">Pesos: DCF 55 %, escenarios 25 %, comparables 20 % y transacciones y suma de partes 0 %. El DCF manda porque el negocio es sencillo de proyectar: sin deuda, sin compras y con una caja que convierte más del 100 % del beneficio [1]. Los escenarios pesan un 25 % porque el riesgo de marca (HOKA y UGG) es el que decide la inversión. Los comparables (114,89 USD) pesan un 20 % porque la muestra es frágil y el crecimiento no explica sus múltiplos. Las transacciones (166,79 USD) no pesan: son marcas pequeñas con prima de control y Deckers no está en venta. Todos los métodos quedan por encima del precio: el más bajo, la mediana del EV/EBITDA de los próximos 12 meses, da 101,26 USD. El valor objetivo es de 108,87 USD (+31,3 %); con la prima implícita del mercado, 124,61 USD. La caja del puente es la de junio, estacionalmente baja (1.603 M frente a 1.907 M en marzo).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(10.3x) × 1.1 (tope: la mediana de 5 años, 15.9x,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+73,1 %</w:t>
            </w:r>
          </w:p>
        </w:tc>
      </w:tr>
    </w:tbl>
    <w:p>
      <w:pPr>
        <w:spacing w:after="160" w:before="0"/>
      </w:pPr>
    </w:p>
    <w:p>
      <w:pPr>
        <w:spacing w:after="100"/>
      </w:pPr>
      <w:r>
        <w:rPr>
          <w:b/>
          <w:bCs/>
        </w:rPr>
        <w:t xml:space="preserve">Objetivo a 12 meses (ponderado):</w:t>
      </w:r>
      <w:r>
        <w:t xml:space="preserve"> 95,31 USD · rentabilidad +15,0 % (base +16,0 %) · señal Mantener.</w:t>
      </w:r>
    </w:p>
    <w:p>
      <w:pPr>
        <w:spacing w:after="100"/>
      </w:pPr>
      <w:r>
        <w:t xml:space="preserve">Para comparar, con la regla v2 (historia al cierre, mismo precio): 8,8x / 10,3x / 13,4x, 4,5 % Mantener; con el tope anterior del base (×1,3, 14-oct mediodía): 27,3 % Comprar. Decide la regla vigente (v3 con tope ×1,1; METODO-VIGENTE.md).</w:t>
      </w:r>
    </w:p>
    <w:p>
      <w:pPr>
        <w:keepNext/>
        <w:spacing w:after="100"/>
      </w:pPr>
      <w:r>
        <w:rPr>
          <w:b/>
          <w:bCs/>
        </w:rPr>
        <w:t xml:space="preserve">Frente al consenso (solo contraste).</w:t>
      </w:r>
    </w:p>
    <w:p>
      <w:pPr>
        <w:spacing w:after="100"/>
      </w:pPr>
      <w:r>
        <w:t xml:space="preserve">Nuestro BPA base de FY2029e (8,51) se separa un -11,0 % del consenso (9,56) y nuestro precio base (87,65) un -27,2 % del objetivo medio de los analistas (120,41).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108,87 (+31,3 %) frente al objetivo a 12 meses ponderado 86,61 (+4,5 % con dividendo; base +5,7 %).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(jul-sep 2026) y revisión de la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HOKA (consenso implícito +doble dígito bajo) y efecto del arancel del 12,5 % en el margen; cada trimestre con HOKA por debajo del 8 % pesa en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(oct-dic 2026), el trimestre de Navidad (35,8 % de las ventas del grupo en FY2026)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demanda de UGG y de la elasticidad al precio con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 los aranceles IEEPA pagados (≈ 120 M brutos) por el proceso CAPE de la CBP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0,9 USD por acción de caja no incluida en la guía ni en nuestro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 confirmación del marco FY2028-FY2030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marco mantenido de crecimiento de un dígito alto contradice el crecimiento nulo que descuenta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Investigaciones de la sección 301 de la USTR para sustituir los aranceles anulados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arancel mayor que el 12,5 % supuesto en la guía restaría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autorización pendiente de 4.711 M (el 42 % de la capitalización) y el 80 % del flujo libre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precio actual, cada 1.000 M recompran un 9 %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estructural de HOKA frente a On, Asics y Nike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(escenario bajista: 67,53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Exterior +26,8 % y venta directa +13 % en el 1T27; HOKA aún es pequeña fuera de EE. UU.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por debajo del +5 % dos trimestres seguidos o caída de la cartera mayorista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 vuelve a su ciclo de moda (como en FY2017)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(2 puntos menos de margen y de crecimiento: 90,50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hombre, sandalias y zapatillas; UGG ya es solo el 50 % de las ventas del grupo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UGG en el 3T27 por debajo del año anterior o más promociones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Vietnam e Indonesia más altos o permanentes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punto de margen EBITDA (104,77 USD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reparto de costes con los fabricantes: el margen bruto solo cedió 20 pb en FY2026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sección 301 con tipos por encima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débil en EE. UU. y presión de los grandes mayoristas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punto menos de crecimiento: 104,13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41,7 % de las ventas ya es exterior y el 41,4 % es venta directa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EE. UU. negativas o un cliente por encima del 20 % de las cuentas a cobrar (18,5 % hoy)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a precios altos que destruyen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pagó 1.075 M a 102,43 USD en FY2026, un 24 % por encima del precio actual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actual la recompra rinde un 9,9 % de flujo libre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por encima del valor objetivo o con deuda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consumidores por las subidas de precio ligadas a los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la empresa no ha provisionado nada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se defenderá</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las demandas colectivas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consumo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moneda local y crecimiento del exterior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internacionales por debajo del +10 %</w:t>
            </w:r>
          </w:p>
        </w:tc>
      </w:tr>
    </w:tbl>
    <w:p>
      <w:pPr>
        <w:spacing w:after="160" w:before="0"/>
      </w:pPr>
    </w:p>
    <w:p>
      <w:pPr>
        <w:pStyle w:val="Heading2"/>
      </w:pPr>
      <w:r>
        <w:t xml:space="preserve">Pre-mortem</w:t>
      </w:r>
    </w:p>
    <w:p>
      <w:pPr>
        <w:spacing w:after="100"/>
      </w:pPr>
      <w:r>
        <w:t xml:space="preserve">Octubre de 2029: la acción ha caído un 40 %, a unos 50 USD. La historia más probable empieza en el 3T27: HOKA crece solo un 3 % en Navidad y la dirección rebaja la guía. Los corredores, que llevaron a HOKA de 223 M a 2.587 M de ventas en siete años, se pasan a On y Asics, que lanzan zapatillas de amortiguación máxima más baratas, y Nike recupera las tiendas especializadas. En FY2028 HOKA cae un 5 % en EE. UU. y la empresa tiene que dar descuentos para limpiar inventario. Al mismo tiempo, el ciclo de UGG se gira tras cinco años de crecimiento, como en FY2017, y el margen EBITDA baja del 24 % al 17 %. Deckers sigue recomprando acciones a 70-80 USD con la caja y se queda sin colchón. El mercado deja de verla como una marca de crecimiento y la valora como a Lululemon, a 4,5 veces el EBITDA. Los indicadores que lo habrían anticipado: el paso de HOKA del +15,9 % al +7,7 % en el 1T27, la caída de las ventas comparables de la venta directa en el 1T26 y el 2T26, y la subida de la posición corta al 8,7 % [1, 14, 64].</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 (Morningstar),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12,24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Tres asuntos pesan en las cifras. </w:t>
      </w:r>
      <w:r>
        <w:rPr>
          <w:b/>
        </w:rPr>
        <w:t xml:space="preserve">Cadena de suministro y trabajo</w:t>
      </w:r>
      <w:r>
        <w:t xml:space="preserve">: toda la producción está subcontratada en el sudeste asiático; Deckers audita cada año el 100 % de las fábricas, declara cero casos de trabajo infantil o forzoso y un índice de accidentes con baja inferior a la media del sector [1, 41]. </w:t>
      </w:r>
      <w:r>
        <w:rPr>
          <w:b/>
        </w:rPr>
        <w:t xml:space="preserve">Clima</w:t>
      </w:r>
      <w:r>
        <w:t xml:space="preserve">: tiene objetivos de reducción de alcance 1, 2 y 3 validados con la iniciativa Science-Based Targets; la intensidad económica de las emisiones de alcance 3 bajó un 54,5 % frente a FY2019, y en FY2026 adoptó un plan de transición climática [1, 41]. </w:t>
      </w:r>
      <w:r>
        <w:rPr>
          <w:b/>
        </w:rPr>
        <w:t xml:space="preserve">Bienestar animal y materias primas</w:t>
      </w:r>
      <w:r>
        <w:t xml:space="preserve">: la piel de oveja de UGG viene sobre todo de Australia; en FY2025 usó 27,55 millones de pies cuadrados de piel de curtidurías certificadas por el Leather Working Group y trazó el 99,71 % hasta la planta de procesado [41]. Ya ha hecho su análisis de doble materialidad según las normas ESRS europeas [41].</w:t>
      </w:r>
    </w:p>
    <w:p>
      <w:pPr>
        <w:pStyle w:val="Heading2"/>
      </w:pPr>
      <w:r>
        <w:t xml:space="preserve">Controversias</w:t>
      </w:r>
    </w:p>
    <w:p>
      <w:pPr>
        <w:spacing w:after="100"/>
      </w:pPr>
      <w:r>
        <w:t xml:space="preserve">En el 10-K de FY2026 solo constan litigios ordinarios (laborales, propiedad intelectual, responsabilidad por producto) y demandas propias contra falsificaciones de UGG, sin efecto material esperado [1]. En el 10-Q de 1T27 aparecen dos demandas colectivas de consumidores por las subidas de precio ligadas a los aranceles y por la posible devolución de los aranceles IEEPA; la empresa dice que se defenderá [2]. No se han encontrado sanciones en los documentos revisados.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HOKA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creció HOKA en EE. UU. y en el exterior en el 1T27, y cómo evoluciona la cartera de pedidos mayoristas de primavera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HOKA (+7,7 % en el 1T27 frente a +15,9 % en FY2026) decide si el precio, que descuenta ventas planas, se equivoca [1,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importe neto de los ≈ 120 M de aranceles IEEPA espera cobrar, cuándo y cuánto tendrá que compartir con proveedores y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0,9 USD por acción fuera de la guía y hay dos demandas de consumidores sobre ese dinero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arancel del 12,5 % se trasladará a precio en la campaña de Navidad y con qué efecto en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unos 5 USD por acción en nuestro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ya las categorías fuera del invierno (hombre, sandalias, zapatillas) en las ventas de UGG?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defensa frente a un ciclo de moda como el que dejó el margen EBITDA en el 9,4 % en FY2017.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1.600-1.900 M de caja si la autorización pendiente es de 4.711 M y la acción rinde un 9,9 % de flujo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rinde por debajo del WACC; recomprar al precio actual crea más valor que en FY2025-FY2026.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cliente concentra el 18,5 % de las cuentas a cobrar y cuánto pesa en las ventas de HOKA?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subió desde el 13,6 % en un año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variable a largo plazo no mide rentabilidad (ROIC o flujo libre) y por qué votó en contra de KPMG un 9,4 % del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remuneración premia crecimiento y beneficio por acción, que las recompras inflan [21, 43].</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 comparativo)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 Nike, Lululemon, Deckers y On tras sus caídas y sitúa a Deckers segunda, detrás de On: sin señales de alarma más allá de la desaceleración de HOKA, con recompras a precios bajos y una valoración que ve preparada para una recuperación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(selección de valores de calzado)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a Deckers entre los cinco valores de calzado recomendados, como opción de crecimiento apoyada en HOKA y en el resurgir de UGG, con la advertencia de que el crecimiento puede frenarse en cualquier momento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(vía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de largo con Deckers: considera flojo el crecimiento de la demanda, ve márgenes operativos a la baja y una generación de caja inferior a la que esperaría; la valoración le parece razonable pero sin gran oportunidad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(Deckers frente a Crocs)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Prefiere Deckers a Crocs por el balance con caja neta, el mayor crecimiento y tener dos marcas que funcionan; señala que el mercado castiga cualquier frenazo de HOKA y que su crecimiento es la cifra que hay que vigilar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por los usuarios de la plataforma ve la acción infravalorada, apoyada en la campaña global de UGG «Born to Feel», el canal directo y la venta a precio completo; como riesgos cita las divisas y un mercado más promocional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(comentarios de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Predominan quienes ven la caída como punto de entrada por el PER bajo y los resultados por encima de lo previsto, frente a una minoría que espera más caídas; hay debate sobre si HOKA es demasiado cara y comparaciones favorables con Nike. Los comentarios no muestran fecha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TipRanks y MarketBeat (indicadores de particulares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indicador de carteras de particulares de TipRanks está en «neutral»; los titulares recientes mezclan la entrada de un conocido inversor contrario y una cobertura iniciada con «infraponderar» por BMO en septiembre [95]. MarketBeat recoge consenso de analistas en «mantener», posición corta al alza en el último mes y el aviso de Nike que arrastró al sector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tras la caída: punto de entrada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en parte: con la guía de BPA de FY2027 de 7,35-7,50 USD y un precio de 82,89 USD, el PER sobre guía ronda 11 veces (estimación propia), con 1.603 M de caja y sin deuda financiera. Pero el mercado no paga más porque el crecimiento se ha frenado; los particulares son más optimistas que el consenso de analistas, que está en «mantener» [93, 94, 98].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HOKA y competencia de On y ASICS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la tendencia: HOKA creció un 15,9 % en FY2026 pero solo un 7,7 % en el 1T27, y On y ASICS ganan terreno (Motley Fool prefiere On a Deckers) [92, 97]. Lo que se exagera es la idea de agotamiento: HOKA sigue creciendo y el negocio internacional del grupo creció un 26,8 % en FY2026.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consumo débil en EE. UU. (aviso de Nike)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es real en EE. UU. (ventas +0,2 % en FY2026 frente a +26,8 % internacional), pero el margen bruto del 57,7 % absorbe parte del golpe y hay unos 120 M de aranceles IEEPA pendientes de devolución que los foros apenas mencionan [93, 95].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caja neta como colchón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1.080 M de recompras en FY2026 y caja de 1.603 M sin deuda financiera; las recompras sostienen el BPA aunque las ventas crezcan poco [92, 97].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UGG: campaña global frente a riesgo de moda pasajera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campaña «Born to Feel» y la temporada de invierno (el 3T, el trimestre mayor) son el catalizador que esperan los alcistas; los bajistas temen un pico de popularidad. Con un mercado estadounidense plano en FY2026, el debate es razonable [96, 98, 99].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 y entrada de un inversor conocido antes de los resultados del 22 de octubre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posición corta del 8,7 % del flotante, al alza en el último mes, y la entrada de un conocido inversor contrario alimentan la especulación sobre los resultados del 2T27; no cambia los fundamentales, pero amplifica la volatilidad en ambos sentidos [93, 95].</w:t>
            </w:r>
          </w:p>
        </w:tc>
      </w:tr>
    </w:tbl>
    <w:p>
      <w:pPr>
        <w:spacing w:after="160" w:before="0"/>
      </w:pPr>
    </w:p>
    <w:p>
      <w:pPr>
        <w:spacing w:after="100"/>
      </w:pPr>
      <w:r>
        <w:t xml:space="preserve">El sentimiento está dividido, sin euforia ni capitulación. Los particulares y la prensa de inversión minorista ven la acción barata tras caer un 49 % en 2025 y un 20 % en 2026, más que una parte de los analistas (13 comprar, 11 mantener y 3 vender), con una cobertura nueva en «infraponderar» en septiembre [62, 92, 95, 96, 98]. La preocupación dominante coincide con los datos del informe: HOKA ha pasado de crecer un 15,9 % en FY2026 a un 7,7 % en el 1T27, con On y Asics creciendo al 20-30 %, y EE. UU. no crece (+0,2 %) [1, 4]. Lo que los foros apenas recogen es la devolución de unos 120 M de aranceles IEEPA, el 1,1 % de la capitalización. La posición corta (8,7 % del flotante) y los resultados del 22 de octubre son el catalizador que todos esperan [64]. No cambia la decisión: confirma que el precio ya recoge el miedo al frenazo de HOKA.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2 explicados. Fuentes: 99 (57 primarias); citas distintas en el texto: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7,7 % real: genera una variación de circulante de 49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R² de 0,01: el crecimiento no explica los múltiplos de estos comparables (Nike cotiza a 15,6 veces con ventas a la baja porque su EBITDA está en mínimos). No se usa la regresión; el valor por comparables sale de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7,6x a 9,7x según qué comparable se quite (90,36 a 112,15 por acción): la muestra es frágil; explícalo y no le des mucho peso. Explicación: La mediana del EV/EBITDA de los próximos 12 meses va de 7,6 a 9,7 veces según el comparable que se quite (Nike y Lululemon son los extremos). Por eso los comparables pesan solo un 20 % y se promedian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-20,1 %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 fuentes (57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Global Market Insights: solo publica 2025 y previsiones; 2) IMARC: solo 2025-2026 y previsión a 2034; 3) Circana EE. UU.: solo 2024-2025 (89.200 y 90.000 M USD, plano) y running 2024-2025, insuficiente para un TCAC de cinco años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HOKA en running (Circana o similar)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de Deckers: no da cuota; 2) notas de Circana publicadas en prensa: solo crecimientos de categoría, sin cuotas por marca; 3) estimación con las ventas de HOKA sobre el mercado de running de Global Market Insights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MSCI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de MSCI (solo para clientes); 2) búsqueda web: sin letra publicada; 3) informe Creating Change FY2025 de Deckers: no la cita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solo un dato sin empresa identificada; 2) informe Creating Change FY2025: no da la puntuación; 3) 10-K FY2026: no la cita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alertas (demandas colectivas de valores tras la caída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(Item 3 y nota de contingencias) y 10-Q del 1T27: solo dos demandas colectivas de consumidores por aranceles, ninguna de valores; 2) búsqueda web de demandas colectivas de accionistas en 2025-2026: sin resultados; 3) Stanford Securities Class Action Clearinghouse: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estimaciones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consensus (solo gráfico sin cifras); 2) Stock Analysis forecast (sin histórico de revisiones; años 2028-29 de pago); 3) guía de la empresa del 23-jul-2026 como único cambio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con hilos fechados (Stocktwits, Seeking Alpha,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(página del valor y API pública): 403; 2) Seeking Alpha (análisis y página del valor): 403; Yahoo Finance community sin mensajes visibles; 3) Benzinga y LetsRun (foro de running): 403; Reddit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Form 10-K del ejercicio FY2026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https://www.sec.gov/Archives/edgar/data/910521/000162828026037664/deck-20260331.htm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Form 10-Q del trimestre cerrado el 30-jun-2026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https://www.sec.gov/Archives/edgar/data/910521/000091052126000022/deck-20260630.htm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8-K (items 1.01 y 2.03): primera modificación del contrato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https://www.sec.gov/Archives/edgar/data/910521/000091052126000024/deck-20260827.htm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First Quarter Fiscal Year 2027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https://www.sec.gov/Archives/edgar/data/910521/000091052126000015/deckex991pressrelease-6302.htm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Fourth Quarter and Full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https://www.sec.gov/Archives/edgar/data/910521/000091052126000007/deckex991pressrelease-3312.htm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Third Quarter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https://www.sec.gov/Archives/edgar/data/910521/000091052126000002/deckex991pressrelease-1231.htm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Second Quarter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https://www.sec.gov/Archives/edgar/data/910521/000091052125000041/deckex991pressrelease-9302.htm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FY2025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https://www.sec.gov/Archives/edgar/data/910521/000091052125000017/deck-20250331.htm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FY2023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https://www.sec.gov/Archives/edgar/data/910521/000091052123000016/deck-20230331.htm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FY2022 (cerrado el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https://www.sec.gov/Archives/edgar/data/910521/000091052122000017/deck-20220331.htm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FY2020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https://www.sec.gov/Archives/edgar/data/910521/000091052120000016/deck331202010-k.htm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FY2018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https://www.sec.gov/Archives/edgar/data/910521/000091052118000015/deck331201810-k.htm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Deckers Outdoor Corporation (companyfacts, CIK 0000910521)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https://data.sec.gov/api/xbrl/companyfacts/CIK0000910521.json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historial de resultados y BPA de consenso por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https://www.marketbeat.com/stocks/NYSE/DECK/earnings/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Second Quarter Fiscal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https://www.sec.gov/Archives/edgar/data/910521/000091052124000056/deckex991pressrelease-9302.htm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Third Quarter Fiscal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https://www.sec.gov/Archives/edgar/data/910521/000091052125000002/deckex991pressrelease-1231.htm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Fourth Quarter and Full Fiscal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https://www.sec.gov/Archives/edgar/data/910521/000091052125000013/deckex991pressrelease-3312.htm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Reports First Quarter Fiscal Year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https://www.sec.gov/Archives/edgar/data/910521/000091052125000028/deckex991pressrelease-6302.htm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Q1 2027 Earnings Call Transcript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https://www.marketbeat.com/earnings/reports/2026-7-23-deckers-outdoor-co-stock/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Q4 2026 Earnings Call Transcript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https://www.marketbeat.com/earnings/reports/2026-5-21-deckers-outdoor-co-stock/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https://www.sec.gov/Archives/edgar/data/910521/000091052126000018/deck-20260724.htm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2005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https://www.sec.gov/Archives/edgar/data/910521/000095012906002462/v18036e10vk.htm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https://www.sec.gov/Archives/edgar/data/910521/000104746913002068/a2213206z10-k.htm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del ejercicio cerrado el 31-mar-2015 (FY2015)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https://www.sec.gov/Archives/edgar/data/910521/000091052115000018/deckfy2015331201510-k.htm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datos XBRL de los Form 10-K (FY2008-FY2026; último presentado el 15-jul-2026)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https://data.sec.gov/api/xbrl/companyfacts/CIK0000320187.json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datos XBRL del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https://data.sec.gov/api/xbrl/companyfacts/CIK0001334036.json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Birkenstock Holding plc, Form 20-F del ejercicio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Birkenstock Holding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https://www.sec.gov/Archives/edgar/data/1977102/000119312525323599/birk-20250930.htm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datos XBRL del Form 10-K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reports record revenues in 2025 and launches share buyback (resultados preliminares)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https://www.adidas-group.com/en/media/press-releases/adidas-reports-record-revenues-in-2025-and-launches-share-buyback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completes reset in 2025; 2026 designated as transition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https://about.puma.com/en/newsroom/corporate-news/2026/26-02-2026-puma-completes-reset-2025-2026-designated-transition-year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Summary of Consolidated Financial Statements for the Fiscal Year Ended December 31, 2025 (Japan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https://assets.asics.com/system/libraries/4124/Summary%20of%20Consolidated%20Financial%20Statements%20For%20the%20Fiscal%20Year%20Ended%20December%2031,%202025%20%28Japan%20GAAP%29.pdf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Foreign Exchange Rates G.5A, tipos de cambio medios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Federal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https://www.federalreserve.gov/releases/g5a/current/default.htm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&amp; Share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https://www.gminsights.com/industry-analysis/athletic-footwear-market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Forecast to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https://www.imarcgroup.com/athletic-footwear-market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Circana issues Q4 2025 Footwear Industry Pulse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MR Magazine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https://mr-mag.com/circana-issues-q4-2025-footwear-industry-pulse-report/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U.S. footwear industry retail sales led by sport lifestyle growth in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Media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https://sgbonline.com/report-u-s-footwear-industry-retail-sales-led-by-sport-lifestyle-growth-in-2024/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Performance FW outperforms total FW market in Q1; running grows 7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Media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https://sgbonline.com/report-performance-fw-outperforms-total-fw-market-in-q1-running-grows-7-percent/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footwear sales climb 13% as US market stalls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Intelligence Europe (datos de Circana)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https://www.sgieurope.com/consumer/running-footwear-sales-climb-13-as-us-market-stalls/122719.article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 Court Rules President Lacks IEEPA Tariff Authority; President Imposes Section 122 Tariffs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Cozen O'Connor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https://www.cozen.com/news-resources/publications/2026/supreme-court-rules-president-lacks-ieepa-tariff-authority-president-imposes-section-122-tariffs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Brands, Creating Change Report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https://deckers.com/sites/default/files/2026-04/FY25_Deckers_Creating-Change-Report_33126.pdf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(DECK), ficha de la acción con riesgo ESG de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 (datos de Morningstar Sustainalytics)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https://www.home.saxo/en-gb/markets/stocks/deck-xnys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https://www.sec.gov/Archives/edgar/data/910521/000091052126000026/deck-20260914.htm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https://www.sec.gov/Archives/edgar/data/910521/000091052125000039/deck-20250908.htm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5.03 y 5.07: junta de 2024 y desdoblamiento 6x1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https://www.sec.gov/Archives/edgar/data/910521/000091052124000048/deck-20240909.htm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 Dave Powers y nombramiento de Stefano Caroti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https://www.sec.gov/Archives/edgar/data/910521/000091052124000004/deck-20240201.htm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Cindy Davis, presidenta del consejo, sustituye a Michael Devine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https://www.sec.gov/Archives/edgar/data/910521/000091052125000013/deck-20250522.htm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(enmienda 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https://www.sec.gov/Archives/edgar/data/910521/000157641925000727/xslSCHEDULE_13G_X01/primary_doc.xml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https://www.sec.gov/Archives/edgar/data/910521/000210011926000421/xslSCHEDULE_13G_X02/primary_doc.xml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(participación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https://www.sec.gov/Archives/edgar/data/910521/000010290926001061/xslSCHEDULE_13G_X02/primary_doc.xml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(4,3 %)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https://www.sec.gov/Archives/edgar/data/910521/000031506626001182/xslSCHEDULE_13G_X02/primary_doc.xml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(6,9 %)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https://www.sec.gov/Archives/edgar/data/910521/000031506626000044/xslSCHEDULE_13G_X01/primary_doc.xml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(13,8 %)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https://www.sec.gov/Archives/edgar/data/910521/000031506625002700/xslSCHEDULE_13G_X01/primary_doc.xml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Deckers, oct-2025 a oct-2026 (agregado)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https://www.sec.gov/cgi-bin/browse-edgar?action=getcompany&amp;CIK=0000910521&amp;type=4&amp;dateb=&amp;owner=only&amp;count=40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ejercicio FY2020 (sin guía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https://www.sec.gov/Archives/edgar/data/910521/000091052120000012/deckexhibit991pressrel.htm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FY2021 y guía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https://www.sec.gov/Archives/edgar/data/910521/000091052121000014/deckex991pressrelease-q4fy.htm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FY2022 y guía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https://www.sec.gov/Archives/edgar/data/910521/000091052122000013/deckex991pressrelease-3312.htm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FY2023 y guía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https://www.sec.gov/Archives/edgar/data/910521/000091052123000014/deckex991pressrelease-3312.htm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ejercicio FY2024 y guía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https://www.sec.gov/Archives/edgar/data/910521/000091052124000015/deckex991pressrelease-3312.htm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Finances (estimaciones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(datos de FINRA)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https://www.marketbeat.com/stocks/NYSE/DECK/short-interest/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DECK, SPY y XLY (cierres ajustados)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https://finance.yahoo.com/quote/DECK/history/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https://home.treasury.gov/resource-center/data-chart-center/interest-rates/daily-treasury-rates.csv/2026/all?type=daily_treasury_yield_curve&amp;field_tdr_date_value_month=202610&amp;page&amp;_format=csv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https://www.marketscreener.com/quote/stock/NIKE-INC-13739/finances/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https://www.marketscreener.com/quote/stock/ADIDAS-AG-6714534/finances/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Birkenstock Holding plc: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https://www.marketscreener.com/quote/stock/BIRKENSTOCK-HOLDING-PLC-160250578/finances/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https://www.marketscreener.com/quote/stock/CROCS-INC-8905/finances/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https://www.marketscreener.com/quote/stock/ASICS-CORPORATION-6492819/finances/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https://www.marketscreener.com/quote/stock/LULULEMON-ATHLETICA-INC-40449575/finances/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Finances (cifras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https://www.marketscreener.com/quote/stock/AMER-SPORTS-INC-165047517/finances/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&amp; Valuation de los comparables (ONON, NKE, ADS, BIRK, CROX, 7936, LULU, AS): capitalización y ROIC; misma página por ticker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information statement/prospectus DEFM14C (incluye la opinión de Greenhill &amp; 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https://www.sec.gov/Archives/edgar/data/1065837/000110465925074187/tm2516935-12_defm14c.htm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Agrees to be Acquired by 3G Capital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Corporation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información financiera pro forma no auditada tras la venta de Supreme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https://www.sec.gov/Archives/edgar/data/103379/000010337924000024/vfcproformaexhibit99.htm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to Acquire Casual Footwear Brand HEYDUDE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https://www.sec.gov/Archives/edgar/data/1334036/000133403621000204/exhibit991pressrelease1223.htm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Announces Expected Record Annual Revenue Growth of ~67%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Crocs,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https://www.sec.gov/Archives/edgar/data/1334036/000133403622000002/exhibit991pressrelease11022.htm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Wolverine Worldwide Acquires Women's Activewear Brand Sweaty Betty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Wolverine World Wide,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https://www.sec.gov/Archives/edgar/data/110471/000011047121000044/exhibit991pressreleasedate.htm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para la compra de Supreme (precio base y pagos adicionales)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Announces Definitive Agreement to Acquire Supreme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(DECK):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S&amp;P 500 companies (clasificación GICS de los componentes)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https://en.wikipedia.org/wiki/List_of_S%26P_500_companies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Lululemon, Deckers, and On Holding Have All Plunged. What's the Best Buy of the Four?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https://www.fool.com/investing/2026/08/11/nike-lululemon-deckers-and-on-holding-have-all-plu/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cotización, titulares y sentimiento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https://www.marketbeat.com/stocks/NYSE/DECK/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comentarios de usuarios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https://www.investing.com/equities/deckers-outdoor-corp-commentary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sentimiento de inversores particulares y titulares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https://www.tipranks.com/stocks/deck/investors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(DECK): Buy, Sell, or Hold Post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https://finance.yahoo.com/markets/stocks/articles/deckers-deck-buy-sell-hold-224422071.html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(DECK) vs Crocs (CROX): Which is a Better Stock to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https://www.insidermonkey.com/news/deckers-deck-vs-crocs-crox-which-is-a-better-stock-to-buy-1844920/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(DECK) Could Be 33% Below Fair Value Following UGG Brand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https://finance.yahoo.com/markets/stocks/articles/deckers-outdoor-deck-could-33-220701055.html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Best Shoe Stocks for 2026 and How to Invest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https://www.fool.com/investing/stock-market/market-sectors/consumer-discretionary/apparel-stocks/shoe-stocks/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91,7 %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Deckers Outdoor Corporation en la Bolsa de Nueva York (DECK), en USD y con las cuentas en US GAAP; precio de cierre del viernes 9-oct-2026 (82,89 USD), porque el corte cae en domingo [65]. El ejercicio cierra el 31 de marzo y se nombra por el año en que termina (FY2026 = abr-2025 a mar-2026) [1]. Acciones: 136,71 M diluidas, las 136,41 M en circulación a 9-jul-2026 más 0,30 M de planes en acciones; la caja del puente (30-jun-2026) se ajusta con los 32,2 M recomprados del 1 al 9 de julio [2]. Los arrendamientos operativos (375 M a marzo) no van a la deuda: su gasto ya está en el EBITDA (US GAAP). El LTM a jun-2026 es una estimación propia (FY2026 + 1T27 − 1T26) [1, 2]. En FY2025 la empresa pasó de seis segmentos por canal a tres por marca y solo reexpresó FY2023-FY2025: para FY2020-FY2022 hay ventas por marca, pero no resultado [8]. El EBITDA trimestral suma al resultado operativo la amortización derivada de los acumulados XBRL [13]. El consenso de estimaciones es de una sola fuente gratuita completa (MarketScreener) y el BPA previo de cada trimestre, de MarketBeat [14, 60]. Las conferencias se han leído en resúmenes de las transcripciones, no en el texto íntegro [19, 20]. Varios comparables (On, adidas, Birkenstock, Asics, Amer Sports) aplican NIIF 16: su EBITDA es antes de alquileres y sus múltiplos no son del todo homogéneos con los de Deckers [70, 71, 72, 73, 74, 75, 76, 77].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Deckers Outdoor Corporation (DECK)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82,89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Hoja1!$B$2:$B$9</c:f>
              <c:numCache>
                <c:formatCode>#,##0</c:formatCode>
                <c:ptCount val="8"/>
                <c:pt idx="0">
                  <c:v>77.2</c:v>
                </c:pt>
                <c:pt idx="1">
                  <c:v>70</c:v>
                </c:pt>
                <c:pt idx="2">
                  <c:v>86.73</c:v>
                </c:pt>
                <c:pt idx="3">
                  <c:v>94.59</c:v>
                </c:pt>
                <c:pt idx="4">
                  <c:v>100.87</c:v>
                </c:pt>
                <c:pt idx="5">
                  <c:v>67.53</c:v>
                </c:pt>
                <c:pt idx="6">
                  <c:v>121.62</c:v>
                </c:pt>
                <c:pt idx="7">
                  <c:v>82.48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Hoja1!$C$2:$C$9</c:f>
              <c:numCache>
                <c:formatCode>#,##0</c:formatCode>
                <c:ptCount val="8"/>
                <c:pt idx="0">
                  <c:v>45.09</c:v>
                </c:pt>
                <c:pt idx="1">
                  <c:v>114</c:v>
                </c:pt>
                <c:pt idx="2">
                  <c:v>40.209999999999994</c:v>
                </c:pt>
                <c:pt idx="3">
                  <c:v>72.22999999999999</c:v>
                </c:pt>
                <c:pt idx="4">
                  <c:v>19.78</c:v>
                </c:pt>
                <c:pt idx="5">
                  <c:v>59.3</c:v>
                </c:pt>
                <c:pt idx="6">
                  <c:v>17.659999999999997</c:v>
                </c:pt>
                <c:pt idx="7">
                  <c:v>0.8199999999999932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HOKA</c:v>
                </c:pt>
              </c:strCache>
            </c:strRef>
          </c:tx>
          <c:spPr>
            <a:solidFill>
              <a:srgbClr val="2A78D6"/>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352.624</c:v>
                </c:pt>
                <c:pt idx="1">
                  <c:v>571.24</c:v>
                </c:pt>
                <c:pt idx="2">
                  <c:v>891.594</c:v>
                </c:pt>
                <c:pt idx="3">
                  <c:v>1412.916</c:v>
                </c:pt>
                <c:pt idx="4">
                  <c:v>1806.74</c:v>
                </c:pt>
                <c:pt idx="5">
                  <c:v>2233.09</c:v>
                </c:pt>
                <c:pt idx="6">
                  <c:v>2587.33</c:v>
                </c:pt>
              </c:numCache>
            </c:numRef>
          </c:val>
        </c:ser>
        <c:ser>
          <c:idx val="1"/>
          <c:order val="1"/>
          <c:tx>
            <c:strRef>
              <c:f>Hoja1!$C$1</c:f>
              <c:strCache>
                <c:ptCount val="1"/>
                <c:pt idx="0">
                  <c:v>UGG</c:v>
                </c:pt>
              </c:strCache>
            </c:strRef>
          </c:tx>
          <c:spPr>
            <a:solidFill>
              <a:srgbClr val="EB6834"/>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1520.807</c:v>
                </c:pt>
                <c:pt idx="1">
                  <c:v>1717.082</c:v>
                </c:pt>
                <c:pt idx="2">
                  <c:v>1981.969</c:v>
                </c:pt>
                <c:pt idx="3">
                  <c:v>1929.211</c:v>
                </c:pt>
                <c:pt idx="4">
                  <c:v>2239.132</c:v>
                </c:pt>
                <c:pt idx="5">
                  <c:v>2531.351</c:v>
                </c:pt>
                <c:pt idx="6">
                  <c:v>2738.758</c:v>
                </c:pt>
              </c:numCache>
            </c:numRef>
          </c:val>
        </c:ser>
        <c:ser>
          <c:idx val="2"/>
          <c:order val="2"/>
          <c:tx>
            <c:strRef>
              <c:f>Hoja1!$D$1</c:f>
              <c:strCache>
                <c:ptCount val="1"/>
                <c:pt idx="0">
                  <c:v>Other brands</c:v>
                </c:pt>
              </c:strCache>
            </c:strRef>
          </c:tx>
          <c:spPr>
            <a:solidFill>
              <a:srgbClr val="1BAF7A"/>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259.258</c:v>
                </c:pt>
                <c:pt idx="1">
                  <c:v>257.319</c:v>
                </c:pt>
                <c:pt idx="2">
                  <c:v>276.776</c:v>
                </c:pt>
                <c:pt idx="3">
                  <c:v>285.159</c:v>
                </c:pt>
                <c:pt idx="4">
                  <c:v>241.891</c:v>
                </c:pt>
                <c:pt idx="5">
                  <c:v>221.171</c:v>
                </c:pt>
                <c:pt idx="6">
                  <c:v>146.208</c:v>
                </c:pt>
              </c:numCache>
            </c:numRef>
          </c:val>
        </c:ser>
        <c:ser>
          <c:idx val="3"/>
          <c:order val="3"/>
          <c:tx>
            <c:strRef>
              <c:f>Hoja1!$E$1</c:f>
              <c:strCache>
                <c:ptCount val="1"/>
                <c:pt idx="0">
                  <c:v>Corporativo no asignado</c:v>
                </c:pt>
              </c:strCache>
            </c:strRef>
          </c:tx>
          <c:spPr>
            <a:solidFill>
              <a:srgbClr val="EDA100"/>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HOKA</c:v>
                </c:pt>
                <c:pt idx="1">
                  <c:v>UGG</c:v>
                </c:pt>
                <c:pt idx="2">
                  <c:v>Other brands</c:v>
                </c:pt>
                <c:pt idx="3">
                  <c:v>Corporativo no asignado</c:v>
                </c:pt>
              </c:strCache>
            </c:strRef>
          </c:cat>
          <c:val>
            <c:numRef>
              <c:f>Hoja1!$B$2:$B$5</c:f>
              <c:numCache>
                <c:formatCode>General</c:formatCode>
                <c:ptCount val="4"/>
                <c:pt idx="0">
                  <c:v>47.3</c:v>
                </c:pt>
                <c:pt idx="1">
                  <c:v>50</c:v>
                </c:pt>
                <c:pt idx="2">
                  <c:v>2.7</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 (domestic)</c:v>
                </c:pt>
                <c:pt idx="1">
                  <c:v>Internacional</c:v>
                </c:pt>
              </c:strCache>
            </c:strRef>
          </c:cat>
          <c:val>
            <c:numRef>
              <c:f>Hoja1!$B$2:$B$3</c:f>
              <c:numCache>
                <c:formatCode>0"%"</c:formatCode>
                <c:ptCount val="2"/>
                <c:pt idx="0">
                  <c:v>58.3</c:v>
                </c:pt>
                <c:pt idx="1">
                  <c:v>41.7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2030e</c:v>
                </c:pt>
                <c:pt idx="3">
                  <c:v>2035e</c:v>
                </c:pt>
              </c:strCache>
            </c:strRef>
          </c:cat>
          <c:val>
            <c:numRef>
              <c:f>Hoja1!$B$2:$B$5</c:f>
              <c:numCache>
                <c:formatCode>#,##0</c:formatCode>
                <c:ptCount val="4"/>
                <c:pt idx="0">
                  <c:v>130.1</c:v>
                </c:pt>
                <c:pt idx="1">
                  <c:v>136.5</c:v>
                </c:pt>
                <c:pt idx="2">
                  <c:v>167.7</c:v>
                </c:pt>
                <c:pt idx="3">
                  <c:v>209.7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Deckers</c:v>
                </c:pt>
                <c:pt idx="1">
                  <c:v>Nike</c:v>
                </c:pt>
                <c:pt idx="2">
                  <c:v>adidas</c:v>
                </c:pt>
                <c:pt idx="3">
                  <c:v>Skechers</c:v>
                </c:pt>
                <c:pt idx="4">
                  <c:v>Puma</c:v>
                </c:pt>
                <c:pt idx="5">
                  <c:v>ASICS</c:v>
                </c:pt>
                <c:pt idx="6">
                  <c:v>Crocs (con HEYDUDE)</c:v>
                </c:pt>
                <c:pt idx="7">
                  <c:v>On Holding</c:v>
                </c:pt>
                <c:pt idx="8">
                  <c:v>Birkenstock</c:v>
                </c:pt>
              </c:strCache>
            </c:strRef>
          </c:cat>
          <c:val>
            <c:numRef>
              <c:f>Hoja1!$B$2:$B$10</c:f>
              <c:numCache>
                <c:formatCode>0.0"%"</c:formatCode>
                <c:ptCount val="9"/>
                <c:pt idx="0">
                  <c:v>23.1</c:v>
                </c:pt>
                <c:pt idx="1">
                  <c:v>8.3</c:v>
                </c:pt>
                <c:pt idx="2">
                  <c:v>8.3</c:v>
                </c:pt>
                <c:pt idx="3">
                  <c:v>10.1</c:v>
                </c:pt>
                <c:pt idx="4">
                  <c:v>-4.9</c:v>
                </c:pt>
                <c:pt idx="5">
                  <c:v>17.6</c:v>
                </c:pt>
                <c:pt idx="6">
                  <c:v>3.7</c:v>
                </c:pt>
                <c:pt idx="7">
                  <c:v>12.5</c:v>
                </c:pt>
                <c:pt idx="8">
                  <c:v>26.2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1</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1790.147</c:v>
                </c:pt>
                <c:pt idx="1">
                  <c:v>1903.339</c:v>
                </c:pt>
                <c:pt idx="2">
                  <c:v>2020.437</c:v>
                </c:pt>
                <c:pt idx="3">
                  <c:v>2132.689</c:v>
                </c:pt>
                <c:pt idx="4">
                  <c:v>2545.641</c:v>
                </c:pt>
                <c:pt idx="5">
                  <c:v>3150.339</c:v>
                </c:pt>
                <c:pt idx="6">
                  <c:v>3627.286</c:v>
                </c:pt>
                <c:pt idx="7">
                  <c:v>4287.763</c:v>
                </c:pt>
                <c:pt idx="8">
                  <c:v>4985.612</c:v>
                </c:pt>
                <c:pt idx="9">
                  <c:v>5472.296</c:v>
                </c:pt>
                <c:pt idx="10">
                  <c:v>5883</c:v>
                </c:pt>
                <c:pt idx="11">
                  <c:v>6295</c:v>
                </c:pt>
                <c:pt idx="12">
                  <c:v>6704</c:v>
                </c:pt>
                <c:pt idx="13">
                  <c:v>7106</c:v>
                </c:pt>
                <c:pt idx="14">
                  <c:v>7461</c:v>
                </c:pt>
                <c:pt idx="15">
                  <c:v>7797</c:v>
                </c:pt>
                <c:pt idx="16">
                  <c:v>8109</c:v>
                </c:pt>
                <c:pt idx="17">
                  <c:v>8393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168.709</c:v>
                </c:pt>
                <c:pt idx="1">
                  <c:v>271.156</c:v>
                </c:pt>
                <c:pt idx="2">
                  <c:v>372.261</c:v>
                </c:pt>
                <c:pt idx="3">
                  <c:v>377.047</c:v>
                </c:pt>
                <c:pt idx="4">
                  <c:v>544.735</c:v>
                </c:pt>
                <c:pt idx="5">
                  <c:v>607.585</c:v>
                </c:pt>
                <c:pt idx="6">
                  <c:v>700.609</c:v>
                </c:pt>
                <c:pt idx="7">
                  <c:v>993.265</c:v>
                </c:pt>
                <c:pt idx="8">
                  <c:v>1248.445</c:v>
                </c:pt>
                <c:pt idx="9">
                  <c:v>1338.676</c:v>
                </c:pt>
                <c:pt idx="10">
                  <c:v>1359</c:v>
                </c:pt>
                <c:pt idx="11">
                  <c:v>1460</c:v>
                </c:pt>
                <c:pt idx="12">
                  <c:v>1555</c:v>
                </c:pt>
                <c:pt idx="13">
                  <c:v>1634</c:v>
                </c:pt>
                <c:pt idx="14">
                  <c:v>1716</c:v>
                </c:pt>
                <c:pt idx="15">
                  <c:v>1793</c:v>
                </c:pt>
                <c:pt idx="16">
                  <c:v>1865</c:v>
                </c:pt>
                <c:pt idx="17">
                  <c:v>1930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46.7</c:v>
                </c:pt>
                <c:pt idx="1">
                  <c:v>48.9</c:v>
                </c:pt>
                <c:pt idx="2">
                  <c:v>51.5</c:v>
                </c:pt>
                <c:pt idx="3">
                  <c:v>51.8</c:v>
                </c:pt>
                <c:pt idx="4">
                  <c:v>54</c:v>
                </c:pt>
                <c:pt idx="5">
                  <c:v>51</c:v>
                </c:pt>
                <c:pt idx="6">
                  <c:v>50.3</c:v>
                </c:pt>
                <c:pt idx="7">
                  <c:v>55.6</c:v>
                </c:pt>
                <c:pt idx="8">
                  <c:v>57.9</c:v>
                </c:pt>
                <c:pt idx="9">
                  <c:v>57.7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9.4</c:v>
                </c:pt>
                <c:pt idx="1">
                  <c:v>14.2</c:v>
                </c:pt>
                <c:pt idx="2">
                  <c:v>18.4</c:v>
                </c:pt>
                <c:pt idx="3">
                  <c:v>17.7</c:v>
                </c:pt>
                <c:pt idx="4">
                  <c:v>21.4</c:v>
                </c:pt>
                <c:pt idx="5">
                  <c:v>19.3</c:v>
                </c:pt>
                <c:pt idx="6">
                  <c:v>19.3</c:v>
                </c:pt>
                <c:pt idx="7">
                  <c:v>23.2</c:v>
                </c:pt>
                <c:pt idx="8">
                  <c:v>25</c:v>
                </c:pt>
                <c:pt idx="9">
                  <c:v>24.5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6.5</c:v>
                </c:pt>
                <c:pt idx="1">
                  <c:v>11.7</c:v>
                </c:pt>
                <c:pt idx="2">
                  <c:v>16.2</c:v>
                </c:pt>
                <c:pt idx="3">
                  <c:v>15.9</c:v>
                </c:pt>
                <c:pt idx="4">
                  <c:v>19.8</c:v>
                </c:pt>
                <c:pt idx="5">
                  <c:v>17.9</c:v>
                </c:pt>
                <c:pt idx="6">
                  <c:v>18</c:v>
                </c:pt>
                <c:pt idx="7">
                  <c:v>21.8</c:v>
                </c:pt>
                <c:pt idx="8">
                  <c:v>23.6</c:v>
                </c:pt>
                <c:pt idx="9">
                  <c:v>23.1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0.3</c:v>
                </c:pt>
                <c:pt idx="1">
                  <c:v>6</c:v>
                </c:pt>
                <c:pt idx="2">
                  <c:v>13.1</c:v>
                </c:pt>
                <c:pt idx="3">
                  <c:v>12.9</c:v>
                </c:pt>
                <c:pt idx="4">
                  <c:v>15</c:v>
                </c:pt>
                <c:pt idx="5">
                  <c:v>14.3</c:v>
                </c:pt>
                <c:pt idx="6">
                  <c:v>14.2</c:v>
                </c:pt>
                <c:pt idx="7">
                  <c:v>17.7</c:v>
                </c:pt>
                <c:pt idx="8">
                  <c:v>19.4</c:v>
                </c:pt>
                <c:pt idx="9">
                  <c:v>18.7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20.1</c:v>
                </c:pt>
                <c:pt idx="1">
                  <c:v>17.1</c:v>
                </c:pt>
                <c:pt idx="2">
                  <c:v>6.5</c:v>
                </c:pt>
                <c:pt idx="3">
                  <c:v>16.9</c:v>
                </c:pt>
                <c:pt idx="4">
                  <c:v>9.1</c:v>
                </c:pt>
                <c:pt idx="5">
                  <c:v>7.1</c:v>
                </c:pt>
                <c:pt idx="6">
                  <c:v>9.6</c:v>
                </c:pt>
                <c:pt idx="7">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0">
                  <c:v>20.4</c:v>
                </c:pt>
                <c:pt idx="1">
                  <c:v>16.6</c:v>
                </c:pt>
                <c:pt idx="2">
                  <c:v>7.5</c:v>
                </c:pt>
                <c:pt idx="3">
                  <c:v>16.3</c:v>
                </c:pt>
                <c:pt idx="4">
                  <c:v>8.3</c:v>
                </c:pt>
                <c:pt idx="5">
                  <c:v>6.8</c:v>
                </c:pt>
                <c:pt idx="6">
                  <c:v>7.7</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32</c:v>
                </c:pt>
                <c:pt idx="1">
                  <c:v>28</c:v>
                </c:pt>
                <c:pt idx="2">
                  <c:v>32</c:v>
                </c:pt>
                <c:pt idx="3">
                  <c:v>32</c:v>
                </c:pt>
                <c:pt idx="4">
                  <c:v>31</c:v>
                </c:pt>
                <c:pt idx="5">
                  <c:v>35</c:v>
                </c:pt>
                <c:pt idx="6">
                  <c:v>30</c:v>
                </c:pt>
                <c:pt idx="7">
                  <c:v>25</c:v>
                </c:pt>
                <c:pt idx="8">
                  <c:v>24</c:v>
                </c:pt>
                <c:pt idx="9">
                  <c:v>21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114</c:v>
                </c:pt>
                <c:pt idx="1">
                  <c:v>113</c:v>
                </c:pt>
                <c:pt idx="2">
                  <c:v>104</c:v>
                </c:pt>
                <c:pt idx="3">
                  <c:v>111</c:v>
                </c:pt>
                <c:pt idx="4">
                  <c:v>87</c:v>
                </c:pt>
                <c:pt idx="5">
                  <c:v>120</c:v>
                </c:pt>
                <c:pt idx="6">
                  <c:v>108</c:v>
                </c:pt>
                <c:pt idx="7">
                  <c:v>91</c:v>
                </c:pt>
                <c:pt idx="8">
                  <c:v>86</c:v>
                </c:pt>
                <c:pt idx="9">
                  <c:v>77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37</c:v>
                </c:pt>
                <c:pt idx="1">
                  <c:v>35</c:v>
                </c:pt>
                <c:pt idx="2">
                  <c:v>47</c:v>
                </c:pt>
                <c:pt idx="3">
                  <c:v>52</c:v>
                </c:pt>
                <c:pt idx="4">
                  <c:v>72</c:v>
                </c:pt>
                <c:pt idx="5">
                  <c:v>77</c:v>
                </c:pt>
                <c:pt idx="6">
                  <c:v>54</c:v>
                </c:pt>
                <c:pt idx="7">
                  <c:v>73</c:v>
                </c:pt>
                <c:pt idx="8">
                  <c:v>73</c:v>
                </c:pt>
                <c:pt idx="9">
                  <c:v>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154.83100000000002</c:v>
                </c:pt>
                <c:pt idx="1">
                  <c:v>292.54200000000003</c:v>
                </c:pt>
                <c:pt idx="2">
                  <c:v>330.419</c:v>
                </c:pt>
                <c:pt idx="3">
                  <c:v>253.87900000000002</c:v>
                </c:pt>
                <c:pt idx="4">
                  <c:v>563.999</c:v>
                </c:pt>
                <c:pt idx="5">
                  <c:v>121.33600000000001</c:v>
                </c:pt>
                <c:pt idx="6">
                  <c:v>456.39700000000005</c:v>
                </c:pt>
                <c:pt idx="7">
                  <c:v>943.819</c:v>
                </c:pt>
                <c:pt idx="8">
                  <c:v>958.3519999999999</c:v>
                </c:pt>
                <c:pt idx="9">
                  <c:v>1097.3319999999999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5.71</c:v>
                </c:pt>
                <c:pt idx="1">
                  <c:v>114.394</c:v>
                </c:pt>
                <c:pt idx="2">
                  <c:v>264.308</c:v>
                </c:pt>
                <c:pt idx="3">
                  <c:v>276.142</c:v>
                </c:pt>
                <c:pt idx="4">
                  <c:v>382.575</c:v>
                </c:pt>
                <c:pt idx="5">
                  <c:v>451.949</c:v>
                </c:pt>
                <c:pt idx="6">
                  <c:v>516.822</c:v>
                </c:pt>
                <c:pt idx="7">
                  <c:v>759.563</c:v>
                </c:pt>
                <c:pt idx="8">
                  <c:v>966.091</c:v>
                </c:pt>
                <c:pt idx="9">
                  <c:v>1024.071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12.5</c:v>
                </c:pt>
                <c:pt idx="1">
                  <c:v>21.6</c:v>
                </c:pt>
                <c:pt idx="2">
                  <c:v>51.1</c:v>
                </c:pt>
                <c:pt idx="3">
                  <c:v>54.3</c:v>
                </c:pt>
                <c:pt idx="4">
                  <c:v>87.8</c:v>
                </c:pt>
                <c:pt idx="5">
                  <c:v>86.1</c:v>
                </c:pt>
                <c:pt idx="6">
                  <c:v>68.5</c:v>
                </c:pt>
                <c:pt idx="7">
                  <c:v>104.5</c:v>
                </c:pt>
                <c:pt idx="8">
                  <c:v>149.1</c:v>
                </c:pt>
                <c:pt idx="9">
                  <c:v>160.3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11.1</c:v>
                </c:pt>
                <c:pt idx="1">
                  <c:v>11.1</c:v>
                </c:pt>
                <c:pt idx="2">
                  <c:v>11.1</c:v>
                </c:pt>
                <c:pt idx="3">
                  <c:v>11.1</c:v>
                </c:pt>
                <c:pt idx="4">
                  <c:v>11.1</c:v>
                </c:pt>
                <c:pt idx="5">
                  <c:v>11.1</c:v>
                </c:pt>
                <c:pt idx="6">
                  <c:v>11.1</c:v>
                </c:pt>
                <c:pt idx="7">
                  <c:v>11.1</c:v>
                </c:pt>
                <c:pt idx="8">
                  <c:v>11.1</c:v>
                </c:pt>
                <c:pt idx="9">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0.6</c:v>
                </c:pt>
                <c:pt idx="1">
                  <c:v>12.1</c:v>
                </c:pt>
                <c:pt idx="2">
                  <c:v>26.6</c:v>
                </c:pt>
                <c:pt idx="3">
                  <c:v>25.3</c:v>
                </c:pt>
                <c:pt idx="4">
                  <c:v>29.6</c:v>
                </c:pt>
                <c:pt idx="5">
                  <c:v>30.3</c:v>
                </c:pt>
                <c:pt idx="6">
                  <c:v>31.3</c:v>
                </c:pt>
                <c:pt idx="7">
                  <c:v>39.2</c:v>
                </c:pt>
                <c:pt idx="8">
                  <c:v>41.8</c:v>
                </c:pt>
                <c:pt idx="9">
                  <c:v>40.9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-1.54</c:v>
                </c:pt>
                <c:pt idx="1">
                  <c:v>-1.47</c:v>
                </c:pt>
                <c:pt idx="2">
                  <c:v>-1.5</c:v>
                </c:pt>
                <c:pt idx="3">
                  <c:v>-1.64</c:v>
                </c:pt>
                <c:pt idx="4">
                  <c:v>-2</c:v>
                </c:pt>
                <c:pt idx="5">
                  <c:v>-1.39</c:v>
                </c:pt>
                <c:pt idx="6">
                  <c:v>-1.4</c:v>
                </c:pt>
                <c:pt idx="7">
                  <c:v>-1.51</c:v>
                </c:pt>
                <c:pt idx="8">
                  <c:v>-1.51</c:v>
                </c:pt>
                <c:pt idx="9">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12.572</c:v>
                </c:pt>
                <c:pt idx="1">
                  <c:v>149.687</c:v>
                </c:pt>
                <c:pt idx="2">
                  <c:v>161.395</c:v>
                </c:pt>
                <c:pt idx="3">
                  <c:v>190.405</c:v>
                </c:pt>
                <c:pt idx="4">
                  <c:v>99.147</c:v>
                </c:pt>
                <c:pt idx="5">
                  <c:v>356.653</c:v>
                </c:pt>
                <c:pt idx="6">
                  <c:v>297.372</c:v>
                </c:pt>
                <c:pt idx="7">
                  <c:v>414.931</c:v>
                </c:pt>
                <c:pt idx="8">
                  <c:v>570.987</c:v>
                </c:pt>
                <c:pt idx="9">
                  <c:v>1080.143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Vanguard Capital Management</c:v>
                </c:pt>
                <c:pt idx="2">
                  <c:v>FMR LLC (Fidelity)</c:v>
                </c:pt>
                <c:pt idx="3">
                  <c:v>Consejeros y directivos (16 personas)</c:v>
                </c:pt>
              </c:strCache>
            </c:strRef>
          </c:cat>
          <c:val>
            <c:numRef>
              <c:f>Hoja1!$B$2:$B$5</c:f>
              <c:numCache>
                <c:formatCode>0.0"%"</c:formatCode>
                <c:ptCount val="4"/>
                <c:pt idx="0">
                  <c:v>10.5</c:v>
                </c:pt>
                <c:pt idx="1">
                  <c:v>7.5</c:v>
                </c:pt>
                <c:pt idx="2">
                  <c:v>4.3</c:v>
                </c:pt>
                <c:pt idx="3">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17.4</c:v>
                </c:pt>
                <c:pt idx="1">
                  <c:v>44.9</c:v>
                </c:pt>
                <c:pt idx="2">
                  <c:v>59.4</c:v>
                </c:pt>
                <c:pt idx="3">
                  <c:v>32</c:v>
                </c:pt>
                <c:pt idx="4">
                  <c:v>69.8</c:v>
                </c:pt>
                <c:pt idx="5">
                  <c:v>27.7</c:v>
                </c:pt>
                <c:pt idx="6">
                  <c:v>9</c:v>
                </c:pt>
                <c:pt idx="7">
                  <c:v>67.5</c:v>
                </c:pt>
                <c:pt idx="8">
                  <c:v>82.3</c:v>
                </c:pt>
                <c:pt idx="9">
                  <c:v>-49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9.9</c:v>
                </c:pt>
                <c:pt idx="1">
                  <c:v>9.2</c:v>
                </c:pt>
                <c:pt idx="2">
                  <c:v>10.3</c:v>
                </c:pt>
                <c:pt idx="3">
                  <c:v>8.6</c:v>
                </c:pt>
                <c:pt idx="4">
                  <c:v>15.2</c:v>
                </c:pt>
                <c:pt idx="5">
                  <c:v>11.1</c:v>
                </c:pt>
                <c:pt idx="6">
                  <c:v>15.7</c:v>
                </c:pt>
                <c:pt idx="7">
                  <c:v>23.2</c:v>
                </c:pt>
                <c:pt idx="8">
                  <c:v>12.2</c:v>
                </c:pt>
                <c:pt idx="9">
                  <c:v>9.5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10.7</c:v>
                </c:pt>
                <c:pt idx="1">
                  <c:v>10.7</c:v>
                </c:pt>
                <c:pt idx="2">
                  <c:v>10.7</c:v>
                </c:pt>
                <c:pt idx="3">
                  <c:v>10.7</c:v>
                </c:pt>
                <c:pt idx="4">
                  <c:v>10.7</c:v>
                </c:pt>
                <c:pt idx="5">
                  <c:v>10.7</c:v>
                </c:pt>
                <c:pt idx="6">
                  <c:v>10.7</c:v>
                </c:pt>
                <c:pt idx="7">
                  <c:v>10.7</c:v>
                </c:pt>
                <c:pt idx="8">
                  <c:v>10.7</c:v>
                </c:pt>
                <c:pt idx="9">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Deckers</c:v>
                </c:pt>
                <c:pt idx="1">
                  <c:v>On Holding</c:v>
                </c:pt>
                <c:pt idx="2">
                  <c:v>Nike</c:v>
                </c:pt>
                <c:pt idx="3">
                  <c:v>adidas</c:v>
                </c:pt>
                <c:pt idx="4">
                  <c:v>Birkenstock</c:v>
                </c:pt>
                <c:pt idx="5">
                  <c:v>Crocs</c:v>
                </c:pt>
                <c:pt idx="6">
                  <c:v>Asics</c:v>
                </c:pt>
                <c:pt idx="7">
                  <c:v>Lululemon</c:v>
                </c:pt>
                <c:pt idx="8">
                  <c:v>Amer Sports</c:v>
                </c:pt>
              </c:strCache>
            </c:strRef>
          </c:cat>
          <c:val>
            <c:numRef>
              <c:f>Hoja1!$B$2:$B$10</c:f>
              <c:numCache>
                <c:formatCode>0.0"x"</c:formatCode>
                <c:ptCount val="9"/>
                <c:pt idx="0">
                  <c:v>6.9</c:v>
                </c:pt>
                <c:pt idx="1">
                  <c:v>10.7</c:v>
                </c:pt>
                <c:pt idx="2">
                  <c:v>15.6</c:v>
                </c:pt>
                <c:pt idx="3">
                  <c:v>7.6</c:v>
                </c:pt>
                <c:pt idx="4">
                  <c:v>7.5</c:v>
                </c:pt>
                <c:pt idx="5">
                  <c:v>6.5</c:v>
                </c:pt>
                <c:pt idx="6">
                  <c:v>12.4</c:v>
                </c:pt>
                <c:pt idx="7">
                  <c:v>4.5</c:v>
                </c:pt>
                <c:pt idx="8">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Deckers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8.1</c:v>
                </c:pt>
              </c:numCache>
            </c:numRef>
          </c:xVal>
          <c:yVal>
            <c:numRef>
              <c:f>Hoja1!$C$2</c:f>
              <c:numCache>
                <c:formatCode>0.0"x"</c:formatCode>
                <c:ptCount val="1"/>
                <c:pt idx="0">
                  <c:v>6.9</c:v>
                </c:pt>
              </c:numCache>
            </c:numRef>
          </c:yVal>
          <c:smooth val="0"/>
        </c:ser>
        <c:ser>
          <c:idx val="1"/>
          <c:order val="1"/>
          <c:tx>
            <c:strRef>
              <c:f>Hoja1!$A$3</c:f>
              <c:strCache>
                <c:ptCount val="1"/>
                <c:pt idx="0">
                  <c:v>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c:v>
                </c:pt>
              </c:numCache>
            </c:numRef>
          </c:xVal>
          <c:yVal>
            <c:numRef>
              <c:f>Hoja1!$C$3</c:f>
              <c:numCache>
                <c:formatCode>0.0"x"</c:formatCode>
                <c:ptCount val="1"/>
                <c:pt idx="0">
                  <c:v>10.7</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7.3</c:v>
                </c:pt>
              </c:numCache>
            </c:numRef>
          </c:xVal>
          <c:yVal>
            <c:numRef>
              <c:f>Hoja1!$C$5</c:f>
              <c:numCache>
                <c:formatCode>0.0"x"</c:formatCode>
                <c:ptCount val="1"/>
                <c:pt idx="0">
                  <c:v>7.6</c:v>
                </c:pt>
              </c:numCache>
            </c:numRef>
          </c:yVal>
          <c:smooth val="0"/>
        </c:ser>
        <c:ser>
          <c:idx val="4"/>
          <c:order val="4"/>
          <c:tx>
            <c:strRef>
              <c:f>Hoja1!$A$6</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13.3</c:v>
                </c:pt>
              </c:numCache>
            </c:numRef>
          </c:xVal>
          <c:yVal>
            <c:numRef>
              <c:f>Hoja1!$C$6</c:f>
              <c:numCache>
                <c:formatCode>0.0"x"</c:formatCode>
                <c:ptCount val="1"/>
                <c:pt idx="0">
                  <c:v>7.5</c:v>
                </c:pt>
              </c:numCache>
            </c:numRef>
          </c:yVal>
          <c:smooth val="0"/>
        </c:ser>
        <c:ser>
          <c:idx val="5"/>
          <c:order val="5"/>
          <c:tx>
            <c:strRef>
              <c:f>Hoja1!$A$7</c:f>
              <c:strCache>
                <c:ptCount val="1"/>
                <c:pt idx="0">
                  <c:v>Crocs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c:v>
                </c:pt>
              </c:numCache>
            </c:numRef>
          </c:xVal>
          <c:yVal>
            <c:numRef>
              <c:f>Hoja1!$C$7</c:f>
              <c:numCache>
                <c:formatCode>0.0"x"</c:formatCode>
                <c:ptCount val="1"/>
                <c:pt idx="0">
                  <c:v>6.5</c:v>
                </c:pt>
              </c:numCache>
            </c:numRef>
          </c:yVal>
          <c:smooth val="0"/>
        </c:ser>
        <c:ser>
          <c:idx val="6"/>
          <c:order val="6"/>
          <c:tx>
            <c:strRef>
              <c:f>Hoja1!$A$8</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16.9</c:v>
                </c:pt>
              </c:numCache>
            </c:numRef>
          </c:xVal>
          <c:yVal>
            <c:numRef>
              <c:f>Hoja1!$C$8</c:f>
              <c:numCache>
                <c:formatCode>0.0"x"</c:formatCode>
                <c:ptCount val="1"/>
                <c:pt idx="0">
                  <c:v>12.4</c:v>
                </c:pt>
              </c:numCache>
            </c:numRef>
          </c:yVal>
          <c:smooth val="0"/>
        </c:ser>
        <c:ser>
          <c:idx val="7"/>
          <c:order val="7"/>
          <c:tx>
            <c:strRef>
              <c:f>Hoja1!$A$9</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-3.4</c:v>
                </c:pt>
              </c:numCache>
            </c:numRef>
          </c:xVal>
          <c:yVal>
            <c:numRef>
              <c:f>Hoja1!$C$9</c:f>
              <c:numCache>
                <c:formatCode>0.0"x"</c:formatCode>
                <c:ptCount val="1"/>
                <c:pt idx="0">
                  <c:v>4.5</c:v>
                </c:pt>
              </c:numCache>
            </c:numRef>
          </c:yVal>
          <c:smooth val="0"/>
        </c:ser>
        <c:ser>
          <c:idx val="8"/>
          <c:order val="8"/>
          <c:tx>
            <c:strRef>
              <c:f>Hoja1!$A$10</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18.6</c:v>
                </c:pt>
              </c:numCache>
            </c:numRef>
          </c:xVal>
          <c:yVal>
            <c:numRef>
              <c:f>Hoja1!$C$10</c:f>
              <c:numCache>
                <c:formatCode>0.0"x"</c:formatCode>
                <c:ptCount val="1"/>
                <c:pt idx="0">
                  <c:v>9.7</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Skechers USA</c:v>
                </c:pt>
                <c:pt idx="1">
                  <c:v>Foot Locker</c:v>
                </c:pt>
                <c:pt idx="2">
                  <c:v>Helly Hansen</c:v>
                </c:pt>
                <c:pt idx="3">
                  <c:v>Supreme</c:v>
                </c:pt>
                <c:pt idx="4">
                  <c:v>Champion</c:v>
                </c:pt>
                <c:pt idx="5">
                  <c:v>HEYDUDE</c:v>
                </c:pt>
                <c:pt idx="6">
                  <c:v>Sweaty Betty</c:v>
                </c:pt>
                <c:pt idx="7">
                  <c:v>Supreme</c:v>
                </c:pt>
              </c:strCache>
            </c:strRef>
          </c:cat>
          <c:val>
            <c:numRef>
              <c:f>Hoja1!$B$2:$B$9</c:f>
              <c:numCache>
                <c:formatCode>0.0"x"</c:formatCode>
                <c:ptCount val="8"/>
                <c:pt idx="1">
                  <c:v>6.1</c:v>
                </c:pt>
                <c:pt idx="2">
                  <c:v>16.8</c:v>
                </c:pt>
                <c:pt idx="4">
                  <c:v>11.1</c:v>
                </c:pt>
                <c:pt idx="6">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869</c:v>
                </c:pt>
                <c:pt idx="1">
                  <c:v>962</c:v>
                </c:pt>
                <c:pt idx="2">
                  <c:v>1035</c:v>
                </c:pt>
                <c:pt idx="3">
                  <c:v>1098</c:v>
                </c:pt>
                <c:pt idx="4">
                  <c:v>1167</c:v>
                </c:pt>
                <c:pt idx="5">
                  <c:v>1232</c:v>
                </c:pt>
                <c:pt idx="6">
                  <c:v>1284</c:v>
                </c:pt>
                <c:pt idx="7">
                  <c:v>1332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5727</c:v>
                </c:pt>
                <c:pt idx="1">
                  <c:v>7683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82,89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67.53</c:v>
                </c:pt>
                <c:pt idx="1">
                  <c:v>109.57</c:v>
                </c:pt>
                <c:pt idx="2">
                  <c:v>126.83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82,89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Hoja1!$B$2:$B$9</c:f>
              <c:numCache>
                <c:formatCode>#,##0</c:formatCode>
                <c:ptCount val="8"/>
                <c:pt idx="0">
                  <c:v>77.2</c:v>
                </c:pt>
                <c:pt idx="1">
                  <c:v>70</c:v>
                </c:pt>
                <c:pt idx="2">
                  <c:v>86.73</c:v>
                </c:pt>
                <c:pt idx="3">
                  <c:v>94.59</c:v>
                </c:pt>
                <c:pt idx="4">
                  <c:v>100.87</c:v>
                </c:pt>
                <c:pt idx="5">
                  <c:v>67.53</c:v>
                </c:pt>
                <c:pt idx="6">
                  <c:v>121.62</c:v>
                </c:pt>
                <c:pt idx="7">
                  <c:v>82.48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(77,20 – 122,29)</c:v>
                </c:pt>
                <c:pt idx="1">
                  <c:v>Precio objetivo de los analistas (70,00 – 184,00)</c:v>
                </c:pt>
                <c:pt idx="2">
                  <c:v>Comparables: EV/EBITDA NTM (86,73 – 126,94)</c:v>
                </c:pt>
                <c:pt idx="3">
                  <c:v>Comparables: PER NTM (94,59 – 166,82)</c:v>
                </c:pt>
                <c:pt idx="4">
                  <c:v>DCF (WACC y g ± 0,5) (100,87 – 120,65)</c:v>
                </c:pt>
                <c:pt idx="5">
                  <c:v>Escenarios (bajista – alcista) (67,53 – 126,83)</c:v>
                </c:pt>
                <c:pt idx="6">
                  <c:v>DCF con la prima implícita del mercado (4,2 %)</c:v>
                </c:pt>
                <c:pt idx="7">
                  <c:v>Precio actual (82,89)</c:v>
                </c:pt>
              </c:strCache>
            </c:strRef>
          </c:cat>
          <c:val>
            <c:numRef>
              <c:f>Hoja1!$C$2:$C$9</c:f>
              <c:numCache>
                <c:formatCode>#,##0</c:formatCode>
                <c:ptCount val="8"/>
                <c:pt idx="0">
                  <c:v>45.09</c:v>
                </c:pt>
                <c:pt idx="1">
                  <c:v>114</c:v>
                </c:pt>
                <c:pt idx="2">
                  <c:v>40.209999999999994</c:v>
                </c:pt>
                <c:pt idx="3">
                  <c:v>72.22999999999999</c:v>
                </c:pt>
                <c:pt idx="4">
                  <c:v>19.78</c:v>
                </c:pt>
                <c:pt idx="5">
                  <c:v>59.3</c:v>
                </c:pt>
                <c:pt idx="6">
                  <c:v>17.659999999999997</c:v>
                </c:pt>
                <c:pt idx="7">
                  <c:v>0.8199999999999932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