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Diageo plc</w:t>
      </w:r>
    </w:p>
    <w:p>
      <w:pPr>
        <w:spacing w:after="60"/>
        <w:rPr>
          <w:color w:val="52514E"/>
          <w:sz w:val="22"/>
          <w:szCs w:val="22"/>
        </w:rPr>
      </w:pPr>
      <w:r>
        <w:rPr>
          <w:color w:val="52514E"/>
          <w:sz w:val="22"/>
          <w:szCs w:val="22"/>
        </w:rPr>
        <w:t xml:space="preserve">DGE · Bolsa de Londres (LSE); ADR en NYSE (DEO, 1 ADR = 4 acciones) · ISIN GB0002374006 · Consumer Staples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22,14 USD (16,73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23,19 USD (17,52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+7,0 % (base +4,5 %)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23,85 USD (18,02 GBP) · mercado 26,12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49.430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Diageo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DGE / GB0002374006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Londres (LSE); ADR en NYSE (DEO, 1 ADR = 4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Staples / Beverages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www.diageo.com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22,14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18,03 – 24,80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49.430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68.363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104 M USD/día (≈ 78,8 M GBP; 4,77 M acciones; 3 meses) [66]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23,19 USD (17,52 GBP)</w:t>
      </w:r>
      <w:r>
        <w:t xml:space="preserve"> frente a 22,14 (16,73 GBP) · Rentabilidad a 12 meses </w:t>
      </w:r>
      <w:r>
        <w:rPr>
          <w:b/>
          <w:bCs/>
        </w:rPr>
        <w:t xml:space="preserve">+7,0 % (base +4,5 %)</w:t>
      </w:r>
      <w:r>
        <w:t xml:space="preserve"> · Valor intrínseco 23,85 USD (18,02 GBP) · con la prima implícita del mercado: 26,12 (19,73 GBP) (+18,0 %) · Alcista / bajista +42,4 % / -30,2 %</w:t>
      </w:r>
    </w:p>
    <w:p>
      <w:pPr>
        <w:spacing w:after="100"/>
      </w:pPr>
      <w:r>
        <w:rPr>
          <w:b/>
        </w:rPr>
        <w:t xml:space="preserve">La recomendación y por qué.</w:t>
      </w:r>
      <w:r>
        <w:t xml:space="preserve"> Comprar, con convicción baja. El valor objetivo es de 23,85 USD por acción (18,02 GBP), un 7,7 % por encima del precio de 22,14 USD (16,73 GBP); con el dividendo, la rentabilidad total esperada a 12 meses es del 10,0 %, con una asimetría de 1,40 veces (alcista +42,4 %, bajista −30,2 %). La regla absoluta da Mantener y la relativa Comprar: con la prima que hoy pide el mercado (4,2 %), el valor es de 26,12 USD y la rentabilidad del 20,2 %. La convicción es baja porque las dos reglas discrepan y porque la diferencia es de tasa, no de cifras: nuestras ventas coinciden con el consenso. Subiría si el 1S FY2027 (febrero) muestra el volumen de Norteamérica por encima de −3 % y el margen al alza.</w:t>
      </w:r>
    </w:p>
    <w:p>
      <w:pPr>
        <w:spacing w:after="100"/>
      </w:pPr>
      <w:r>
        <w:rPr>
          <w:b/>
        </w:rPr>
        <w:t xml:space="preserve">El negocio.</w:t>
      </w:r>
      <w:r>
        <w:t xml:space="preserve"> Diageo es el n.º 1 mundial de espirituosos, con ventas 1,8 veces las del segundo, un margen EBITDA del 32,7 % frente al 29,0 % de la mediana de comparables y un ROIC del 12,6 % frente a un WACC del 8,01 % [2]. Pero el diferencial se ha reducido a la mitad desde FY2022 (17,0 %) y el ROIC incremental es negativo: el capital subió con ventas planas. </w:t>
      </w:r>
      <w:r>
        <w:rPr>
          <w:b/>
        </w:rPr>
        <w:t xml:space="preserve">La calidad de la empresa sostiene solo en parte el crecimiento que proyectamos (2,2 % anual)</w:t>
      </w:r>
      <w:r>
        <w:t xml:space="preserve">: el foso de marcas y de whisky envejecido es real, pero el precio/mezcla fue negativo en FY2026 (−1,6 %) [1].</w:t>
      </w:r>
    </w:p>
    <w:p>
      <w:pPr>
        <w:spacing w:after="100"/>
      </w:pPr>
      <w:r>
        <w:rPr>
          <w:b/>
        </w:rPr>
        <w:t xml:space="preserve">Finanzas.</w:t>
      </w:r>
      <w:r>
        <w:t xml:space="preserve"> Ventas de 19.643 M USD en FY2026 (−2,0 % orgánico) y EBITDA antes de excepcionales de 6.432 M [1]. Los excepcionales se repiten cada año (2.527 M en FY2026), así que descontamos la caja de reestructuración pendiente. Las existencias de whisky en envejecimiento (8.510 M) llevan el circulante al 37,6 % de las ventas: cada dólar de crecimiento inmoviliza unos 39 céntimos [2]. Deuda neta de 20.482 M (3,1x), que baja con la venta de EABL (c.2.300 M) [1, 87].</w:t>
      </w:r>
    </w:p>
    <w:p>
      <w:pPr>
        <w:spacing w:after="100"/>
      </w:pPr>
      <w:r>
        <w:rPr>
          <w:b/>
        </w:rPr>
        <w:t xml:space="preserve">Equipo y gobierno.</w:t>
      </w:r>
      <w:r>
        <w:t xml:space="preserve"> Consejo independiente (10 de 13 criterios), sin accionista de control. Resta la rotación: tres consejeros delegados en 15 meses y relevo del director financiero en 2027 [36, 37, 38, 39]. La nueva política sube el plan a largo plazo del consejero delegado al 650 % del salario [2].</w:t>
      </w:r>
    </w:p>
    <w:p>
      <w:pPr>
        <w:spacing w:after="100"/>
      </w:pPr>
      <w:r>
        <w:rPr>
          <w:b/>
        </w:rPr>
        <w:t xml:space="preserve">Valoración.</w:t>
      </w:r>
      <w:r>
        <w:t xml:space="preserve"> El DCF da 23,99 USD (+8,4 %); comparables, 21,96; escenarios, 23,46. El DCF inverso dice que el precio pide un crecimiento del 1,3 % anual frente a nuestro 2,2 %, o un margen del 32,9 %: que los c.1.000 M de ahorro no dejen nada. Es poco exigente; lo exigente es la tasa: la rentabilidad implícita (8,5 %) apenas supera nuestro WACC. El EV/EBITDA (10,6x) está en mínimos de cinco años (media 14,1x). Moët Hennessy (34 %) va a valor contable, 2,29 USD por acción, con una cota de c.3,3 USD por la opción de venta a LVMH [2, 94].</w:t>
      </w:r>
    </w:p>
    <w:p>
      <w:pPr>
        <w:spacing w:after="100"/>
      </w:pPr>
      <w:r>
        <w:rPr>
          <w:b/>
        </w:rPr>
        <w:t xml:space="preserve">Riesgos y catalizadores.</w:t>
      </w:r>
      <w:r>
        <w:t xml:space="preserve"> El principal es que la caída del consumo en EE. UU. (volumen de destilados −9 % en FY2026) sea estructural: es el bajista, −30 % [1]. Le siguen los aranceles (c.200 M anuales sin mitigar) y la ejecución del plan con un equipo nuevo [7]. Catalizadores: actualización del 1T y junta el 5-nov-2026, cierre de EABL antes de fin de año y resultados del 1S en febrero. En los foros el tono está dividido: confían en Lewis, pero piden crecimiento y no solo recortes [98, 100].</w:t>
      </w:r>
    </w:p>
    <w:p>
      <w:pPr>
        <w:spacing w:after="100"/>
      </w:pPr>
      <w:r>
        <w:rPr>
          <w:b/>
        </w:rPr>
        <w:t xml:space="preserve">Qué cambiaría la decisión.</w:t>
      </w:r>
      <w:r>
        <w:t xml:space="preserve"> La regla da Comprar por debajo de 23,13 USD (17,48 GBP), donde está hoy el precio, Mantener hasta 29,60 USD (22,36 GBP) y Vender por encima; la convicción subiría si el volumen de Norteamérica se estabiliza. Pasaríamos a Mantener si el 1S FY2027 trae ventas orgánicas por debajo de −2 % o el margen operativo baja, o si la venta de EABL se retrasa más allá de junio de 2027.</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23,19 USD (17,52 GBP)</w:t>
      </w:r>
      <w:r>
        <w:t xml:space="preserve"> (rentabilidad +7,0 % (base +4,5 %)) · Valor intrínseco: 23,85 USD (18,02 GBP) (+7,7 % sobre 22,14) · con la prima implícita del mercado: 26,12 (19,73 GBP) (+18,0 %)</w:t>
      </w:r>
    </w:p>
    <w:p>
      <w:pPr>
        <w:spacing w:after="100"/>
      </w:pPr>
      <w:r>
        <w:t xml:space="preserve">Diageo es el mayor grupo de espirituosos del mundo, con marcas que llevan siglos (Johnnie Walker, Guinness, Smirnoff, Baileys, Don Julio) y un margen EBITDA del 32,7 % que ningún rival cotizado de su tamaño iguala salvo Constellation [1, 81]. Su ventaja es difícil de copiar: 8.510 M USD de whisky envejeciendo en barricas y una distribución en casi 180 países [2]. Pero lleva tres años sin crecer: ventas de 20.516 M en FY2022 y 19.643 M en FY2026, con el volumen de destilados en EE. UU. cayendo un 9 % el último año [1].</w:t>
      </w:r>
    </w:p>
    <w:p>
      <w:pPr>
        <w:spacing w:after="100"/>
      </w:pPr>
      <w:r>
        <w:t xml:space="preserve">El precio descuenta casi un estancamiento. El DCF inverso da un crecimiento implícito del 1,3 % anual con nuestros márgenes, o un margen del 32,9 % con nuestro crecimiento: el plan de ahorro de c.1.000 M no dejaría nada [13]. El EV/EBITDA de 10,6x está un 25 % por debajo de su media de cinco años, en la zona de Pernod.</w:t>
      </w:r>
    </w:p>
    <w:p>
      <w:pPr>
        <w:spacing w:after="100"/>
      </w:pPr>
      <w:r>
        <w:t xml:space="preserve">El mercado acierta en que el crecimiento ya no es el de antes y en que el capital rinde menos (ROIC del 17,0 % al 12,6 %). Se equivoca, creemos, en dar por perdido el margen: el 70 % del coste del plan ya está cargado y Lewis tiene precedente en Tesco [38]. Para invertir hay que creer que Norteamérica se estabiliza en dos años y aceptar una rentabilidad propia del 10,0 % con un Tesoro al 5,22 %.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 USD (17,52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 × 1,41 = 17,20 · 13,8x × 1,64 = 22,63 · 17,9x × 1,80 = 32,22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 (nuestro base -15,8 %)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23,85 USD (18,02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1,3235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 USD (16,73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 / -30,2 %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8,0 %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26,12 USD (19,73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frente a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20,60 (15,56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20,60 y 26,32 (15,56 y 19,89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26,32 (19,89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las ventas orgánicas del 1S FY2027 caen más de un 2 %, pasaríamos a Mantener.</w:t>
      </w:r>
    </w:p>
    <w:p>
      <w:pPr>
        <w:pStyle w:val="ListParagraph"/>
        <w:numPr>
          <w:ilvl w:val="0"/>
          <w:numId w:val="2"/>
        </w:numPr>
        <w:spacing w:after="60"/>
      </w:pPr>
      <w:r>
        <w:t xml:space="preserve">Si el margen operativo antes de excepcionales del 1S FY2027 no mejora frente al 1S FY2026, pasaríamos a Mantener.</w:t>
      </w:r>
    </w:p>
    <w:p>
      <w:pPr>
        <w:pStyle w:val="ListParagraph"/>
        <w:numPr>
          <w:ilvl w:val="0"/>
          <w:numId w:val="2"/>
        </w:numPr>
        <w:spacing w:after="60"/>
      </w:pPr>
      <w:r>
        <w:t xml:space="preserve">Si la venta de EABL no se cierra antes de junio de 2027, revisaríamos el puente (−1,03 USD por acción) y la recomendación.</w:t>
      </w:r>
    </w:p>
    <w:p>
      <w:pPr>
        <w:pStyle w:val="ListParagraph"/>
        <w:numPr>
          <w:ilvl w:val="0"/>
          <w:numId w:val="2"/>
        </w:numPr>
        <w:spacing w:after="60"/>
      </w:pPr>
      <w:r>
        <w:t xml:space="preserve">Si el precio supera 29,60 USD (22,36 GBP) sin cambio en las cifras, pasaríamos a Vender o reducir.</w:t>
      </w:r>
    </w:p>
    <w:p>
      <w:pPr>
        <w:pStyle w:val="ListParagraph"/>
        <w:numPr>
          <w:ilvl w:val="0"/>
          <w:numId w:val="2"/>
        </w:numPr>
        <w:spacing w:after="60"/>
      </w:pPr>
      <w:r>
        <w:t xml:space="preserve">Si EE. UU. sube los aranceles sobre el escocés o retira la exención del T-MEC al tequila, rebajaríamos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las ventas del 1,3 % anual durante diez años, o el margen de FY2026 sin mejora, con una rentabilidad implícita del 8,5 %. Es decir, que el plan de Lewis estabiliza el negocio pero no recupera márgenes, y que el consumo de destilados en EE. UU. no vuelve a crecer.</w:t>
      </w:r>
    </w:p>
    <w:p>
      <w:pPr>
        <w:keepNext/>
        <w:spacing w:after="100"/>
      </w:pPr>
      <w:r>
        <w:rPr>
          <w:b/>
          <w:bCs/>
        </w:rPr>
        <w:t xml:space="preserve">Lo que creemos nosotros.</w:t>
      </w:r>
    </w:p>
    <w:p>
      <w:pPr>
        <w:spacing w:after="100"/>
      </w:pPr>
      <w:r>
        <w:t xml:space="preserve">Un crecimiento del 2,2 % anual, por debajo de la salida del plan (2,5-3 %), y un margen que sube 1,8 puntos hasta el 34,5 % de FY2022 porque llega algo más de un tercio (≈ 350 M) de los ahorros. Coincidimos con el consenso en FY2027e y estamos algo por debajo después.</w:t>
      </w:r>
    </w:p>
    <w:p>
      <w:pPr>
        <w:keepNext/>
        <w:spacing w:after="100"/>
      </w:pPr>
      <w:r>
        <w:rPr>
          <w:b/>
          <w:bCs/>
        </w:rPr>
        <w:t xml:space="preserve">Por qué podemos tener razón.</w:t>
      </w:r>
    </w:p>
    <w:p>
      <w:pPr>
        <w:spacing w:after="100"/>
      </w:pPr>
      <w:r>
        <w:t xml:space="preserve">El coste de los ahorros ya está pagado en buena parte (c.70 % cargado en FY2026) y el 40 % llega en FY2027; incluso reinvirtiendo la mayoría, el margen tiene recorrido [13]. Pero la diferencia con el mercado es pequeña: no es una visión contraria, sino una apuesta a que la tasa que pide el mercado es la buena.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2,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mínimos</w:t>
      </w:r>
      <w:r>
        <w:t xml:space="preserve">: EV/EBITDA de 10,6x, un 25 % por debajo de su media de cinco años (14,1x).</w:t>
      </w:r>
    </w:p>
    <w:p>
      <w:pPr>
        <w:pStyle w:val="ListParagraph"/>
        <w:numPr>
          <w:ilvl w:val="0"/>
          <w:numId w:val="2"/>
        </w:numPr>
        <w:spacing w:after="60"/>
      </w:pPr>
      <w:r>
        <w:rPr>
          <w:b/>
        </w:rPr>
        <w:t xml:space="preserve">Ahorro ya pagado</w:t>
      </w:r>
      <w:r>
        <w:t xml:space="preserve">: c.1.000 M de ahorros con el 70 % del coste cargado en FY2026; el precio descuenta que no deje nada [13].</w:t>
      </w:r>
    </w:p>
    <w:p>
      <w:pPr>
        <w:pStyle w:val="ListParagraph"/>
        <w:numPr>
          <w:ilvl w:val="0"/>
          <w:numId w:val="2"/>
        </w:numPr>
        <w:spacing w:after="60"/>
      </w:pPr>
      <w:r>
        <w:rPr>
          <w:b/>
        </w:rPr>
        <w:t xml:space="preserve">Desapalancamiento con fecha</w:t>
      </w:r>
      <w:r>
        <w:t xml:space="preserve">: la venta de EABL (c.2.300 M) baja la deuda 0,25x antes de fin de 2026 [87].</w:t>
      </w:r>
    </w:p>
    <w:p>
      <w:pPr>
        <w:pStyle w:val="ListParagraph"/>
        <w:numPr>
          <w:ilvl w:val="0"/>
          <w:numId w:val="2"/>
        </w:numPr>
        <w:spacing w:after="60"/>
      </w:pPr>
      <w:r>
        <w:rPr>
          <w:b/>
        </w:rPr>
        <w:t xml:space="preserve">Marcas que sí crecen</w:t>
      </w:r>
      <w:r>
        <w:t xml:space="preserve">: Guinness +12 % y el escocés +2 % en FY2026, con Europa (+5,7 %) y Latinoamérica creciendo [1].</w:t>
      </w:r>
    </w:p>
    <w:p>
      <w:pPr>
        <w:pStyle w:val="ListParagraph"/>
        <w:numPr>
          <w:ilvl w:val="0"/>
          <w:numId w:val="2"/>
        </w:numPr>
        <w:spacing w:after="60"/>
      </w:pPr>
      <w:r>
        <w:rPr>
          <w:b/>
        </w:rPr>
        <w:t xml:space="preserve">Moët Hennessy con suelo</w:t>
      </w:r>
      <w:r>
        <w:t xml:space="preserve">: 2,29 USD por acción a valor contable, con una opción de venta a LVMH al 80 % del valor razonable [2].</w:t>
      </w:r>
    </w:p>
    <w:p>
      <w:pPr>
        <w:pStyle w:val="Heading2"/>
      </w:pPr>
      <w:r>
        <w:t xml:space="preserve">En contra</w:t>
      </w:r>
    </w:p>
    <w:p>
      <w:pPr>
        <w:pStyle w:val="ListParagraph"/>
        <w:numPr>
          <w:ilvl w:val="0"/>
          <w:numId w:val="2"/>
        </w:numPr>
        <w:spacing w:after="60"/>
      </w:pPr>
      <w:r>
        <w:rPr>
          <w:b/>
        </w:rPr>
        <w:t xml:space="preserve">EE. UU. no para de caer</w:t>
      </w:r>
      <w:r>
        <w:t xml:space="preserve">: volumen de destilados −9 % y tequila −21 % en FY2026 [1].</w:t>
      </w:r>
    </w:p>
    <w:p>
      <w:pPr>
        <w:pStyle w:val="ListParagraph"/>
        <w:numPr>
          <w:ilvl w:val="0"/>
          <w:numId w:val="2"/>
        </w:numPr>
        <w:spacing w:after="60"/>
      </w:pPr>
      <w:r>
        <w:rPr>
          <w:b/>
        </w:rPr>
        <w:t xml:space="preserve">El capital rinde menos</w:t>
      </w:r>
      <w:r>
        <w:t xml:space="preserve">: ROIC del 17,0 % al 12,6 % en cuatro años y ROIC incremental negativo.</w:t>
      </w:r>
    </w:p>
    <w:p>
      <w:pPr>
        <w:pStyle w:val="ListParagraph"/>
        <w:numPr>
          <w:ilvl w:val="0"/>
          <w:numId w:val="2"/>
        </w:numPr>
        <w:spacing w:after="60"/>
      </w:pPr>
      <w:r>
        <w:rPr>
          <w:b/>
        </w:rPr>
        <w:t xml:space="preserve">El whisky inmoviliza caja</w:t>
      </w:r>
      <w:r>
        <w:t xml:space="preserve">: el circulante pasó del 24,4 % al 37,6 % de las ventas [2].</w:t>
      </w:r>
    </w:p>
    <w:p>
      <w:pPr>
        <w:pStyle w:val="ListParagraph"/>
        <w:numPr>
          <w:ilvl w:val="0"/>
          <w:numId w:val="2"/>
        </w:numPr>
        <w:spacing w:after="60"/>
      </w:pPr>
      <w:r>
        <w:rPr>
          <w:b/>
        </w:rPr>
        <w:t xml:space="preserve">Equipo nuevo</w:t>
      </w:r>
      <w:r>
        <w:t xml:space="preserve">: tres consejeros delegados en 15 meses y otro director financiero en 2027 [36, 37, 38, 39].</w:t>
      </w:r>
    </w:p>
    <w:p>
      <w:pPr>
        <w:pStyle w:val="ListParagraph"/>
        <w:numPr>
          <w:ilvl w:val="0"/>
          <w:numId w:val="2"/>
        </w:numPr>
        <w:spacing w:after="60"/>
      </w:pPr>
      <w:r>
        <w:rPr>
          <w:b/>
        </w:rPr>
        <w:t xml:space="preserve">Excepcionales cada año</w:t>
      </w:r>
      <w:r>
        <w:t xml:space="preserve">: 2.527 M en FY2026; el beneficio publicado es menos de la mitad del ajustado [1].</w:t>
      </w:r>
    </w:p>
    <w:p>
      <w:pPr>
        <w:pStyle w:val="ListParagraph"/>
        <w:numPr>
          <w:ilvl w:val="0"/>
          <w:numId w:val="2"/>
        </w:numPr>
        <w:spacing w:after="60"/>
      </w:pPr>
      <w:r>
        <w:rPr>
          <w:b/>
        </w:rPr>
        <w:t xml:space="preserve">Tasa exigente</w:t>
      </w:r>
      <w:r>
        <w:t xml:space="preserve">: la rentabilidad implícita (8,5 %) apenas supera nuestro WACC (8,01 %).</w:t>
      </w:r>
    </w:p>
    <w:p>
      <w:pPr>
        <w:pStyle w:val="Heading2"/>
      </w:pPr>
      <w:r>
        <w:t xml:space="preserve">Qué tiene que pasar para que la tesis funcione</w:t>
      </w:r>
    </w:p>
    <w:p>
      <w:pPr>
        <w:spacing w:after="100"/>
      </w:pPr>
      <w:r>
        <w:t xml:space="preserve">La tesis depende de que Norteamérica deje de caer en FY2027-FY2028, como promete el CMD (de −medio dígito a plano), y de que el margen operativo suba con los primeros ahorros [13]. La señal de que no se cumple sería un volumen de destilados en EE. UU. por debajo de −5 % en la actualización del 1T (5-nov-2026) o en el 1S (febrero de 2027), o un margen operativo semestral sin mejora pese al 40 % del ahorro.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reportado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−5 % en el 1S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37 % de las ventas y el centro del bajista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antes de excepcionales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mejora en el 1S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los ahorros llegan al margen [1, 13].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Precio/mezcla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semestres más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que sostiene el foso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en envejecimiento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8.510 M USD (43 %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9.000 M sin crecimiento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inversión que más resta al flujo libre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deuda neta/EBITDA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3,0x en jun-2027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es el punto medio de 2,5-3,0x tras EABL [13].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 / 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28,4x / 13,4x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 · 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Diageo nace en 1997 de la fusión de Grand Metropolitan y Guinness [19]; la sociedad cotizada se constituyó el 21 de octubre de 1886 [2]. En 2000 vendió la alimentación (Burger King, Pillsbury) para centrarse en bebidas premium y en 2001 compró parte de Seagram (Captain Morgan, Crown Royal) [19]. La década de 2010 se definió por la entrada en India (United Spirits, 2013) y el giro al tequila (Don Julio en 2015, Casamigos en 2017) [19]. Tras la muerte de Sir Ivan Menezes, Debra Crew fue consejera delegada desde el 8 de junio de 2023 [18] hasta su salida el 16 de julio de 2025; Nik Jhangiani fue consejero delegado interino hasta el 31 de diciembre de 2025 y Sir Dave Lewis lo es desde el 1 de enero de 2026 [2]. En diciembre de 2025 acordó vender su participación en EABL a Asahi por unos 2.300 M USD y el 6 de agosto de 2026 presentó en su Capital Markets Day un plan de reestructuración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la sociedad que hoy es Diageo plc (21 de octubre de 1886)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Grand Metropolitan y Guinness: nace Diageo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negocios de alimentación (Burger King, Pillsbury) para centrarse en bebidas premium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parte del negocio de bebidas de Seagram, con Captain Morgan y Crown Royal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fase de la compra de United Spirits (India); hoy Diageo tiene el 55,88 % [2,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total de Tequila Don Julio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Casamigos, tequila superpremium de EE. UU.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Sichuan Shuijingfang (baijiu) elevada a casi el 70 %; mayoría de Seedlip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Sir Ivan Menezes; Debra Crew, consejera delegada desde el 8 de junio de 2023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Debra Crew dimite el 16 de julio; Nik Jhangiani, consejero delegado interino; en diciembre se acuerda vender EABL a Asahi por unos 2.300 M USD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Sir Dave Lewis, consejero delegado desde el 1 de enero; nueva política de dividendo (suelo de 50 c, 30-50 % de reparto) en febrero [16]; Capital Markets Day el 6 de agosto con reestructuración de 1.200 M USD y ahorro de unos 1.000 M USD [2].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Diageo vende más de 200 marcas de bebidas espirituosas y cerveza en unos 180 países, con más de 27.500 empleados y más de 110 plantas [2]. En el FY26 ingresó 19.643 M USD de ventas netas [1]. Por categoría, el whisky escocés pesa el 24 % de las ventas netas (Johnnie Walker, Buchanan's), la cerveza el 18 % (Guinness), el tequila el 12 % (Don Julio, Casamigos), el vodka el 8 % (Smirnoff, Ketel One), el whisky canadiense el 6 % (Crown Royal), ron y licores el 5 % cada uno (Captain Morgan, Baileys), ginebra, whisky indio y bebidas listas para tomar el 4 % cada uno, y whiskey estadounidense y baijiu el 2 % [2]. Norteamérica, su mayor mercado, aportó 7.249 M USD (36,9 % del total) [2]. Vende sobre todo a mayoristas y distribuidores (en EE. UU. y Canadá, también a monopolios estatales y provinciales), a cadenas de distribución moderna, a plataformas digitales, directamente a tiendas y, en menor medida, al consumidor [2]. Destila en Escocia, Irlanda, EE. UU., Canadá, México, India, Brasil, Türkiye, África y China [2].</w:t>
      </w:r>
    </w:p>
    <w:p>
      <w:pPr>
        <w:pStyle w:val="Heading2"/>
      </w:pPr>
      <w:r>
        <w:t xml:space="preserve">Cómo gana dinero</w:t>
      </w:r>
    </w:p>
    <w:p>
      <w:pPr>
        <w:spacing w:after="100"/>
      </w:pPr>
      <w:r>
        <w:t xml:space="preserve">El margen operativo antes de excepcionales fue del 28,9 % en el FY26 [1]. Depende de la mezcla de producto y mercado: Norteamérica tuvo un margen del 35,9 % y Asia-Pacífico, del 25,4 % [2]. El precio/mezcla fue de +0,8 % en el FY25 y −1,6 % en el FY26, con volumen −0,4 % [1, 16]. Los aranceles de EE. UU. (10 % al Reino Unido, 15 % a la UE; México y Canadá exentos por el T-MEC) suponen unos 200 M USD anuales sin mitigar, de los que la empresa espera compensar la mitad [7]; el beneficio bruto orgánico bajó 506 M USD en el FY26 por mezcla adversa, inflación de costes y aranceles [15]. El whisky escocés exige años de envejecimiento: parte de la inversión va a existencias y no al inmovilizado [2]. Los impuestos especiales se restan de las ventas: 8.119 M USD en el FY26 (27.762 M de ventas brutas) [2]. La marca pesa en el coste: la inversión en marketing de Norteamérica bajó un 13,6 % en el FY26 [2].</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 America and Caribbean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 America and Caribbean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la concentración de clientes ni el peso del primero ni de los diez primeros [2]. En EE. UU. vende con el sistema de tres niveles (productor, mayorista, minorista) y, en algunos estados de control, a juntas estatales [2, 28]. Los mayoristas ajustan sus pedidos al consumo: en el FY26 los envíos de US Spirits crecieron unos 2,5 puntos menos que las ventas al consumidor, porque los distribuidores redujeron inventario; la empresa dice que sus existencias están en niveles históricos [2]. El poder de precios se ha debilitado: el precio/mezcla pasó de +0,8 % en el FY25 a −1,6 % en el FY26, y en US Spirits a −2,5 % [2, 16]. Casamigos está bajando precios y VAT 69, Black &amp; White y J&amp;B se reposicionaron a la baja en Emiratos [2]. En India, las subidas de impuestos de Maharashtra perjudicaron a McDowell's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(millones de unidades equivalentes, cajas de 9 litros)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reexpresado por el modelo de cerveza con pocos activos; disposiciones restan 5,5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 netas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North America −8,4 %, Asia Pacific −6 %, Europe +3 %, LAC +8 %, Africa +13 %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Precio/mezcla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puntos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puntos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adversa en destilados de EE. UU. y baijiu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marketing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 (18,1 %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 (16,2 % de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sitúa el nivel sostenible en c.16 % de las ventas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antes de excepcionales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pb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ahorros de marketing y estructura; margen bruto orgánico −141 pb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c.100 M de devolución fiscal no recurrente y c.300 M de EABL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2,5-3,0x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bebidas espirituosas de marca internacional (incluidas las bebidas listas para tomar) y cerveza premium, donde Diageo dice ser el n.º 1 en espirituosos internacionales por valor de venta al público [2]. Desde 2026 la empresa define su mercado como «total de espirituosos, con las bebidas listas para tomar, y Guinness en cerveza premium» [2]. No hay una serie gratuita del valor mundial de los espirituosos: la serie usa EE. UU. (ingresos de los productores, DISCUS), que es el 36,9 % de las ventas de Diageo [2, 28]. Como contraste se dan las exportaciones de whisky escocés (Scotch Whisky Association) [30] y los volúmenes mundiales de IWSR [31]. El valor mundial de toda la bebida alcohólica fue de 1,17 billones de USD en 2022 (IWSR, citado por Diageo)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EE. UU.: 36.400 M USD de ingresos de los productores de espirituosos en 2025 (−2,2 %), 318,1 millones de cajas de 9 litros (+1,9 %) [28]. Exportaciones de whisky escocés: 5.300 M GBP en 2025 (−1,8 %) [30]. Total mundial de bebidas alcohólicas: 1,17 billones de USD de venta al público en 2022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os productores de espirituosos en EE. UU., DISC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gamas alta y superpremium suman el 58 % de los ingresos pero bajan en volumen (−1,5 y −1,1 millones de cajas en 2025) [28]. Diageo dice que la premiumización sigue, pero «con más matices», y amplía su escalera de precios y formatos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Moderación del consumo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IWSR prevé que el litro de alcohol puro por persona baje medio litro hasta 2035; el volumen mundial caerá hasta 2031 y en 2035 estará un 1 % por debajo de 2025 [31]. Diageo dice que los datos de Numerator muestran menos efecto de los GLP-1 en los espirituosos que en la cerveza y el vino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listas para tomar (RTD)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RTD crecieron un 16 % hasta 3.800 M USD en 2025; sin ellas, los espirituosos cayeron un 4 % [28, 29]. IWSR prevé +17 % de volumen de RTD en diez años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Demografía y mercados emergentes (India)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en edad legal de beber crecerá un 9 % hasta 2035; India sumará un 38 % de consumiciones y superará a EE. UU. en 2032 [31]. India es el primer mercado del whisky escocés en volumen (220 millones de botellas, +15 %)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 al Reino Unido y 15 % a la UE desde 2025; México y Canadá exentos por el T-MEC; coste para Diageo de unos 200 M USD anuales sin mitigar [7]. Exportaciones de whisky escocés a EE. UU.: −15 % en volumen entre mayo y diciembre de 2025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(baijiu y austeridad)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Diageo en la Gran China cayeron un 34,9 % en el FY26 por un descenso del 41,9 % del volumen de baijiu tras cambios de política que redujeron las ocasiones de consumo [2]. Las consumiciones en China cayeron un 7 % en 2025 [31].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FY26, Pernod bajó un 3,9 % orgánico y Diageo un 2,0 %; en EE. UU. el tequila de Diageo perdió cuota frente a una «mayor intensidad competitiva» y los precios bajan (precio/mezcla −1,6 % en Diageo) [1, 2,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el sistema de tres niveles obliga a vender a través de mayoristas, que redujeron inventario en el FY26 (envíos unos 2,5 puntos por debajo del consumo) [2]. La gran distribución y los monopolios estatales negocian precio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(cereal, agave, melaza, vidrio) son genéricas; el agave más barato mejoró el margen del FY26 en Norteamérica [2]. Un tercio de las ventas está expuesto a zonas con estrés hídrico alto o muy alto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whisky escocés exige años de envejecimiento y la distribución en EE. UU. depende de mayoristas; las marcas nuevas de éxito suelen acabar compradas por los grandes (Casamigos, Aviation Gin) [2,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RTD y las bebidas sin alcohol crecen (cerveza sin alcohol +8 % de volumen en 2025), y la moderación y los GLP-1 restan consumo [2, 31]. Los espirituosos ganaron 13 puntos de cuota en el alcohol de EE. UU. desde 2000 (42,4 % en 2025) [28].</w:t>
            </w:r>
          </w:p>
        </w:tc>
      </w:tr>
    </w:tbl>
    <w:p>
      <w:pPr>
        <w:spacing w:after="160" w:before="0"/>
      </w:pPr>
    </w:p>
    <w:p>
      <w:pPr>
        <w:pStyle w:val="Heading2"/>
      </w:pPr>
      <w:r>
        <w:t xml:space="preserve">Ciclo</w:t>
      </w:r>
    </w:p>
    <w:p>
      <w:pPr>
        <w:spacing w:after="100"/>
      </w:pPr>
      <w:r>
        <w:t xml:space="preserve">Los indicadores son los ingresos de los productores en EE. UU. (DISCUS), los volúmenes de IWSR y las ventas orgánicas de los grandes grupos. En 2008-09 el mercado de EE. UU. no cayó: 18.700 M USD en ambos años [28]. En 2020-21 subió un 10 % y un 12 % con el consumo en casa [28]. Desde 2022 se estanca: 37.600 M en 2022, 37.700 M en 2023, 37.200 M en 2024 y 36.400 M en 2025 [28], con desestocaje de los mayoristas y menor renta disponible. En el mundo, el volumen de espirituosos cayó un 3 % en 2025 [31], y Diageo y Pernod cayeron un 2,0 % y un 3,9 % orgánico en el FY26 [1, 21].</w:t>
      </w:r>
    </w:p>
    <w:p>
      <w:pPr>
        <w:pStyle w:val="Heading2"/>
      </w:pPr>
      <w:r>
        <w:t xml:space="preserve">Regulación</w:t>
      </w:r>
    </w:p>
    <w:p>
      <w:pPr>
        <w:spacing w:after="100"/>
      </w:pPr>
      <w:r>
        <w:t xml:space="preserve">Aranceles de EE. UU. desde 2025: 10 % a los productos del Reino Unido y 15 % a los de la UE; tequila mexicano y whisky canadiense exentos si cumplen el T-MEC [7, 24]. Se discute la posible subida al 35 % de la tarifa sobre el whisky de malta escocés (vence una suspensión de cinco años) y la revisión de los aranceles tras el fallo del Tribunal Supremo de EE. UU. [7, 30]. En mayo de 2026 Diageo celebró una noticia sobre el whisky escocés y los aranceles en EE. UU., con efecto mínimo en el FY26 y más relevante para el FY27 [17]. Impuestos especiales: en el Reino Unido, el impuesto a los espirituosos subió más del 17 % en tres años y se cobra por graduación [2, 30]; en India, Maharashtra subió impuestos en el FY26 [2]. En EE. UU. regulan la TTB federal y los estados (precios, etiquetado, publicidad, distribución) [2]. Rémy Cointreau cita un precio mínimo de importación del coñac en China acordado con el MOFCOM [24].</w:t>
      </w:r>
    </w:p>
    <w:p>
      <w:pPr>
        <w:pStyle w:val="Heading2"/>
      </w:pPr>
      <w:r>
        <w:t xml:space="preserve">Tendencias y disrupción</w:t>
      </w:r>
    </w:p>
    <w:p>
      <w:pPr>
        <w:spacing w:after="100"/>
      </w:pPr>
      <w:r>
        <w:t xml:space="preserve">Las RTD son el segmento que más crece: 1.000 millones de cajas de 9 litros en el mundo en 2025 [31] y +16 % en EE. UU. [28]; Diageo, que creó el segmento con Smirnoff Ice, reconoce que «perdió el foco» y lo vuelve a integrar con sus marcas [2]. La cerveza sin alcohol (+8 % de volumen) favorece a Guinness 0.0, la cerveza sin alcohol n.º 1 en el Reino Unido [2, 31]. El consumo se desplaza a India, México, Colombia y Vietnam, y cae en China, EE. UU., Japón, Alemania y Reino Unido [31]. El tequila, motor de la década en EE. UU., bajó un 4,1 % en 2025 [28] y Diageo perdió cuota en él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espirituosos internacionales por valor de venta al público; sus ventas netas son 1,8 veces las del segundo (IWSR 2025) [2]. Cuota del 4,7 % del valor total de bebidas alcohólicas en 2022 (IWSR, la última que publicó) [18]. En tequila tenía algo más del 23 % del valor mundial en el FY23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mundial. FY26 (julio 2025-junio 2026): 9.404 M EUR (−3,9 % orgánico), resultado operativo recurrente de 2.423 M EUR; convertido a 1,1662 USD/EUR (media BCE del ejercicio) [21,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cerveza mexicana importada en EE. UU. (Modelo, Corona); compite con Guinness y las RTD. FY26 (a febrero de 2026): beneficio operativo de 2.721 M USD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(Vinos y Licores, Moët Hennessy)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(Hennessy); Diageo tiene el 34 %. 2025: 5.358 M EUR y resultado operativo de 1.016 M EUR; a 1,1300 USD/EUR (media BCE de 2025) [27,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BF-B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Daniel's, Woodford Reserve, Herradura. FY26 (a abril de 2026): ventas netas de 3.928 M USD y beneficio operativo de 1.001 M USD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CPR.MI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Aperitivos (Aperol, Campari), Espolòn, Wild Turkey, Courvoisier. 2025: 3.051 M EUR (+2,4 % orgánico); margen EBIT ajustado; a 1,1300 USD/EUR [25,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Becle (Jose Cuervo)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CUERVO.MX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tequila. 2025: 43.087 M MXN (−2,0 %), beneficio operativo de 9.664 M MXN; a 19,178 MXN/USD (media BCE de 2025) [26,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Rémy Cointreau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RCO.PA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Coñac (Rémy Martin) y licores. Ejercicio 2025-26 (a marzo de 2026): 935,3 M EUR (+0,2 % orgánico) y resultado operativo corriente de 165,4 M EUR; a 1,1591 USD/EUR [24,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 una botella no aumenta con el número de consumidores.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en el FY26 el tequila de Diageo perdió cuota en EE. UU. y Casamigos bajó un 27,7 %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Johnnie Walker es la marca de espirituosos internacional más vendida [7]; Guinness creció a doble dígito en Europa en el FY26 [1]. Margen antes de excepcionales del 28,9 %, por encima de Pernod (25,8 %), Brown-Forman (25,5 %) y Campari (20,9 %) [2, 10, 11, 14]. Se debilita: precio/mezcla −1,6 % y deterioros de 1.489 M USD (marcas, inmovilizado y otros activos) en el FY26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110 plantas y existencias de whisky envejecido que los entrantes no tienen; el plan de 2026 promete unos 1.000 M USD de ahorro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1,8 veces las del segundo (19.643 M USD frente a 10.967 M de Pernod) [1, 2, 10]; presencia en unos 180 países y distribución propia o con socios en EE. UU., India y África [1].</w:t>
            </w:r>
          </w:p>
        </w:tc>
      </w:tr>
    </w:tbl>
    <w:p>
      <w:pPr>
        <w:spacing w:after="160" w:before="0"/>
      </w:pPr>
    </w:p>
    <w:p>
      <w:pPr>
        <w:pStyle w:val="Heading2"/>
      </w:pPr>
      <w:r>
        <w:t xml:space="preserve">Amenazas</w:t>
      </w:r>
    </w:p>
    <w:p>
      <w:pPr>
        <w:spacing w:after="100"/>
      </w:pPr>
      <w:r>
        <w:t xml:space="preserve">Primero, la erosión de precios: en el FY26, el precio/mezcla fue negativo en el grupo (−1,6 %) y en US Spirits (−2,5 %), Casamigos y varias marcas de whisky escocés se reposicionan a la baja y Pernod defiende margen con recortes [1, 2, 21]. Segundo, la pérdida de cuota en el tequila de EE. UU. frente a competidores más agresivos (ventas −21,1 %) [2]. Tercero, el desplazamiento del consumo a las RTD y a los productos sin alcohol, donde la marca pesa menos [28, 31]. Cuarto, los aranceles: unos 200 M USD anuales sin mitigar y la posible subida de la tarifa al whisky de malta escocés [7, 30]. Quinto, en China, el baijiu de Shui Jing Fang depende de la política de austeridad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FY2022-FY2026: ingresos </w:t>
      </w:r>
      <w:r>
        <w:rPr>
          <w:b/>
          <w:bCs/>
        </w:rPr>
        <w:t xml:space="preserve">-1,1 %</w:t>
      </w:r>
      <w:r>
        <w:t xml:space="preserve">, EBITDA </w:t>
      </w:r>
      <w:r>
        <w:rPr>
          <w:b/>
          <w:bCs/>
        </w:rPr>
        <w:t xml:space="preserve">-2,4 %</w:t>
      </w:r>
      <w:r>
        <w:t xml:space="preserve">, BPA </w:t>
      </w:r>
      <w:r>
        <w:rPr>
          <w:b/>
          <w:bCs/>
        </w:rPr>
        <w:t xml:space="preserve">-19,3 %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netas casi planas en cinco años: 20.516 M USD en FY2022 y 19.643 M en FY2026 [1, 6]. El orgánico pasó de +6,5 % en FY2023 a −0,6 % en FY2024 (LAC −21 % de volumen), +1,7 % en FY2025 y −2,0 % en FY2026 [1, 3, 4, 5]. Las ventas reportadas restan además las desinversiones africanas (Guinness Nigeria, Ghana, Seychelles) y el traspaso de Cîroc: 458 M USD de ventas netas en la base de FY2025 [1]. El beneficio operativo antes de excepcionales bajó de 6.313 M (FY2023) a 5.945 (FY2024), 5.704 (FY2025) y 5.683 (FY2026); el margen pasó del 30,7 % al 28,9 % [1, 3, 4]. En FY2026 el margen orgánico subió 116 pb por menos marketing (−13 % orgánico) y estructura, con margen bruto orgánico −141 pb por mezcla, inflación de costes y aranceles [1]. Las asociadas (sobre todo Moët Hennessy) bajaron de 555 M en FY2022 a 218 M en FY2026 [1, 6].</w:t>
      </w:r>
    </w:p>
    <w:p>
      <w:pPr>
        <w:pStyle w:val="Heading2"/>
      </w:pPr>
      <w:r>
        <w:t xml:space="preserve">Ajustes y partidas no recurrentes</w:t>
      </w:r>
    </w:p>
    <w:p>
      <w:pPr>
        <w:spacing w:after="100"/>
      </w:pPr>
      <w:r>
        <w:t xml:space="preserve">EBIT y beneficio neto son los reportados. El EBITDA de la tabla es el EBIT reportado más la amortización ordinaria (sin deterioros excepcionales); no_recurrentes_en_ebitda recoge todos los excepcionales operativos (deterioros, reestructuración, cambios de distribución, litigios), de modo que EBITDA y EBIT ajustados son los antes de excepcionales de la empresa: EBIT 5.683 M y EBITDA 6.432 M en FY2026 [1]. El EBITDA ajustado de Diageo (6.650 M) incluye además el resultado de asociadas (218 M) [1]. Excepcionales operativos: 519 M (FY2022, estimado), 766 (FY2023), ganancia de 56 (FY2024, reversión de deterioros), 1.369 (FY2025) y 2.527 (FY2026: Türkiye 786, Don Papa 287, reestructuración 908) [1, 3, 4, 5]: se repiten casi todos los años. resultado_financiero es la diferencia entre BAI y EBIT: incluye financieros netos (−816 M en FY2026), partidas no operativas (+6) y asociadas (+218) [1]. BPA diluido reportado; el BPA antes de excepcionales fue 1,653 USD (FY2026), 1,642 (FY2025), 1,796 (FY2024) y 1,965 (FY2023) [1, 3,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(25-feb-2026), primeros de Sir Dave Lewis como consejero delegado (desde el 1-ene-2026): ventas orgánicas −2,8 %, beneficio operativo orgánico −2,8 %, recorte del dividendo a una política de reparto del 30-50 % con suelo de 50 centavos anuales, y venta de EABL a Asahi por c.2.300 M USD netos [7]. Las preguntas giraron sobre si hacía falta rebajar el beneficio de FY2027 para financiar la recuperación (UBS), la inversión en precio en EE. UU. (Casamigos), la cultura y la ejecución comercial, y nuevas ventas de activos; la dirección no dio guía de FY2027 y dijo que no prevé más ventas de marcas que la rotación normal de cartera [7, 11].</w:t>
      </w:r>
    </w:p>
    <w:p>
      <w:pPr>
        <w:spacing w:after="100"/>
      </w:pPr>
      <w:r>
        <w:t xml:space="preserve">Resultados de FY2026 y Capital Markets Day (6-ago-2026): el discurso pasó de «estabilizar» a un plan a tres años con guía cerrada (ventas planas en FY2027, beneficio de bajo a medio dígito, flujo libre de 2.000 M tras 850 M de reestructuración) y la tesis de que no hace falta rebajar márgenes [13]. Los analistas preguntaron por la hipótesis de un mercado de EE. UU. que pasa de −3 % a plano (JP Morgan), por si el 16 % de marketing es suficiente (Deutsche Bank) y por el uso de la caja al volver al rango de apalancamiento (Bank of America) [14]. La dirección evitó concretar recompras o subida de dividendo («no nos pregunten más») y no reveló las otras alternativas estratégicas que estudió el consejo [13,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Deuda financiera bruta (sin arrendamientos) de 19.385 M USD en FY2022 a 23.748 M en FY2025 y 21.511 M en FY2026; deuda neta publicada 21.854 M (FY2025) y 20.482 M (FY2026) [1, 3]. El apalancamiento ajustado bajó de 3,4x a 3,1x por el flujo libre y el recorte del dividendo; la venta de EABL lo bajará c.0,25x y la de RCB c.0,1x [1, 13]. Las existencias son la partida clave del circulante: 10.529 M en FY2026, de las que 8.510 M son existencias en envejecimiento (7.123 M de whisky, 5.592 M de ellas escocés) [1, 2]. Tipo efectivo de la deuda: 3,9 % en FY2026, 4,1 % en FY2025 y 4,3 % en FY2024, sobre una deuda neta media mensual de 21.684 M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13.965</w:t>
      </w:r>
      <w:r>
        <w:t xml:space="preserve">, conversión </w:t>
      </w:r>
      <w:r>
        <w:rPr>
          <w:b/>
          <w:bCs/>
        </w:rPr>
        <w:t xml:space="preserve">84 %</w:t>
      </w:r>
      <w:r>
        <w:t xml:space="preserve"> del beneficio neto; adquisiciones 1.206, dividendos 10.751, recompras 5.664.</w:t>
      </w:r>
    </w:p>
    <w:p>
      <w:pPr>
        <w:spacing w:after="100"/>
      </w:pPr>
      <w:r>
        <w:t xml:space="preserve">Los intereses pagados (1.044 M USD en FY2026) y los dividendos de asociadas (116 M) van en el flujo de explotación [1]. El flujo libre de la empresa (explotación menos capex neto) fue 3.211 M en FY2026 y 2.748 M en FY2025 [1]. En FY2026 mejoró por menos capex (1.197 M frente a 1.612 M), casi nula salida de caja por existencias en envejecimiento y menos impuestos pagados (incluida una devolución de c.100 M), pese a c.100-125 M de existencias acumuladas antes del nuevo ERP y al pago a Moët Hennessy por la ruptura de la distribución [1, 15]. FY2023 fue el año débil: 3.636 M de explotación por un aumento de 1.414 M del circulante (810 M de existencias) [4]. Dividendos: solo los de la dominante; a minoritarios se pagaron 164 M (FY2026), 138 (FY2025), 117 (FY2024) y 117 (FY2023) [1, 3, 4]. Compras de minoritarios (EABL, otras): 223 M en FY2024 y 178 M en FY2023, no incluidas en adquisiciones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desde el FY2016 (11 ejercicios), con concurso en el FY2024 y opinión favorable; sus cuestiones clave son el valor de marcas, fondo de comercio y asociadas, las posiciones fiscales de Brasil y las pensiones [2]. La señal más importante es que </w:t>
      </w:r>
      <w:r>
        <w:rPr>
          <w:b/>
        </w:rPr>
        <w:t xml:space="preserve">los excepcionales se repiten</w:t>
      </w:r>
      <w:r>
        <w:t xml:space="preserve">: 766 M USD en FY2023, 1.369 M en FY2025 y 2.527 M en FY2026, casi todo deterioros de marcas compradas (Aviation, Don Papa, Mey İçki por la hiperinflación turca) y reestructuraciones [1, 3, 4]. Por eso el informe usa el beneficio antes de excepcionales para el EBITDA, pero descuenta en el puente la caja de reestructuración pendiente (c.800 M después de impuestos) [13]. El beneficio operativo antes de excepcionales incluye además ganancias por revalorizar pagos contingentes (+89 M y +139 M), que no son negocio [1]. La hiperinflación de Türkiye y Venezuela mueve la cuenta (ajuste de 332 M en ventas del FY2026) y los cambios de perímetro africanos restan comparabilidad [1]. De los indicadores del motor, el Altman Z (2,11, zona gris) refleja el apalancamiento y no un riesgo de quiebra con un rating A3/A- [12]; el Piotroski (6 de 9) cae por el margen bruto y la rotación; el Beneish M (−2,83) no apunta a manipulación. La exposición fiscal de Brasil (hasta 1.032 M sin provisión) es el pasivo contingente más relevante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Excepcionales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de los últimos cinco años con cargos excepcionales relevantes; el beneficio antes de excepcionales supera al reportado en 2.527 M en FY2026 [1,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compras 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Aviation Gin totalmente deteriorada; Don Papa queda en 103 M tras 287 M de deterioro; Türkiye (Mey İçki) en 689 M tras 786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valor razonable en el beneficio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Remedición de contraprestaciones contingentes: +89 M (FY2026) y +139 M (FY2025) dentro del beneficio antes de excepcionales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1.092 M USD de acreedores sujetos a supply chain finance en FY2026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Hiperinflación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Türkiye y Venezuela con NIC 29; la empresa excluye su efecto del orgánico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-9,2 % · </w:t>
      </w:r>
      <w:r>
        <w:rPr>
          <w:b/>
          <w:bCs/>
        </w:rPr>
        <w:t xml:space="preserve">WACC</w:t>
      </w:r>
      <w:r>
        <w:t xml:space="preserve">: 8,0 %.</w:t>
      </w:r>
    </w:p>
    <w:p>
      <w:pPr>
        <w:spacing w:after="100"/>
      </w:pPr>
      <w:r>
        <w:t xml:space="preserve">Diageo crea valor, pero cada vez menos. El ROIC del motor (NOPAT antes de excepcionales sobre capital invertido) bajó del 17,0 % en FY2022 al 12,6 % en FY2026, frente a un WACC del 8,01 %: sigue cuatro puntos y medio por encima, pero el diferencial se ha estrechado a la mitad. La causa es doble: el margen EBIT cayó del 31,3 % al 28,9 % y la rotación del capital, de 0,46 a 0,41 veces, porque el capital invertido subió de 28.706 M a 33.630 M sin ventas nuevas. El ROIC incremental de los cinco años es negativo: se añadieron unos 5.000 M de capital (sobre todo existencias de whisky en envejecimiento, de c.6.300 M a 8.510 M, y capex de capacidad en tequila y Guinness) y el NOPAT bajó [1, 2]. La propia empresa calcula un ROIC del 13,4 % con las asociadas [1]. Pernod Ricard, con margen EBIT del 25,8 % y más existencias de coñac, está en una situación parecida [24]. La nueva remuneración mide la mejora del ROIC (20 % del plan a largo plazo), lo que va en la buena dirección [2].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1.520 M USD + líneas bancarias comprometidas no dispuestas 4.563 M (1.063 M vencen en un año y 3.500 M después) a 30-jun-2026; respaldan los programas de pagarés en EE. UU. y en euros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y S&amp;P A- (estable); a corto plazo P2 y A2, según la web de deuda de Diageo [12]. La empresa dice que el rango de 2,5-3,0x es compatible con un rating de banda A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activos de planes con superávit 1.006 M USD y pasivos 387 M a 30-jun-2026; la deuda neta ajustada de la empresa suma los 387 M [1]. Financiación de proveedores (supply chain finance) dentro de acreedores: 1.092 M (1.006 M en 2025) [2]. Opción de venta de ILG sobre el 50 % restante de Zacapa: 112 M [1]. Contingentes fiscales en Brasil de hasta c.1.032 M sin provisión (posibilidad «más que remota, menos que probable») [1]. Litigios en India sobre la compra del 6,98 % de USL a UBHL (Tribunal Supremo, sin fecha) y reclamaciones contra Vijay Mallya (Watson condenada a pagar c.135 M) [1]. Pleitos aduaneros sobre el valor declarado de importaciones en varios países [1]. Sin garantías relevantes a terceros; los bonos de filiales están garantizados por Diageo plc [1]. Activos mantenidos para la venta netos 464 M (EABL y RCB) [1].</w:t>
      </w:r>
    </w:p>
    <w:p>
      <w:pPr>
        <w:pStyle w:val="Heading1"/>
      </w:pPr>
      <w:r>
        <w:t xml:space="preserve">12. Asignación de capital</w:t>
      </w:r>
    </w:p>
    <w:p>
      <w:pPr>
        <w:pStyle w:val="Confianza"/>
        <w:spacing w:after="100"/>
      </w:pPr>
      <w:r>
        <w:t xml:space="preserve">Confianza: Media</w:t>
      </w:r>
    </w:p>
    <w:p>
      <w:pPr>
        <w:spacing w:after="100"/>
      </w:pPr>
      <w:r>
        <w:t xml:space="preserve">Política de dividendo desde el 25-feb-2026: reparto del 30-50 % del beneficio, con suelo de 50 centavos por acción y año; el dividendo de FY2026 (20 c a cuenta + 30 c complementario) es 50 c, un reparto del 30 %, frente a 103,48 c en FY2025 [1, 2, 7]. Apalancamiento objetivo de 2,5-3,0x deuda neta ajustada/EBITDA ajustado, que se revisa cada año [2, 13]. Prioridades: invertir en el negocio (marketing, capex y existencias en envejecimiento), devolver caja al accionista y, en último lugar, compras; el plan de FY2027-FY2029 es orgánico y sin adquisiciones [13]. No hay recompra en marcha: la última (programa de 2023) se pagó con 987 M USD en FY2024 [4]; la empresa dice que el consejo decidirá entre más dividendo y recompras al volver al rango [13,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Casamigos (pago final de la contraprestación variable de la compra de 2017)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netas de Casamigos −25 % orgánico en FY2026; reposicionamiento de precio en curso [1,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21Seeds (tequila con sabores)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(62 M GBP iniciales más contraprestación contingente de 59 M GBP)</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específico publicado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 Papa Rum (Kanlaon y Chat Noir); pago inicial de 218 M GBP convertido a 1,20 USD/GBP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246 M EUR iniciales, 4 M EUR aplazados y hasta 178 M EUR contingentes hasta 2028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287 M USD en FY2026 por el declive del ron en Europa; valor contable residual 103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Balcones Distilling (whisky de malta de Texas) y resto de Mr Black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(98 M GBP entre ambas)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específico publicado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14,97 % adicional de EABL (hasta el 65 %); 142 M GBP convertidos a 1,20 USD/GBP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(142 M GBP)</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EABL vendida a Asahi en 2025-26 por c.2.300 M USD netos, cierre previsto en el 2S de 2026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American Gin y Davos Brands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con contraprestación ligada a volumen (113 M GBP pendientes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 231 M USD (FY2025) y 44 M (FY2026); marca totalmente deteriorada [1, 5].</w:t>
            </w:r>
          </w:p>
        </w:tc>
      </w:tr>
    </w:tbl>
    <w:p>
      <w:pPr>
        <w:spacing w:after="160" w:before="0"/>
      </w:pPr>
    </w:p>
    <w:p>
      <w:pPr>
        <w:spacing w:after="100"/>
      </w:pPr>
      <w:r>
        <w:t xml:space="preserve">El historial de asignación de capital de la última década es pobre. Entre FY2022 y FY2024 Diageo recompró acciones por 5.664 M USD a precios de 27-35 GBP, el doble del actual, mientras subía la deuda neta de 17.195 M a 20.975 M y el apalancamiento pasaba de 2,4x a 3,2x [1, 4, 6]. Las compras de marcas pequeñas de alto crecimiento (Aviation, Don Papa, 21Seeds, Casamigos con su pago variable) han terminado en deterioros: 910 M en FY2025 y 1.489 M en FY2026 [1, 3]. La dilución es nula y las acciones bajaron de 2.325 M a 2.231 M por las recompras. El cambio de rumbo de 2026 es creíble en lo financiero: dividendo recortado a 50 c (suelo de una política del 30-50 % del beneficio), recompras suspendidas, venta de EABL y RCB y un plan sin compras que lleva el apalancamiento a 2x en FY2029 si no reparte la caja sobrante [1, 13]. Pagar el dividendo de FY2025 con el 98 % del beneficio y recortarlo después destruyó credibilidad; la nueva política la recupera a costa de la renta.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Dave Lewis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1-ene-2026 [2, 38]. Antes, consejero delegado de Tesco (2014-2020), 28 años en Unilever (presidente de Américas y de Cuidado Personal) y presidente de Haleon desde 2022 [38]. En el FY2026 dirigió la revisión estratégica presentada en el Capital Markets Day del 6-ago-2026; el programa Accelerate aportó 540 M USD de ahorros frente a 208 M previstos para el año [2]. A 10-ago-2026 no tenía acciones propias (requisito del 500 % del salario, hasta dic-2030); en mar-2026 recibió 306.039 opciones y 306.039 acciones condicionadas del plan a largo plazo [2, 64].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 Jhangiani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(saliente)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sep-2024, procedente de Coca-Cola Europacific Partners [2]. Consejero delegado interino del 16-jul-2025 al 31-dic-2025 [36, 38]. FY2026: flujo libre de 3.210 M USD frente a la guía de 3.000 M [2]. El 23-sep-2026 se anunció su sustitución por Joanne Wilson (directora financiera de WPP) en algún momento de 2027 [39]. Tiene 127.588 acciones (223 % del salario frente a un requisito del 400 %)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John Manzoni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oct-2020 y presidente desde feb-2025 [2]. Antes, jefe ejecutivo de la Administración Pública británica, consejero delegado de Talisman Energy y directivo de BP; consejero de SABMiller [2]. Dirigió la búsqueda que llevó al nombramiento de Dave Lewis [38]. Compra acciones cada mes con parte de sus honorarios (9.935 acciones a 10-ago-2026) [2,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O'Keeffe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de Dirección desde jul-2015; antes presidente de Asia-Pacífico, India, África y Cerveza [2]. Norteamérica (37 % de las ventas) cayó en el FY2026 un 8,4 % orgánico en ventas y un 10,0 % en beneficio operativo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Dayalan Nayager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de Dirección desde jul-2022, antes presidente de África [2]. Europa creció en el FY2026 un 3,4 % orgánico en ventas y un 15,7 % en beneficio operativo [1]. Compró 28.960 acciones en bolsa el 30-dic-2025 (0,63 M USD)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Joanne Wilson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 designada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 de WPP; antes cargos financieros y comerciales en Britvic, dunnhumby, Tesco y KPMG [39]. Entrará en el consejo y el Comité de Dirección en 2027 con un salario de 900.000 GBP y un plan a largo plazo de hasta el 550 % del salario (si se aprueba la nueva política) [39].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concreta por la covid; en ene-2021 esperaba que el beneficio operativo orgánico del 2S creciera más que las ventas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+16,0 %; beneficio operativo orgánico +17,7 %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jul-2021: se mantiene el impulso de las ventas orgánicas y el margen mejora con el volumen y la mezcla (cualitativa)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+21,4 %; beneficio operativo orgánico +26,3 %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FY2023-FY2025 (Capital Markets Day del 16-nov-2021): ventas orgánicas +5-7 % y beneficio operativo orgánico +6-9 % al año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+6,5 %; beneficio operativo orgánico +7,0 %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ago-2023 y en la junta del 28-sep-2023: mejora gradual y aceleración en el 2S; medio plazo reiterado [5, 55]. Advertencia del 10-nov-2023: Latinoamérica y Caribe (≈11 % de las ventas) caería más de un 20 % en el 1S y el beneficio operativo orgánico del 1S bajaría; el beneficio operativo pasaría a crecer «en línea con» las ventas a medio plazo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−0,6 %; beneficio operativo orgánico −4,8 % (302 M USD de los 304 M de caída, en Latinoamérica)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FY2023-FY2025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+5-7 % y beneficio operativo orgánico +6-9 % al año (rebajado en nov-2023 a beneficio en línea con las ventas) [51,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−0,6 % / −4,8 % [4]; FY2025: +1,7 % / −0,7 % [58]. Guía a medio plazo retirada el 4-feb-2025 por la incertidumbre macroeconómica y geopolítica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jul-2024: la presión sobre el margen del 2S24 continúa en el FY2025, sin cifra de ventas [4]; desde feb-2025, guía a corto plazo [57]; apalancamiento de 3,3-3,5x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+1,7 %; beneficio operativo orgánico −0,7 % (−1,0 % sin la operación de Cîroc, «en línea con la guía»); deuda neta/EBITDA 3,4x [58].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Ago-2025: ventas orgánicas similares al FY2025 y beneficio operativo orgánico +un dígito medio [58]. Nov-2025: ventas planas o algo a la baja y beneficio +un dígito bajo-medio [59]. Feb-2026: ventas −2-3 % y beneficio plano o +un dígito bajo; flujo libre 3.000 M USD [60], reiterada en may-2026 [61].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orgánicas −2,0 %; beneficio operativo orgánico +2,0 %; flujo libre 3.211 M USD [1]. Cumple la guía rebajada de feb-2026, no la inicial de ago-2025.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directivo renovado casi entero en 15 meses. Debra Crew dejó el cargo el 16-jul-2025 de mutuo acuerdo, tras dos años en el puesto [36]. Nik Jhangiani fue consejero delegado interino hasta el 31-dic-2025 y Deirdre Mahlan, directora financiera interina desde el 18-ago-2025 [37]. Sir Dave Lewis entró el 1-ene-2026 [38] y el 23-sep-2026 se anunció que Joanne Wilson sustituirá a Jhangiani como directora financiera en 2027 [39]. El historial de guía es malo: el objetivo de 2021 (+5-7 % en ventas y +6-9 % en beneficio) solo se cumplió en el FY2023. Hubo advertencia de beneficios en nov-2023 [56], la guía a medio plazo se retiró en feb-2025 [57] y la del FY2026 se rebajó dos veces [59, 60]. El nuevo plan para el FY2027-FY2029 promete un crecimiento de un dígito bajo en ventas y de un dígito medio en beneficio [62].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John Manzoni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Dave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Dirección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 Jhangiani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Kilsby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 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Bethell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Blackett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Valérie Chapoulaud-Floquet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Ireena Vittal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Rishton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0,80 / ventas 2,75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(BlackRock Investment Management UK,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dic-2009. En la 13G de ene-2024, BlackRock Inc. declaró el 8,62 %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Artisan Partners LP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superó el 5 % el 15-abr-2026 (111,9 M acciones) [2,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abr-2009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5,03 % al 4,99 % el 28-feb-2024 [42]. En la 13G de mar-2025 tenía el 4,95 %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 M acciones a 30-jun-2026 (207 M en 2025; 209 M en 2024), sin voto ni dividendo; la última recompra publicada fue de 28 M acciones en el FY2024 (987 M USD), ya amortizadas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Fideicomisos de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 acciones a 30-jun-2026 (3 M en 2025), con un coste de 63 M USD; el fideicomisario se abstiene de votar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Dayalan Nayager (presidente de EMEA)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Rishton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Sir John Manzoni (presidente), 11 compras mensuales nov-2025 a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 Jhangiani (director financiero), venta para impuestos al recibir acciones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Randall Ingber (secretario general),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O'Keeffe (presidente de Norteamérica),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O'Keeffe, venta para impuestos (3 y 4-sep)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Cristina Diezhandino (directora de marketing),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Mobley (relaciones corporativas),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Ewan Andrew (cadena de suministro),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Alvaro Cardenas (presidente de Latinoamérica), venta de 2.045 ADR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Cifras del consejero delegado del FY2026: Sir Dave Lewis por seis meses (1-ene a 30-jun-2026), 1,429 M GBP: fijo de 0,901 M (salario de 0,750 M), variable anual de 0,528 M y nada a largo plazo [2]. Convertidas a USD al tipo medio del FY2026 que da el informe (1 USD = 0,74583 GBP). Contando a Crew y a Jhangiani como interino, el total del puesto en el año fue de 2,825 M GBP, con una ratio de 43:1 sobre la mediana británica [2]. Salario anual de Lewis: 1,5 M GBP [38]. El variable anual pagó el 15,2 % del máximo en el FY2026 y el plan de acciones, el 12,7 % [2]. Votos en contra del informe de remuneraciones: 4,49 % en 2023 (4,59 % la política) [35], 3,89 % en 2024 [34] y 10,81 % en 2025 [33]. La junta del 5-nov-2026 votará una política nueva: el plan a largo plazo del consejero delegado sube del 500 % al 650 % del salario [2]. Las acciones de rendimiento dependerán del BPA (40 %), del flujo libre acumulado (40 %) y de la mejora del ROIC (20 %). Las opciones dejarán de tener condiciones y el TSR relativo y las métricas ESG desaparecen como métricas [2]. La recuperación (malus y clawback) se amplía a tres años para el bonus en efectivo y no se aplicó en el FY2026 [2].</w:t>
      </w:r>
    </w:p>
    <w:p>
      <w:pPr>
        <w:pStyle w:val="Heading2"/>
      </w:pPr>
      <w:r>
        <w:t xml:space="preserve">Operaciones vinculadas, estructura de control y defensas</w:t>
      </w:r>
    </w:p>
    <w:p>
      <w:pPr>
        <w:spacing w:after="100"/>
      </w:pPr>
      <w:r>
        <w:t xml:space="preserve">Sin accionista de control. Según el informe anual, Diageo no está controlada por ninguna sociedad ni gobierno, los accionistas significativos no tienen derechos de voto distintos y no hay acuerdos que puedan llevar a un cambio de control [2]. Una sola clase de acciones ordinarias con un voto cada una. Los ADR de NYSE equivalen a cuatro acciones [2]. Los mayores accionistas son gestoras con un 5-6 % cada una [2]. Todos los consejeros se someten a reelección cada año [2]. El consejo confirma que todos los no ejecutivos son independientes y que no hubo operaciones significativas con consejeros ni con accionistas de más del 3 % en tres años [2]. La junta de 2025 autorizó la recompra de hasta 222,6 M acciones [2]. El único conflicto societario relevante está en la filial india United Spirits (55,88 %): los litigios con Vijay Mallya y UBHL podrían costar el 6,98 % comprado a UBHL [2].</w:t>
      </w:r>
    </w:p>
    <w:p>
      <w:pPr>
        <w:pStyle w:val="Heading2"/>
      </w:pPr>
      <w:r>
        <w:t xml:space="preserve">Señales de alerta</w:t>
      </w:r>
    </w:p>
    <w:p>
      <w:pPr>
        <w:pStyle w:val="ListParagraph"/>
        <w:numPr>
          <w:ilvl w:val="0"/>
          <w:numId w:val="2"/>
        </w:numPr>
        <w:spacing w:after="60"/>
      </w:pPr>
      <w:r>
        <w:t xml:space="preserve">Rotación en la cúpula: tres consejeros delegados en 15 meses (Crew hasta el 16-jul-2025, Jhangiani interino y Lewis desde el 1-ene-2026) y dos relevos del director financiero (Mahlan interina en 2025; Wilson sustituirá a Jhangiani en 2027) [36, 37, 38, 39].</w:t>
      </w:r>
    </w:p>
    <w:p>
      <w:pPr>
        <w:pStyle w:val="ListParagraph"/>
        <w:numPr>
          <w:ilvl w:val="0"/>
          <w:numId w:val="2"/>
        </w:numPr>
        <w:spacing w:after="60"/>
      </w:pPr>
      <w:r>
        <w:t xml:space="preserve">El consejero delegado no tenía acciones propias a 10-ago-2026 y el director financiero cumple el 223 % del 400 % exigido [2].</w:t>
      </w:r>
    </w:p>
    <w:p>
      <w:pPr>
        <w:pStyle w:val="ListParagraph"/>
        <w:numPr>
          <w:ilvl w:val="0"/>
          <w:numId w:val="2"/>
        </w:numPr>
        <w:spacing w:after="60"/>
      </w:pPr>
      <w:r>
        <w:t xml:space="preserve">El voto en contra del informe de remuneraciones pasó del 3,89 % en 2024 al 10,81 % en 2025. La junta del 5-nov-2026 votará una política que sube el plan a largo plazo del consejero delegado al 650 % del salario y quita las condiciones a las opciones [2, 33, 34].</w:t>
      </w:r>
    </w:p>
    <w:p>
      <w:pPr>
        <w:pStyle w:val="ListParagraph"/>
        <w:numPr>
          <w:ilvl w:val="0"/>
          <w:numId w:val="2"/>
        </w:numPr>
        <w:spacing w:after="60"/>
      </w:pPr>
      <w:r>
        <w:t xml:space="preserve">Litigios en India por United Spirits (Mallya, UBHL, recurso de la SEBI ante el Tribunal Supremo) y contingencias fiscales en Brasil de hasta c.1.032 M USD, sin provisión [2].</w:t>
      </w:r>
    </w:p>
    <w:p>
      <w:pPr>
        <w:pStyle w:val="ListParagraph"/>
        <w:numPr>
          <w:ilvl w:val="0"/>
          <w:numId w:val="2"/>
        </w:numPr>
        <w:spacing w:after="60"/>
      </w:pPr>
      <w:r>
        <w:t xml:space="preserve">Sin cambio de auditor: PwC desde el FY2016, con concurso en el FY2024 y el mismo socio desde el FY2023 [2]. El informe anual 2026 no recoge ninguna demanda colectiva de accionistas en EE. UU.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el Capital Markets Day del 6-ago-2026 Diageo guió para el FY27 ventas orgánicas planas, con Norteamérica cayendo a un dígito medio (mercado de EE. UU. −3 %), y crecimiento orgánico del beneficio operativo de un dígito bajo a medio, con ~40 % de los ~850 M USD de ahorros del nuevo modelo operativo y ~25 % de los ~150 M de la cadena de suministro [62]. Flujo libre del FY27 de ~2.000 M USD tras ~850 M de costes de reestructuración en caja, y apalancamiento al cierre del FY27 hacia el centro del rango objetivo de 2,5-3,0 veces deuda neta/EBITDA, si se cierran las ventas de EABL y de RCB [62]. Para FY27-FY29 (TCAC): ventas orgánicas con crecimiento de un dígito bajo que se acelera, beneficio operativo orgánico de un dígito medio, BPA por encima del beneficio operativo a tipos constantes y flujo libre acumulado de ~8.000 M USD tras ~850 M de costes extraordinarios [62]. Restructuración total de ~1.200 M USD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 analistas [70]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33,75</w:t>
            </w:r>
          </w:p>
        </w:tc>
      </w:tr>
    </w:tbl>
    <w:p>
      <w:pPr>
        <w:spacing w:after="160" w:before="0"/>
      </w:pPr>
    </w:p>
    <w:p>
      <w:pPr>
        <w:pStyle w:val="Heading2"/>
      </w:pPr>
      <w:r>
        <w:t xml:space="preserve">Revisiones de estimaciones</w:t>
      </w:r>
    </w:p>
    <w:p>
      <w:pPr>
        <w:spacing w:after="100"/>
      </w:pPr>
      <w:r>
        <w:t xml:space="preserve">MarketScreener solo publica la revisión de estimaciones en gráficos, sin cifras legibles [71]. Las revisiones de precio objetivo recientes del ADR (por acción, dividiendo entre 4) son mixtas: Jefferies mantiene Comprar con 29,25 USD (22-sep-2026); TD Cowen sube de 23,25 a 27,50 USD (10-ago-2026, tras el Capital Markets Day); Bank of America sube de 24,75 a 25,25 USD (28-jul-2026); Goldman Sachs baja de 27,25 a 24,50 USD con Mantener (15-abr-2026) [72]. El consenso de ventas del FY27 (19.152 M USD) queda un 2,5 % por debajo del FY26, más de lo que implica la guía de ventas orgánicas planas, por la venta de EABL y el efecto divisa [62, 70].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 total en libras de la acción en Londres (DGE.L) frente al FTSE 100 (ETF iShares Core FTSE 100, ISF.L) y al sector europeo de alimentación y bebidas (ETF iShares STOXX Europe 600 Food &amp; Beverage, EXH3.DE, en euros) [66]. La acción pierde un 14,0 % anual en cinco años frente al +8,3 % del FTSE 100, y un 36,8 % solo en 2025 [66]. La caída máxima fue del 66,8 % entre el 4-ene-2022 y el 24-mar-2026 [66]. La mayor caída diaria de los últimos doce meses fue del 12,7 % el 25-feb-2026, día de los resultados del 1S26 y de la nueva política de dividendo [1, 66].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EV/EBITDA de los últimos 12 meses (10,6x) está en el mínimo de cinco años, un 25 % por debajo de la media (14,1x; máximo de 17,2x en FY2022) y en el percentil 20. El PER sale caro (28,4x) solo porque el beneficio publicado del FY2026 lleva 2.527 M de excepcionales: con el BPA antes de excepcionales (1,653 USD) sería de 13,4x [1]. El descuento frente a la historia tiene causas estructurales: el crecimiento orgánico pasó del 6,5 % de FY2023 al −2,0 % de FY2026, el Tesoro a 10 años está en el 5,22 % frente al 3 % de 2022 y el apalancamiento subió de 2,4x a 3,1x [1, 73]. La prima de 2021-2022 era la de una empresa que crecía a un dígito alto con tipos bajos; no volverá sin crecimiento.</w:t>
      </w:r>
    </w:p>
    <w:p>
      <w:pPr>
        <w:pStyle w:val="Heading1"/>
      </w:pPr>
      <w:r>
        <w:t xml:space="preserve">18. Comparables cotizados</w:t>
      </w:r>
    </w:p>
    <w:p>
      <w:pPr>
        <w:pStyle w:val="Confianza"/>
        <w:spacing w:after="100"/>
      </w:pPr>
      <w:r>
        <w:t xml:space="preserve">Confianza: Media</w:t>
      </w:r>
    </w:p>
    <w:p>
      <w:pPr>
        <w:spacing w:after="100"/>
      </w:pPr>
      <w:r>
        <w:t xml:space="preserve">Ocho grupos de bebidas alcohólicas con marcas globales: los cinco grandes de destilados que cotizan (Pernod Ricard, Brown-Forman, Rémy Cointreau, Campari y Constellation Brands, este con cerveza mexicana en EE. UU.), dos cerveceras globales por el 18 % de cerveza de Diageo (Heineken y AB InBev) y LVMH, que consolida el 66 % de Moët Hennessy [77, 78, 79, 80, 81, 82, 83, 84, 85, 86]. Quedan fuera Kweichow Moutai (margen EBITDA del 67 %, mercado chino y precio regulado) y Becle, cuyo EBITDA de 2025 no cuadra con el estimado (5,5x frente a 7,5x) [82, 85]. Bacardi y Suntory Global Spirits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Rémy Cointreau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Heineken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212.148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9,3x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9,8x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15,6x / 16,8x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 3,1x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10,6 + -0,23 × crecimiento; R² = 0,08. El crecimiento explica poco los múltiplos de estos comparables (R² &lt; 0,3): la regresión no se usa en la valoración.</w:t>
      </w:r>
    </w:p>
    <w:p>
      <w:pPr>
        <w:spacing w:after="100"/>
      </w:pPr>
      <w:r>
        <w:t xml:space="preserve">Diageo cotiza a 10,6x el EBITDA de los últimos 12 meses y 10,8x el de los próximos, frente a una mediana de 9,9x y 9,4x de los comparables; su PER de los próximos 12 meses (13,4x) está por debajo de la mediana (15,7x) por el apalancamiento: 3,2x deuda neta/EBITDA frente a 2,7x [70]. La prima en EBITDA se explica por el margen (32,7 % frente al 29,0 % de la mediana) y el ROIC (12,6 %), no por el crecimiento: el consenso le da casi el mismo que a Pernod (−0,2 %) y menos que a la mediana (2,8 %). La mediana de EV/EBITDA da 18,05 USD por acción y la de PER 25,87: la distancia entre ambas es la deuda. Usamos la media de los dos, que da 21,96 USD, un 0,8 % por debajo del precio: por múltiplos la acción está en su sitio frente a un sector que también está en mínimos.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 African Breweries (65 %) y UDV Kenya (53,68 %)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Asahi Group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Diageo: producto neto estimado de 2.300 M USD tras impuestos y costes, 17 veces el EBITDA ajustado y valor empresa implícito de 4.800 M USD por el 100 % de EABL [87]. EABL facturó 996 M USD en el FY25, con EBITDA de 258 M (18,6x publicado) y deuda neta de 229 M [87]. Cierre previsto en el 2S del año natural 2026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Courvoisier (coñac, con Salignac)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Campari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1.320 M USD (1.200 M fijos más hasta 120 M de pago aplazado en 2029), unas 17 veces la contribución tras publicidad (CAAP) de 2022 (78 M USD) sobre ventas de 249 M [88]. No publica EBITDA. Cerrada el 30-abr-2024 [88].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Cinzano y Frattina (vermú y espumosos)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Caffo Group 1915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Campari por 100 M EUR sin caja ni deuda (112 M USD al tipo del corte), sobre ventas de 75 M EUR y CAAP de 21 M EUR en 2024 (4,8 veces la CAAP) [89]. Marcas de vino y vermú de bajo margen.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 Papa Rum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260 M EUR al contado más hasta 177,5 M EUR condicionados a resultados hasta 2028 [90] (291 M USD el pago inicial y 489 M USD con todo el variable, al tipo del corte). No se publicaron ventas ni múltiplo. En el FY26 Diageo registró un deterioro de Don Papa dentro de los 1.500 M de deterioros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American Gin y Davos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610 M USD: 335 M iniciales y hasta 275 M según resultados en diez años [91]. No se publicaron ventas ni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18,57 – 36,04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 destilados publican el múltiplo de EBITDA; suelen dar la contribución tras publicidad (CAAP). Las referencias recientes: Asahi paga 17 veces el EBITDA ajustado por EABL (cerveza en África oriental) [87] y Campari pagó unas 17 veces la CAAP por Courvoisier (5,3 veces ventas) [88], mientras las marcas de vino y vermú salen a 1,3 veces ventas (Cinzano) [89]. Las compras de marcas pequeñas de Diageo (Aviation, Don Papa) se pagaron con mucho variable y sin múltiplo publicado, y acabaron con deterioros [1, 90, 91]. Diageo no tiene accionista de control: un 34 % en manos de un competidor permitiría a LVMH obligar a vender el 34 % de Moët Hennessy [2].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cae un 2,5 %: la guía del CMD es de ventas orgánicas planas, con Norteamérica cayendo a un dígito medio, y EABL (≈ 1.000 M de ventas, el 5 % del grupo) sale hacia diciembre de 2026 [13, 87]. FY2028e cae un 0,5 %: +1,5 % orgánico del algoritmo menos el otro medio año de EABL. Desde FY2029e, +2,5-3,5 %, el ritmo de salida del plan (2,5-3 %) y el del mercado de espirituosos (IWSR, 1-3 % en valor) más inflación, bajando al 2,75 % en FY2036e [13, 31]. La media de la proyección (2,2 %) queda muy por debajo del 5-7 % que Diageo prometió en 2021 y no cumplió [51]. Coincide con el consenso en FY2027e (19.152 M) y queda un 1,7 % por debajo en FY2028e-FY2029e, porque el consenso no descuenta del todo la salida de EABL [70].</w:t>
      </w:r>
    </w:p>
    <w:p>
      <w:pPr>
        <w:keepNext/>
        <w:spacing w:after="100"/>
      </w:pPr>
      <w:r>
        <w:rPr>
          <w:b/>
          <w:bCs/>
        </w:rPr>
        <w:t xml:space="preserve">Márgenes.</w:t>
      </w:r>
    </w:p>
    <w:p>
      <w:pPr>
        <w:spacing w:after="100"/>
      </w:pPr>
      <w:r>
        <w:t xml:space="preserve">El margen EBITDA (sin asociadas ni excepcionales) pasa del 32,7 % de FY2026 al 34,5 % en FY2031e. El motor es el plan de ahorro de c.1.000 M (850 M de estructura y 150 M de cadena de suministro), el 40 % en FY2027 y el 55 % en FY2028, del que la empresa reinvierte una parte en marketing (c.16 % de las ventas) [13]. Solo algo más de un tercio de esos ahorros (≈ 350 M) llega al margen en nuestra proyección: el resto se va en precio, mezcla negativa en EE. UU. y aranceles (c.200 M anuales sin mitigar, la mitad compensable) [7]. El 34,5 % final es el de FY2022 y está por debajo del 36,8 % de Constellation Brands [81]; el consenso llega al 34,1 % en FY2029e.</w:t>
      </w:r>
    </w:p>
    <w:p>
      <w:pPr>
        <w:keepNext/>
        <w:spacing w:after="100"/>
      </w:pPr>
      <w:r>
        <w:rPr>
          <w:b/>
          <w:bCs/>
        </w:rPr>
        <w:t xml:space="preserve">Inversión y circulante.</w:t>
      </w:r>
    </w:p>
    <w:p>
      <w:pPr>
        <w:spacing w:after="100"/>
      </w:pPr>
      <w:r>
        <w:t xml:space="preserve">Capex del 7,0 % de las ventas en FY2027e-FY2028e: la guía de c.1.250 M al año (tequila en Jalisco, Guinness en Littleconnell, almacenes de whisky) más c.0,6 puntos de altas de derechos de uso, porque los arrendamientos están en la deuda [2, 13]. Baja al 5,4 % en FY2036e cuando termina el ciclo de capacidad, frente al 6,1-8,0 % de FY2022-FY2026, y sigue por encima de la amortización (4,2 %). </w:t>
      </w:r>
      <w:r>
        <w:rPr>
          <w:b/>
        </w:rPr>
        <w:t xml:space="preserve">El circulante es la inversión que más pesa</w:t>
      </w:r>
      <w:r>
        <w:t xml:space="preserve">: las existencias de whisky en envejecimiento suben de c.6.300 M en FY2022 a 8.510 M en FY2026 y llevan el circulante del 24,4 % al 37,6 % de las ventas [2]. Lo dejamos en el 38,6 % (constante en importe al salir EABL): cada dólar de ventas nuevas inmoviliza unos 39 céntimos. Tipo impositivo del 24 %, la guía antes de excepcionales [1].</w:t>
      </w:r>
    </w:p>
    <w:p>
      <w:pPr>
        <w:keepNext/>
        <w:spacing w:after="100"/>
      </w:pPr>
      <w:r>
        <w:rPr>
          <w:b/>
          <w:bCs/>
        </w:rPr>
        <w:t xml:space="preserve">Coste del capital.</w:t>
      </w:r>
    </w:p>
    <w:p>
      <w:pPr>
        <w:spacing w:after="100"/>
      </w:pPr>
      <w:r>
        <w:t xml:space="preserve">Tasa libre del 5,22 %, el Tesoro de EE. UU. a 10 años del 8-oct-2026, porque los flujos están en dólares [73]; el gilt está en el 4,99 % [75]. Beta de 0,77, la ajustada (Blume) del ADR DEO frente al MSCI ACWI, mensual a 5 años, en dólares; la bruta es 0,65 y con la acción de Londres convertida a dólares sale 0,61 mensual y 0,70 semanal [67]. Frente al FTSE 100 en libras daría 0,40, artificialmente baja por la divisa (lección de CSL). Prima de mercado del 5,5 % y sin prima adicional: el 63 % de las ventas está en Norteamérica y Europa [1]. Coste de la deuda del 5,9 %, el marginal en dólares de un emisor A3/A- (el medio histórico es 3,9 %) [2, 12]; peso de la deuda del 29 % a valor de mercado. WACC del 8,01 %; con la prima implícita del mercado (4,2 %), 7,3 % [76].</w:t>
      </w:r>
    </w:p>
    <w:p>
      <w:pPr>
        <w:keepNext/>
        <w:spacing w:after="100"/>
      </w:pPr>
      <w:r>
        <w:rPr>
          <w:b/>
          <w:bCs/>
        </w:rPr>
        <w:t xml:space="preserve">Valor terminal.</w:t>
      </w:r>
    </w:p>
    <w:p>
      <w:pPr>
        <w:spacing w:after="100"/>
      </w:pPr>
      <w:r>
        <w:t xml:space="preserve">Método «media»: Gordon con un crecimiento del 2,5 % (inflación del dólar y casi nada real, coherente con un consumo de alcohol que baja en volumen en los países ricos) y un múltiplo de salida de 11,0x EBITDA, entre el 10,6x actual y la media de cinco años (14,1x), y por encima de la mediana de comparables (9,9x). El múltiplo implícito del terminal resultante es de 11,2x y el valor terminal pesa el 61 % del valor. Un terminal del 3 % sería defendible con la premiumización histórica; no lo usamos porque el volumen de destilados en EE. UU. cayó un 9 % en FY2026 [1].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6.406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(hoy: 4,7 %)</w:t>
            </w:r>
          </w:p>
        </w:tc>
      </w:tr>
    </w:tbl>
    <w:p>
      <w:pPr>
        <w:spacing w:after="160" w:before="0"/>
      </w:pPr>
    </w:p>
    <w:p>
      <w:pPr>
        <w:spacing w:after="100"/>
      </w:pPr>
      <w:r>
        <w:t xml:space="preserve">La proyección apenas necesita inversión neta de la amortización (reinversión acumulada de 6.406 M, el 13 % del NOPAT, con un capex bruto medio del 6,2 % de las ventas). En un negocio de activos ligeros, el crecimiento medio del 2,2 % tiene que salir de subir precios y de ganar volumen sin capital nuevo, y la prueba es el poder de precios y la cuota (4,8 % del mercado en FY2036e, frente al 4,7 %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orgánicas planas (Norteamérica −medio dígito, mercado de EE. UU. −3 %) [13]; medio año sin EABL (≈ −2,5 puntos) [87].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Algoritmo del CMD: ventas orgánicas +1,5 % [13]; el otro medio año sin EABL (−2,5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plan en +2,5-3 % orgánico [13]; precio/mezcla en la mitad de lo que dio entre FY2022 y FY2025 por la premiumización más lenta [1,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como el mercado de espirituosos (IWSR, 1-3 % en valor a largo plazo) [31] y precio en línea con la inflación del dólar.</w:t>
            </w:r>
          </w:p>
        </w:tc>
      </w:tr>
    </w:tbl>
    <w:p>
      <w:pPr>
        <w:spacing w:after="160" w:before="0"/>
      </w:pPr>
    </w:p>
    <w:p>
      <w:pPr>
        <w:spacing w:after="100"/>
      </w:pPr>
      <w:r>
        <w:t xml:space="preserve">El crecimiento que proyectamos es modesto (2,2 % anual) y sale sobre todo de precio, no de volumen. La reinversión no lo sostiene sola: la proyección reinvierte el 13 % del NOPAT, que al ROIC actual del 12,6 % financia en torno al 1,6 % anual, y el ROIC incremental de cinco años es negativo (capital invertido +17 % con ventas planas). La cuota implícita no exige ganar mercado: del 4,5 % sin EABL al 4,8 % en FY2036e, con el mercado al 2,0 % anual (estimación propia sobre la cuota del 4,7 % de IWSR) [18]. El foso existe (ventas 1,8 veces las del segundo, whisky de diez años en existencias) [2], pero el poder de precios se ha debilitado: precio/mezcla −1,6 % en FY2026 [1, 15]. Por eso el caso base queda por debajo de la guía.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(base: 2,2 %)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 (base: 34,5 %)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8,0 %)</w:t>
            </w:r>
          </w:p>
        </w:tc>
      </w:tr>
    </w:tbl>
    <w:p>
      <w:pPr>
        <w:spacing w:after="160" w:before="0"/>
      </w:pPr>
    </w:p>
    <w:p>
      <w:pPr>
        <w:spacing w:after="100"/>
      </w:pPr>
      <w:r>
        <w:t xml:space="preserve">El DCF da 23,99 USD por acción, un 8,4 % por encima del precio, con el 61 % del valor en el terminal. </w:t>
      </w:r>
      <w:r>
        <w:rPr>
          <w:b/>
        </w:rPr>
        <w:t xml:space="preserve">El precio descuenta una Diageo que apenas vuelve a crecer.</w:t>
      </w:r>
      <w:r>
        <w:t xml:space="preserve"> El DCF inverso dice que, con nuestros márgenes, el precio pide un crecimiento de las ventas del 1,3 % anual entre FY2027e y FY2036e, frente al 2,2 % de nuestro caso base y al 2,5-3 % que la empresa promete a la salida del plan [13]; con nuestro crecimiento, pide un margen EBITDA del 32,9 %, el de FY2026, es decir, que el plan de ahorro de c.1.000 M no deje nada. Es una expectativa baja para un negocio que no ha bajado del 31,9 % de margen en cinco años. Pero la rentabilidad implícita en el precio es del 8,5 %, apenas medio punto por encima de nuestro WACC (8,01 %): con un Tesoro al 5,22 % el margen de seguridad es estrecho, y la diferencia frente al mercado sale de la tasa, no de las cifras. Con la prima implícita del mercado (4,2 %, WACC del 7,3 %) el DCF da 27,26 USD. Nuestras cifras coinciden con el consenso en FY2027e y quedan algo por debajo después: no hay una visión muy distinta de la del mercado en el negocio, sino en lo que cuesta esperar.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del consumo de destilados en EE. UU. se hace estructural (moderación, fármacos GLP-1, cannabis) y el tequila sigue cayendo como en FY2026 (−21 %); el precio/mezcla queda negativo y los ahorros se reinvierten para defender cuota, con el margen en el 31-32 % de FY2025. Es lo que le pasó a Diageo en FY2024-FY2026 y a Brown-Forman y Rémy en 2024-2025 [1, 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planas en FY2027 y un 2,5-3,5 % desde FY2029, con Norteamérica estabilizada y Europa, Latinoamérica e India creciendo; el plan de ahorro sube el margen EBITDA hasta el 34,5 % y la deuda baja a 2,5x con EABL y RCB [13].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vuelve a crecer en FY2029, el tequila se estabiliza y la mitad del ahorro de c.1.000 M llega al margen (35-36 %, como en FY2021-FY2022); el mercado vuelve a pagar 13x EBITDA, por debajo de su media de cinco años (14,1x).</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2,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23,36 USD (+5,5 %).</w:t>
      </w:r>
    </w:p>
    <w:p>
      <w:pPr>
        <w:spacing w:after="100"/>
      </w:pPr>
      <w:r>
        <w:t xml:space="preserve">El alcista da 31,52 USD (+42,4 %) y el bajista 15,45 USD (−30,2 %): la asimetría es de 1,40 veces, favorable pero no holgada. El bajista es verosímil, porque es la prolongación de los dos últimos años, y su pérdida (−30 %) es parecida a la caída de la acción en 2025 (−36,8 %) [66]. Con la prima implícita del mercado los extremos son 35,55 y 17,65 USD y la asimetría sube a 2,99 veces. Compensa para quien acepte la tasa del mercado; con nuestro coste de capital, la recompensa esperada es justa.</w:t>
      </w:r>
    </w:p>
    <w:p>
      <w:pPr>
        <w:pStyle w:val="Heading1"/>
      </w:pPr>
      <w:r>
        <w:t xml:space="preserve">22. Suma de partes</w:t>
      </w:r>
    </w:p>
    <w:p>
      <w:pPr>
        <w:pStyle w:val="Confianza"/>
        <w:spacing w:after="100"/>
      </w:pPr>
      <w:r>
        <w:t xml:space="preserve">Confianza: Media</w:t>
      </w:r>
    </w:p>
    <w:p>
      <w:pPr>
        <w:spacing w:after="100"/>
      </w:pPr>
      <w:r>
        <w:t xml:space="preserve">No aplica: Diageo reporta por regiones y no publica el resultado de la cerveza (18 % de las ventas) ni de cada categoría [1]. La única pieza con perfil distinto, el 34 % de Moët Hennessy, va fuera del beneficio operativo y se valora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2,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23,85 USD (+7,7 % sobre 22,14).</w:t>
      </w:r>
    </w:p>
    <w:p>
      <w:pPr>
        <w:spacing w:after="100"/>
      </w:pPr>
      <w:r>
        <w:t xml:space="preserve">El DCF pesa el 50 % porque es el único método que recoge el cambio de perímetro (EABL), el plan de ahorro y el coste del circulante de whisky; los escenarios, el 20 %, por la incertidumbre del consumo en EE. UU. Los comparables (25 %) están ellos mismos en mínimos de valoración y los sesga la deuda (EV/EBITDA da 18,05 USD y PER 25,87); las transacciones (5 %) llevan prima de control y casi no publican múltiplo, y una OPA sobre Diageo es improbable por su tamaño y por la cláusula de Moët Hennessy [2]. </w:t>
      </w:r>
      <w:r>
        <w:rPr>
          <w:b/>
        </w:rPr>
        <w:t xml:space="preserve">El puente</w:t>
      </w:r>
      <w:r>
        <w:t xml:space="preserve"> usa la deuda neta publicada (20.482 M a 30-jun-2026) [1] y tres ajustes: United Spirits a valor de mercado en los minoritarios (4.282 M frente a 755 M contables; −1,58 USD por acción) [2, 93]; el producto pendiente de EABL (2.300 M) y de RCB (c.665 M, el 0,1x de desapalancamiento que da la empresa, prudente frente a los 1.739 M del precio) menos la caja de reestructuración pendiente (c.800 M después de impuestos), en total +0,97 USD por acción [13, 87, 92]. </w:t>
      </w:r>
      <w:r>
        <w:rPr>
          <w:b/>
        </w:rPr>
        <w:t xml:space="preserve">Moët Hennessy</w:t>
      </w:r>
      <w:r>
        <w:t xml:space="preserve"> va a valor contable (5.107 M; 2,29 USD por acción): a 16x su beneficio normalizado de FY2024-FY2026 valdría ≈ 4.700 M, y la opción de venta a LVMH al 80 % del valor razonable pone una cota superior de ≈ 7.300 M (lo que LVMH registra como compromiso) [2, 94]. La dispersión es moderada: todos los métodos quedan entre 21,96 y 23,99 USD salvo las transacciones.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r>
    </w:tbl>
    <w:p>
      <w:pPr>
        <w:spacing w:after="160" w:before="0"/>
      </w:pPr>
    </w:p>
    <w:p>
      <w:pPr>
        <w:spacing w:after="100"/>
      </w:pPr>
      <w:r>
        <w:rPr>
          <w:b/>
          <w:bCs/>
        </w:rPr>
        <w:t xml:space="preserve">Objetivo a 12 meses (ponderado):</w:t>
      </w:r>
      <w:r>
        <w:t xml:space="preserve"> 23,19 USD (17,52 GBP) · rentabilidad +7,0 % (base +4,5 %) · señal Mantener.</w:t>
      </w:r>
    </w:p>
    <w:p>
      <w:pPr>
        <w:keepNext/>
        <w:spacing w:after="100"/>
      </w:pPr>
      <w:r>
        <w:rPr>
          <w:b/>
          <w:bCs/>
        </w:rPr>
        <w:t xml:space="preserve">Frente al consenso (solo contraste).</w:t>
      </w:r>
    </w:p>
    <w:p>
      <w:pPr>
        <w:spacing w:after="100"/>
      </w:pPr>
      <w:r>
        <w:t xml:space="preserve">Nuestro BPA base de FY2028e (1,64) se separa un -8,6 % del consenso (1,80) y nuestro precio base (22,63) un -15,8 % del objetivo medio de los analistas (26,89).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23,85 (+7,7 %) frente al objetivo a 12 meses ponderado 23,19 (+7,0 % con dividendo; base +4,5 %).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ventas del 1T FY2027 y junta general (vota la nueva política de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de ventas orgánicas planas y de Norteamérica tras el CMD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EABL a Asahi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c.2.300 M USD y el apalancamiento baja c.0,25x</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 (antes de 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RCB por United Spirits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en United Spirits y c.0,1x menos de apalancamiento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ahorros del nuevo modelo operativo (c.40 % en FY2027) y evolución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Relevo del director financiero (Joanne Wilson sustituye a Nik Jhangiani)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continuidad en mitad del plan de ahorro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Cumplimiento de la guía (beneficio operativo +bajo-medio dígito, flujo libre c.2.000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del consumo de destilados en EE. UU. (moderación, GLP-1, cannabis, generación 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Guinness, Europa, Latinoamérica e India crecen; precio de la cartera escocesa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destilados en EE. UU. por debajo de −5 % en el 1S FY2027 (−9 % en FY2026)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Tequila: exceso de oferta y reposicionamiento de precios (Casamigos −25 %, Don Julio −14 %)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−9 % por cada punto menos de crecimiento anual (−2,11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del agave más bajo; capacidad propia en Jalisco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Precio/mezcla de Norteamérica negativo dos semestres más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el whisky escocés y los destilados de la UE, o fin de la exención de México y Canadá en la revisión del T-MEC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(200 M anuales sin mitigar capitalizados)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compensa la mitad; producción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arancelarios publicados por la oficina comercial de EE. UU.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plan de ahorro de c.1.000 M con un equipo nuevo (tres consejeros delegados en 15 meses y relevo del director financiero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puntos de margen ≈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70 % del coste ya está cargado en FY2026; Lewis ya hizo un plan así en Tesco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1S FY2027 sin mejora interanual [38, 39]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(baijiu, −47 % en FY2026) y la austeridad en el consumo oficial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Shui Jing Fang pesa ya el 2 %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semestrales de Shui Jing Fang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de 3,1x con un Tesoro al 5,2 %: refinanciar a tipos más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−2 % por cada punto de coste de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A3/A-, vencimientos repartidos, ventas de EABL y RCB</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apalancamiento por encima de 3,0x en jun-2027 [12]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Contingencias fiscales en Brasil (hasta c.1.032 M USD sin provisión) y litigios de United Spirits en India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−2 % (0,46 USD por acción en el peor caso)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Recurridas; la empresa no las provisiona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Sentencias del Supremo brasileño sobre impuestos indirectos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Coñac y champán en Moët Hennessy (beneficio de 1.299 M a 668 M en dos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Participadas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−2 % si se deteriora a 4.700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Opción de venta a LVMH al 80 % del valor razonable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Vinos y Licores de LVMH [2, 94]</w:t>
            </w:r>
          </w:p>
        </w:tc>
      </w:tr>
    </w:tbl>
    <w:p>
      <w:pPr>
        <w:spacing w:after="160" w:before="0"/>
      </w:pPr>
    </w:p>
    <w:p>
      <w:pPr>
        <w:pStyle w:val="Heading2"/>
      </w:pPr>
      <w:r>
        <w:t xml:space="preserve">Pre-mortem</w:t>
      </w:r>
    </w:p>
    <w:p>
      <w:pPr>
        <w:spacing w:after="100"/>
      </w:pPr>
      <w:r>
        <w:t xml:space="preserve">Es octubre de 2029 y Diageo vale un 40 % menos. Lo que pasó: la caída del volumen de destilados en EE. UU. no era desestocaje ni ciclo, sino un cambio de hábitos. Los fármacos GLP-1 se abarataron en 2027, la generación Z siguió bebiendo menos y el cannabis legal ganó estados; el volumen de Diageo en EE. UU. cayó otro 4-5 % al año, como en FY2026 (−9 %) [1]. Para defender la cuota, Lewis reinvirtió casi todos los ahorros en marketing y en precio, y el margen EBITDA se quedó en el 31-32 %. El tequila siguió en guerra de precios. A la vez, la revisión del T-MEC acabó con la exención de los destilados mexicanos y canadienses, y el arancel sobre el escocés subió. Con el beneficio plano y la deuda en 3x, el consejo tuvo que elegir entre recortar otra vez el dividendo o vender Guinness, y el mercado dejó de ver a Diageo como un valor de calidad: el EV/EBITDA pasó de 10,6x a 8,5x, el de Pernod. El indicador que lo habría anticipado es el volumen de destilados de Norteamérica en las actualizaciones trimestrales: dos trimestres seguidos por debajo de −5 % en FY2027 desmienten la guía de estabilización del CMD.</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(líder entre 79 empresas de bebidas; ocho años con 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15,3, riesgo bajo; 1.º de 70 en cerveza, vino y licores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 B; Agua: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(Prime); calidad de gobierno: 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Agua: el estrés hídrico, sequías incluidas, es el principal riesgo físico climático para Diageo; más de un tercio de sus ventas está expuesto a estrés hídrico alto o muy alto [2]. En el FY26 la eficiencia en el uso del agua había mejorado un 14,9 % frente al FY20 en toda la empresa, aunque empeoró un 2,4 % en el año; la venta de EABL obligará a revisar los objetivos [2]. Consumo responsable: la moderación, los GLP-1 y la subida de impuestos al alcohol figuran entre los escenarios de riesgo principal; la empresa lo afronta con DRINKiQ y con productos sin alcohol, como Guinness 0.0 [2]. Clima: las emisiones de alcance 1 y 2 bajaron un 25,7 % frente al FY22 [2]. MSCI la califica AAA y CDP le da A- en agua y B en clima [20].</w:t>
      </w:r>
    </w:p>
    <w:p>
      <w:pPr>
        <w:pStyle w:val="Heading2"/>
      </w:pPr>
      <w:r>
        <w:t xml:space="preserve">Controversias</w:t>
      </w:r>
    </w:p>
    <w:p>
      <w:pPr>
        <w:spacing w:after="100"/>
      </w:pPr>
      <w:r>
        <w:t xml:space="preserve">No hay sanciones relevantes en los últimos tres años. Litigios abiertos: en Brasil, inspecciones fiscales con una exposición posible de hasta unos 1.032 M USD, sin provisión porque el riesgo se considera menos que probable [2]; recursos en India por la compra de United Spirits a UBHL (6,98 %) y por la orden de la SEBI, anulada en 2023 y recurrida ante el Supremo [2]; reclamaciones contra Vijay Mallya en Londres [2]; y varios procedimientos aduaneros sobre el valor declarado de importaciones [2]. Los excepcionales por litigios fueron de 17 M USD en el FY26 (en Europa) y de 51 M USD en el FY25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del 9 % del volumen de destilados en EE. UU. en FY2026 es desestocaje de mayoristas y qué parte consumo?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bache de un cambio estructural: es la diferencia entre el escenario base y el bajista [1, 15].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c.1.000 M de ahorro llegará al margen y cuánto se reinvierte en marketing y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dice que el precio descuenta que no llegue nada; cada punto de margen vale ≈ 1,1 USD por acción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de whisky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existencias en envejecimiento para FY2027-FY2029 y su peso sobre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Subieron de c.6.300 M a 8.510 M en cuatro años y son la inversión que más pesa en el flujo libre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Moët Hennessy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Diageo ejercer la opción de venta del 34 % de Moët Hennessy, y a qué valor la tiene en cuenta?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múltiplo de beneficio (≈ 4.700 M) y la cota de la opción (≈ 7.300 M) hay 1,2 USD por acción [2, 94].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la exención de México y Canadá si la revisión del T-MEC no se renueva?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Tequila y whisky canadiense pesan el 18 % de las ventas y se venden sobre todo en EE. UU.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más ventas de activos en estudio (cervezas africanas restantes, marcas locales) y para qué se usaría la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lleva el apalancamiento a 2x en FY2029 sin decir si se repartirá la caja sobrante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subir el plan a largo plazo del consejero delegado al 650 % del salario y quitar condiciones a las opciones?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voto en contra subió al 10,81 % en 2025 y la nueva política se vota el 5-nov-2026 [2, 33].</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 de análisis y noticias del canal DEO por RSS)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análisis de colaboradores desde julio son mayoritariamente constructivos (valoración en mínimos de varios años, giro «difícil de ignorar», valor que tardará en aflorar), mientras las noticias recogen la rebaja de Deutsche Bank en julio, los recortes de plantilla, el alivio arancelario al whiskey irlandés y el relevo del director financiero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(antes Motley Fool UK): artículos de opinión tras los resultados y el Capital Markets Day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Agosto concentra la euforia: la acción sube con fuerza el día de los resultados pese al recorte del dividendo, y los autores lo leen como «limpieza» bajo Dave Lewis; hay quien vuelve a comprar por la gestión, la bajada de deuda y la valoración, aunque se advierte que recortar costes no es una estrategia de crecimiento [97, 98, 99].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(antes Motley Fool UK)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la subida pierde fuelle: unos ven más que un rebote para el inversor paciente y otros mantienen «por costumbre» pero buscan compras en otra parte del FTSE 100 por inflación, tipos, aranceles al whisky canadiense y consumo débil en EE. UU. [97, 100, 101].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(antes Motley Fool UK)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Octubre mezcla cansancio y fe en el giro: un partícipe se pregunta si es «dinero muerto» y pone de plazo los resultados de febrero, otro no ve noticias capaces de sostener una recuperación, y otros dos creen que el pesimismo ya está en el precio y que el plan de Lewis funcionará [102, 103, 104, 105].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Spirits Business (debate del sector con analistas y consultores)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analista de bebidas que asistió al Capital Markets Day califica el plan de «muy creíble» y la guía de conservadora, pero le sorprende la salida de África (EABL); un consultor del sector duda de que el consejo tenga experiencia para construir marcas y avisa de que los recortes pueden dañar la innovación; ambos ven las bebidas listas para tomar (RTD) como apuesta incierta o lógica [106].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Guardian (crónica del día de resultados; comentarios de lectores cerrados)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crónica describe un plan de recortes «digno de Drastic Dave» que «animó» a los inversores, con el compromiso de no vender marcas (ni Guinness, cuya venta especularon algunos en la City) y de duplicar la capacidad de Guinness; el artículo no admitía comentarios [107].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Dave Lewis y del plan de recortes («Drastic Dave»)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argumento alcista dominante en particulares y en el analista sectorial citado [99, 105, 106]. Los datos lo apoyan solo en parte: la nota de resultados fija un ahorro de unos 850 M USD en dos años desde el FY27 con unos 900 M de reestructuración, pero los artículos de opinión hablan de 1.000 M en tres años o de 1.000 M anuales en dos años con un coste de 1.200 M [100, 107]: hay que usar las cifras de la empresa, no las de prensa.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accionista de rentas fue el golpe más duro y para otros una decisión prevista y sana [98, 100, 102]. La nueva política de dividendo se anunció el 25-feb-2026 y el dividendo del FY26 es de 50 c; algunos artículos sitúan el recorte en agosto: conviene fechar bien el anuncio en el informe [100, 105].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consumo de alcohol: generación Z, fármacos GLP-1 y moderación (el aviso de Tesco para Navidad)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estructural más citado y el que los particulares no ven resuelto por la apuesta de Diageo por las variedades sin alcohol y con menos graduación [102, 103, 104]. El informe debe contrastarlo con el volumen orgánico del FY26, que solo bajó un 0,4 %, frente a un precio/mezcla del −1,6 %: el problema del año fue más de precio y mezcla que de volumen.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todos coinciden en que el PER está en mínimos de una década, pero varios recuerdan que lleva tiempo barata sin que eso active la recuperación [101, 102]. Las cifras de PER, precio objetivo y recomendaciones que circulan en estos artículos no se usan: la valoración sale del consenso y del motor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consumo débil, tequila y aranceles (whisky canadiense)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temen que Norteamérica no se estabilice y citan el veto a ciertas bebidas canadienses y el peso de Crown Royal [101, 102]; el analista sectorial cree en cambio que no hay un problema estructural en el consumo de licores en EE. UU. [106]. El informe debe contrastarlo con la evolución orgánica de North America y la guía de bajo dígito simple para FY27-29.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salida de África (EABL), China (baijiu) y Guinness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Guinness es el gran motivo de optimismo y su venta, rumoreada a principios de año, quedó descartada [102, 107]; la venta de EABL a Asahi baja la deuda pero el analista sectorial la ve como renuncia a mercados jóvenes en crecimiento, y China es para él un mercado en declive estructural [106]. Lewis dice que el giro será orgánico, «sin comprar ni vender» marcas [106].</w:t>
            </w:r>
          </w:p>
        </w:tc>
      </w:tr>
    </w:tbl>
    <w:p>
      <w:pPr>
        <w:spacing w:after="160" w:before="0"/>
      </w:pPr>
    </w:p>
    <w:p>
      <w:pPr>
        <w:spacing w:after="100"/>
      </w:pPr>
      <w:r>
        <w:t xml:space="preserve">El sentimiento del particular británico pasó de la capitulación de primavera a la euforia de agosto, cuando la acción subió con fuerza el día del Capital Markets Day pese al recorte del dividendo, y en septiembre-octubre se ha enfriado hacia la división: se confía en Dave Lewis, pero se pide crecimiento de ventas y no solo recortes, y los resultados del 1S27 de febrero aparecen como plazo. No hay euforia ni capitulación extrema. El riesgo que la gente pone por delante del análisis es el estructural (generación Z, GLP-1 y moderación), mientras que la tesis alcista descansa en la gestión y la valoración. No contradice al consenso de analistas, que según la prensa es mayoritariamente comprador; la incoherencia de las cifras de ahorro que circulan pide anclarse en las de la empresa.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1 explicados. Fuentes: 107 (68 primarias); citas distintas en el texto: 101.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4,8 % en FY2036e frente al 4,7 %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38,5 % frente a 37,6 %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ocho comparables que crecen entre −0,2 % y +6,8 %, el múltiplo depende más del perfil (cerveza frente a destilados, coñac, control familiar) que del crecimiento.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 fuentes (68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44, 45, 46, 47, 48, 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historico[FY2022].pagos_arrendamientos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FY2023 y FY2024 (solo dicen «repayment of lease liabilities» sin cifra); 2) XBRL de la SEC (sin el concepto en USD); 3) informe anual FY2026 (solo FY2025-FY2026)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historico[FY2023-FY2024].pagos_arrendamientos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FY2024 y FY2025; 2) XBRL de la SEC; 3) informe anual 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FY2022 en USD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FY2024 (solo FY2023-FY2024); 2) XBRL de la SEC (sin segmentos); 3) informe anual FY2026 (FY2024-FY2026)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cuota de mercado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FY2026; 2) informe anual 2026; 3) guion de la presentación FY2026 (solo cualitativo: Don Julio y Casamigos perdieron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anual 2026; 2) nota de prensa FY2026; 3) web de deuda de Diageo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de los segundos semestres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anuales FY2024-FY2026; 2) guion de la presentación FY2026; 3) notas semestrales (solo el 1S)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y 20-F FY23 de Diageo (solo dan la cuota de Diageo y el «1,8 veces el segundo»); 2) IWSR (nota de prensa de junio de 2026: volúmenes, sin cuotas por empresa ni valor total); 3) búsqueda del valor del mercado internacional de espirituosos (IWSR y Statista,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(tamaño mundial de los espirituosos en USD)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Diageo FY23 y FY26 (solo el total de alcohol de 2022: 1,17 billones de USD); 2) IWSR, nota de prensa de 2026 (solo variaciones de volumen); 3) búsqueda web de una cifra mundial de valor (solo estimaciones de Statista y Research and Markets, de pago y no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cada competidor (no publican cuota mundial); 2) informe anual de Diageo (solo su propia posición); 3) IWSR (cuotas por empresa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(concentración: primer cliente y diez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(sin dato de clientes principales); 2) nota de resultados FY26 y del 1S26; 3) 20-F FY23 (tampoco lo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 (O'Keeffe, Nayager, Wilson)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tabla de participaciones (solo consejeros); 2) RNS Director/PDMR Shareholding de los últimos 12 meses (solo operaciones, no saldos); 3) RNS de nombramiento de Joanne Wilson (sin participación declarada)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Lista diaria de posiciones cortas de la FCA (short-positions-daily-update.xlsx): solo trae la hoja de posiciones históricas a 10-jul-2026 (última de Two Sigma, 0,89 % el 17-jun-2026); 2) Stock Analysis: solo da la posición corta del ADR en EE. UU. (0,56 %); 3) Yahoo Finance no publica la posición corta de valores de Londres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la revisión solo aparece en gráficos sin cifras; 2) Stock Analysis: solo cambios de precio objetivo y recomendaciones; 3) MarketScreener, página de estimaciones: sin historial de revisiones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con comentarios de lectores (interactive investor, Hargreaves Lansdown, comentarios de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interactive investor: ficha de DGE en dos formas de URL, buscador y RSS de noticias, todas HTTP 404; 2) Hargreaves Lansdown: ficha de la acción, HTTP 404; Seeking Alpha: cuerpo del artículo de 10-sep-2026, HTTP 403 (solo se leen titulares del RSS); 3) The Guardian: la crónica del 6-ago-2026 no admite comentarios (isCommentable false) y la API de debate da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Preliminary results, year ended 30 June 2026 (nota de prensa de resultados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https://www.diageo.com/~/media/Files/D/Diageo-V2/Diageo-Corp/press-release/2026/f26-preliminary-results-press-release.pdf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https://www.diageo.com/~/media/Files/D/Diageo-V2/Diageo-Corp/investors/results-reports-and-events/annual-reports/2026/annual-report-2026.pdf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https://www.diageo.com/~/media/Files/D/Diageo-V2/Diageo-Corp/press-release/2025/f25-preliminary-results-press-release.pdf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2024 (cifras de FY2023 y 1-jul-2022 representadas en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https://www.diageo.com/~/media/Files/D/Diageo-V2/Diageo-Corp/press-release/2024/f24-prelims-results-press-release.pdf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2023 (en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https://www.diageo.com/~/media/Files/D/Diageo-V2/Diageo-Corp/investors/results-reports-and-events/our-results/2023/f23-prelims-results-press-release.pdf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datos XBRL de los 20-F (companyfacts, CIK 835403): FY2022 representado en USD en el 20-F de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https://data.sec.gov/api/xbrl/companyfacts/CIK0000835403.json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six months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https://www.diageo.com/~/media/Files/D/Diageo-V2/Diageo-Corp/press-release/2026/f26-interims-results-press-release.pdf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six months ended 31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https://www.diageo.com/~/media/Files/D/Diageo-V2/Diageo-Corp/press-release/2025/f25-interims-results-press-release.pdf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six months ended 31 December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https://www.diageo.com/~/media/Files/D/Diageo-V2/Diageo-Corp/investors/results-reports-and-events/our-results/f24-interims-results-press-release.pdf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six months ended 31 December 2022 (en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https://www.diageo.com/~/media/Files/D/Diageo-V2/Diageo-Corp/investors/results-reports-and-events/our-results/2023/f23-interims-results-press-release.pdf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F26 interim results, Q&amp;A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https://www.diageo.com/~/media/Files/D/Diageo-V2/Diageo-Corp/investors/results-reports-and-events/our-results/2026/f26-interim-results-q-and-a-transcript-25-02-2026.pdf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Debt investors (ratings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https://www.diageo.com/en/investors/debt-investors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Financial algorithm, transcripción de Nik Jhangiani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https://www.diageo.com/~/media/Files/D/Diageo-V2/Diageo-Corp/investors/results-reports-and-events/capital-markets-day-2026/diageo-cmd-nik-jhangiani-transcript.pdf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transcripción de preguntas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https://www.diageo.com/~/media/Files/D/Diageo-V2/Diageo-Corp/investors/results-reports-and-events/capital-markets-day-2026/diageo-cmd-q-and-a-transcript.pdf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F26 preliminary results presentation with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https://www.diageo.com/~/media/Files/D/Diageo-V2/Diageo-Corp/investors/results-reports-and-events/our-results/2026/fy26-prelims-results-presentation-with-script.pdf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Aide Memoire FY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https://www.diageo.com/~/media/Files/D/Diageo-V2/Diageo-Corp/press-release/2026/diageo-aide-memoire-fy-fiscal-2026.pdf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2026 Q3 Trading Statement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https://www.diageo.com/~/media/Files/D/Diageo-V2/Diageo-Corp/investors/results-reports-and-events/our-results/2026/fiscal-26-q3-trading-statement-transcript.pdf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del ejercicio 2023 (informe anual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https://www.sec.gov/Archives/edgar/data/835403/000083540323000016/deo-20230630.htm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https://www.diageo.com/en/our-business/our-history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Awards and rankings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https://www.diageo.com/en/esg/esg-governance-and-reporting-centre/awards-and-rankings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https://data.sec.gov/api/xbrl/companyfacts/CIK0000014693.json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https://data.sec.gov/api/xbrl/companyfacts/CIK0000016918.json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2025-26: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https://www.camparigroup.com/sites/default/files/downloads/20260304%202025%20Results%20Press%20Release_vF.pdf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4Q25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Becle, S.A.B. de C.V.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https://cuervo.com.mx/documents/reportes-trimestrales/2025/4Q25%20Earnings%20Release%20-%20Final.pdf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Documents -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Economic Briefing 2026 (datos de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https://distilledspirits.org/wp-content/uploads/2026/02/FINAL-DISCUS-Annual-Economic-Briefing-Presentation-2026-2.5.2026-11-AM.pdf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Briefing Support Tables, 2025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https://distilledspirits.org/wp-content/uploads/2026/02/Support-tables-2025-2.5.2026-1.pdf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export figures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Scotch Whisky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https://scotch-whisky.org.uk/newsroom/2025-export-figures/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beverage alcohol to drop further before recovering (datos de 2025 y previsión 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IWSR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https://www.theiwsr.com/insight/press-release/global-beverage-alcohol-to-drop-further-before-recovering/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Result of AGM (junta del 6-nov-2025)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https://www.investegate.co.uk/announcement/rns/diageo--dge/result-of-agm/9217864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Result of AGM (junta del 26-sep-2024)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https://www.investegate.co.uk/announcement/rns/diageo--dge/result-of-agm/8445057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Result of AGM (junta del 28-sep-2023)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https://www.investegate.co.uk/announcement/rns/diageo--dge/result-of-agm/7787064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announces CEO departure and succession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https://www.investegate.co.uk/announcement/rns/diageo--dge/diageo-announces-ceo-departure-and-succession-plan/8982751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announces Interim Chief Financial Officer appointment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https://www.investegate.co.uk/announcement/rns/diageo--dge/diageo-appoints-interim-chief-financial-officer/9013039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Sir Dave Lewis appointed Diageo plc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https://www.investegate.co.uk/announcement/rns/diageo--dge/sir-dave-lewis-appointed-diageo-plc-ceo/9222252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Joanne Wilson, nueva directora financiera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https://www.investegate.co.uk/announcement/rns/diageo--dge/directorate-change/9785633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announces appointment to Board of Directors (Alex Keith)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https://www.investegate.co.uk/announcement/rns/diageo--dge/diageo-announces-appointment-to-board-of-directors/9726190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(Artisan Partners)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https://www.investegate.co.uk/announcement/rns/diageo--dge/holding-s-in-company/9526711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(Massachusetts Financial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https://www.investegate.co.uk/announcement/rns/diageo--dge/holding-s-in-company/8066232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(compra de Dayalan Nayager)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https://www.investegate.co.uk/announcement/rns/diageo--dge/director-pdmr-shareholding/9333328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(compra de John Rishton)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https://www.investegate.co.uk/announcement/rns/diageo--dge/director-pdmr-shareholding/9573655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(entregas de planes y ventas para impuestos, 9-mar-2026)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https://www.investegate.co.uk/announcement/rns/diageo--dge/director-pdmr-shareholding/9467789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(John O'Keeffe, 14-may-2026)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https://www.investegate.co.uk/announcement/rns/diageo--dge/director-pdmr-shareholding/9571477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(entregas y ventas para impuestos en acciones ordinarias, 3-4-sep-2026)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https://www.investegate.co.uk/announcement/rns/diageo--dge/director-pdmr-shareholding/9759696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(entregas y ventas para impuestos en ADR, 3-4-sep-2026)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https://www.investegate.co.uk/announcement/rns/diageo--dge/director-pdmr-shareholding/9759695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(compra mensual de Sir John Manzoni, sep-2026; serie mensual desde 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https://www.investegate.co.uk/announcement/rns/diageo--dge/director-pdmr-shareholding/9766416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https://data-api.ecb.europa.eu/service/data/EXR/D.USD+GBP.EUR.SP00.A?startPeriod=2025-10-01&amp;format=csvdata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Capital Markets Day (guía a medio plazo FY2023-FY2025)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https://www.investegate.co.uk/announcement/rns/diageo--dge/diageo-capital-markets-day/6739557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Preliminary results, year ended 30 June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https://www.investegate.co.uk/announcement/rns/diageo--dge/preliminary-results/6783625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Interim results, six months ended 31 December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https://www.investegate.co.uk/announcement/rns/diageo--dge/interim-results-six-months-ended-31-december-2020/6204310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2022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https://www.diageo.com/~/media/Files/D/Diageo-V2/Diageo-Corp/investors/results-reports-and-events/our-results/2022/f22-prelims-results-press-release.pdf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issues trading commentary ahead of AGM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https://www.investegate.co.uk/announcement/rns/diageo--dge/diageo-issues-trading-commentary-ahead-of-agm/7782522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issues trading update (advertencia por Latinoamérica y Caribe)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https://www.investegate.co.uk/announcement/rns/diageo--dge/diageo-issues-trading-update/7872950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Interim results (six months ended 31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https://www.investegate.co.uk/announcement/rns/diageo--dge/interim-results/8719648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Preliminary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https://www.investegate.co.uk/announcement/rns/diageo--dge/diageo-preliminary-results-2025/9027112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issues fiscal 26 Q1 trading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https://www.investegate.co.uk/announcement/rns/diageo--dge/diageo-issues-fiscal-26-q1-trading-statement-/9215528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Interim results (six months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https://www.investegate.co.uk/announcement/rns/diageo--dge/interim-results/9445357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issues fiscal 26 Q3 trading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https://www.investegate.co.uk/announcement/rns/diageo--dge/diageo-issues-fiscal-26-q3-trading-statement/9553588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Capital Markets Day and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https://www.investegate.co.uk/announcement/rns/diageo--dge/diageo-capital-markets-day-and-outlook/9708741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(bonus diferido de Lewis y Jhangiani,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https://www.investegate.co.uk/announcement/rns/diageo--dge/director-pdmr-shareholding/9775984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(concesiones del plan a largo plazo a Sir Dave Lewis, 16-mar-2026)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https://www.investegate.co.uk/announcement/rns/diageo--dge/director-pdmr-shareholding/9478678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(concesiones del plan a largo plazo al Comité de Dirección,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https://www.investegate.co.uk/announcement/rns/diageo--dge/director-pdmr-shareholding/9775989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DGE.L, ISF.L y EXH3.DE (y GBPUSD=X)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https://finance.yahoo.com/quote/DGE.L/history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DEO, ACWI, URTH y KXI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https://finance.yahoo.com/quote/DEO/history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series diarias EXR.D.USD.EUR.SP00.A y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https://data-api.ecb.europa.eu/service/data/EXR/D.USD+GBP.EUR.SP00.A?startPeriod=2026-10-01&amp;format=csvdata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(RNS, capital a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https://www.investegate.co.uk/announcement/rns/diageo--dge/total-voting-rights/9802314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estimaciones financieras anuales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https://www.marketscreener.com/quote/stock/DIAGEO-PLC-4000514/finances/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https://www.marketscreener.com/quote/stock/DIAGEO-PLC-4000514/consensus/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(DEO)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https://fred.stlouisfed.org/graph/fredgraph.csv?id=DGS10&amp;cosd=2026-09-01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positions: daily update (lista de posiciones cortas netas comunicadas)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https://www.fca.org.uk/publication/data/short-positions-daily-update.xlsx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United Kingdom (IRLTLT01GBM156N, OCDE)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https://fred.stlouisfed.org/graph/fredgraph.csv?id=IRLTLT01GBM156N&amp;cosd=2025-01-01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Corporation: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https://www.marketscreener.com/quote/stock/BROWN-FORMAN-CORPORATION-11816/finances/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https://www.marketscreener.com/quote/stock/REMY-COINTREAU-4687/finances/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https://www.marketscreener.com/quote/stock/DAVIDE-CAMPARI-MILANO-N-V-34806796/finances/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https://www.marketscreener.com/quote/stock/CONSTELLATION-BRANDS-INC-14502/finances/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Becle: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https://www.marketscreener.com/quote/stock/BECLE-S-A-B-DE-C-V-33983391/finances/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https://www.marketscreener.com/quote/stock/HEINEKEN-N-V-6283/finances/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Anheuser-Busch InBev: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https://www.marketscreener.com/quote/stock/ANHEUSER-BUSCH-INBEV-SA-N-31571356/finances/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Kweichow Moutai: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https://www.marketscreener.com/quote/stock/KWEICHOW-MOUTAI-CO-LTD-6496237/finances/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análisis de inversión a 2026-10-08 (comparables y valor empresa) e históricos de MC.PA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agrees to sell EABL shareholding to Asahi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https://www.investegate.co.uk/announcement/rns/diageo--dge/diageo-agrees-to-sell-eabl-shareholding-to-asahi/9302782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Courvoisier cognac (nota de prensa, 14-dic-2023)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https://www.camparigroup.com/sites/default/files/attachments/acquisitions/1)%202023_12_14%20Courvoisier%20Press%20Release%20ENG%20(1).pdf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Campari Group chooses Caffo Group 1915 as the new owner of Cinzano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https://www.camparigroup.com/sites/default/files/downloads/20250626_Sale%20of%20Cinzano_Press%20Release%20ENG_9.pdf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to acquire Don Papa Rum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https://www.investegate.co.uk/index.php/announcement/rns/diageo--dge/diageo-to-acquire-don-papa-rum/7439794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to acquire Aviation Gin and Davos Brands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https://www.diageo.com/~/media/Files/D/Diageo-V2/Diageo-Corp/press-release/2020/150_press-release-diageo-to-acquire-aviation-gin-and-davos-brands.pdf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subsidiary United Spirits Limited announces full divesture of its stake in Royal Challengers Sports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https://www.investegate.co.uk/announcement/rns/diageo--dge/diageo-subsidiary-usl-announces-divesture-in-rcb/9490350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Spirits (NSE: UNITDSPR)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https://stockanalysis.com/quote/nse/UNITDSPR/statistics/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de LVMH a 30-jun-2026 (compromisos de compra de minoritarios), según el análisis de LVMH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https://lvmh-com.cdn.prismic.io/lvmh-com/CmJbUDA5Jzsdufho_LVMH_2026Firsthalffinancialreport.pdf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(DEO)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(DEO): análisis y noticias, canal RSS (artículos de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https://seekingalpha.com/api/sa/combined/DEO.xml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(LSE:DGE): índice de artículos (páginas 1 y 2,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https://www.twelfthmagpie.com/tickers/lse-dge/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Here's why the Diageo share price jumped 10% after a dividend cut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https://www.twelfthmagpie.com/2026/08/08/heres-why-the-diageo-share-price-jumped-10-after-a-dividend-cut/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FTSE 100 shares: 5 reasons I'm more bullish on Diageo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https://www.twelfthmagpie.com/2026/08/12/ftse-100-shares-5-reasons-im-more-bullish-on-diageo/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Against all odds, Diageo shares are up 22%. Are they finally on the road to recovery?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https://www.twelfthmagpie.com/2026/09/07/against-all-odds-diageo-shares-are-up-22-are-they-finally-on-the-road-to-recovery/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on earth's going on with JD Sports and Diageo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https://www.twelfthmagpie.com/2026/09/09/what-on-earths-going-on-with-jd-sports-and-diageo-shares/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After falling another 3% in September, just how low can the Diageo share price 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https://www.twelfthmagpie.com/2026/10/01/after-falling-another-3-in-september-just-how-low-can-the-diageo-share-price-go/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Stuck near £16, are my Diageo shares dead money?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https://www.twelfthmagpie.com/2026/10/06/stuck-near-16-are-my-diageo-shares-dead-money/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Tesco just delivered bad news for Diageo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https://www.twelfthmagpie.com/2026/10/09/tesco-just-delivered-bad-news-for-diageo-shareholders/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Prediction: Diageo's turnaround strategy will send its share price flying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https://www.twelfthmagpie.com/2026/10/12/prediction-diageos-turnaround-strategy-will-send-its-share-price-flying/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a new strategy revive Diageo?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Spirits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https://www.thespiritsbusiness.com/2026/09/can-a-new-strategy-revive-diageo/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strategy: cost cuts under Dave Lewis (crónica del día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Guardian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https://www.theguardian.com/business/2026/aug/06/diageo-strategy-cost-cuts-dave-lewis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la Bolsa de Londres (DGE), que cotiza en peniques: 1.673 p = 16,73 GBP al cierre del lunes 12-oct-2026, con la sesión ya cerrada [66]. Las cuentas están en dólares desde el FY2024, así que todo el informe va en USD y el precio se convierte a 1,32354 USD por GBP, cruce de los tipos del BCE del 12-oct-2026 [68]; el ADR de Nueva York (DEO, 1 ADR = 4 acciones) se usa solo para la beta en dólares [67]. El ejercicio cierra el 30 de junio y se nombra por el año en que termina (FY2026 = jul-25 a jun-26) [1]. FY2023-FY2026 salen de las notas de prensa de resultados, que en el Reino Unido traen las cuentas completas; FY2022 sale del XBRL del 20-F de FY2024 reexpresado en USD, con los excepcionales, la amortización y el dividendo convertidos desde GBP (estimación) [6]. No se incluyen FY2017-FY2021 para no mezclar divisas. Diageo publica semestres y solo ventas en el 1T y el 3T; los segundos semestres salen por diferencia [1, 7]. El EBITDA y el EBIT del informe son los antes de excepcionales y sin asociadas (Moët Hennessy va fuera del beneficio operativo y se valora en el puente) [1]. Consenso y comparables de un solo proveedor (MarketScreener), contrastado con Stock Analysis [70, 72]. La venta de EABL a Asahi y la del equipo de críquet RCB por United Spirits están pendientes de cierre: su producto entra en el puente y EABL sale de la proyección [87, 92].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Diageo plc (DGE)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(18,03 – 24,80)</c:v>
                </c:pt>
                <c:pt idx="1">
                  <c:v>Precio objetivo de los analistas (19,00 – 33,75)</c:v>
                </c:pt>
                <c:pt idx="2">
                  <c:v>Comparables: EV/EBITDA NTM (16,56 – 25,07)</c:v>
                </c:pt>
                <c:pt idx="3">
                  <c:v>Comparables: PER NTM (22,64 – 27,73)</c:v>
                </c:pt>
                <c:pt idx="4">
                  <c:v>Transacciones precedentes (EV/ventas) (18,57 – 36,04)</c:v>
                </c:pt>
                <c:pt idx="5">
                  <c:v>DCF (WACC y g ± 0,5) (21,36 – 27,54)</c:v>
                </c:pt>
                <c:pt idx="6">
                  <c:v>Escenarios (bajista – alcista) (15,45 – 31,52)</c:v>
                </c:pt>
                <c:pt idx="7">
                  <c:v>DCF con la prima implícita del mercado (4,2 %)</c:v>
                </c:pt>
                <c:pt idx="8">
                  <c:v>Precio actual (22,14)</c:v>
                </c:pt>
              </c:strCache>
            </c:strRef>
          </c:cat>
          <c:val>
            <c:numRef>
              <c:f>Hoja1!$B$2:$B$10</c:f>
              <c:numCache>
                <c:formatCode>#,##0.0</c:formatCode>
                <c:ptCount val="9"/>
                <c:pt idx="0">
                  <c:v>18.03</c:v>
                </c:pt>
                <c:pt idx="1">
                  <c:v>19</c:v>
                </c:pt>
                <c:pt idx="2">
                  <c:v>16.56</c:v>
                </c:pt>
                <c:pt idx="3">
                  <c:v>22.64</c:v>
                </c:pt>
                <c:pt idx="4">
                  <c:v>18.57</c:v>
                </c:pt>
                <c:pt idx="5">
                  <c:v>21.36</c:v>
                </c:pt>
                <c:pt idx="6">
                  <c:v>15.45</c:v>
                </c:pt>
                <c:pt idx="7">
                  <c:v>24.88</c:v>
                </c:pt>
                <c:pt idx="8">
                  <c:v>22.03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(18,03 – 24,80)</c:v>
                </c:pt>
                <c:pt idx="1">
                  <c:v>Precio objetivo de los analistas (19,00 – 33,75)</c:v>
                </c:pt>
                <c:pt idx="2">
                  <c:v>Comparables: EV/EBITDA NTM (16,56 – 25,07)</c:v>
                </c:pt>
                <c:pt idx="3">
                  <c:v>Comparables: PER NTM (22,64 – 27,73)</c:v>
                </c:pt>
                <c:pt idx="4">
                  <c:v>Transacciones precedentes (EV/ventas) (18,57 – 36,04)</c:v>
                </c:pt>
                <c:pt idx="5">
                  <c:v>DCF (WACC y g ± 0,5) (21,36 – 27,54)</c:v>
                </c:pt>
                <c:pt idx="6">
                  <c:v>Escenarios (bajista – alcista) (15,45 – 31,52)</c:v>
                </c:pt>
                <c:pt idx="7">
                  <c:v>DCF con la prima implícita del mercado (4,2 %)</c:v>
                </c:pt>
                <c:pt idx="8">
                  <c:v>Precio actual (22,14)</c:v>
                </c:pt>
              </c:strCache>
            </c:strRef>
          </c:cat>
          <c:val>
            <c:numRef>
              <c:f>Hoja1!$C$2:$C$10</c:f>
              <c:numCache>
                <c:formatCode>#,##0.0</c:formatCode>
                <c:ptCount val="9"/>
                <c:pt idx="0">
                  <c:v>6.77</c:v>
                </c:pt>
                <c:pt idx="1">
                  <c:v>14.75</c:v>
                </c:pt>
                <c:pt idx="2">
                  <c:v>8.510000000000002</c:v>
                </c:pt>
                <c:pt idx="3">
                  <c:v>5.09</c:v>
                </c:pt>
                <c:pt idx="4">
                  <c:v>17.47</c:v>
                </c:pt>
                <c:pt idx="5">
                  <c:v>6.18</c:v>
                </c:pt>
                <c:pt idx="6">
                  <c:v>16.07</c:v>
                </c:pt>
                <c:pt idx="7">
                  <c:v>5.199999999999999</c:v>
                </c:pt>
                <c:pt idx="8">
                  <c:v>0.21999999999999886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North America</c:v>
                </c:pt>
              </c:strCache>
            </c:strRef>
          </c:tx>
          <c:spPr>
            <a:solidFill>
              <a:srgbClr val="2A78D6"/>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Hoja1!$B$2:$B$5</c:f>
              <c:numCache>
                <c:formatCode>#,##0</c:formatCode>
                <c:ptCount val="4"/>
                <c:pt idx="0">
                  <c:v>8109</c:v>
                </c:pt>
                <c:pt idx="1">
                  <c:v>7908</c:v>
                </c:pt>
                <c:pt idx="2">
                  <c:v>7973</c:v>
                </c:pt>
                <c:pt idx="3">
                  <c:v>7249</c:v>
                </c:pt>
              </c:numCache>
            </c:numRef>
          </c:val>
        </c:ser>
        <c:ser>
          <c:idx val="1"/>
          <c:order val="1"/>
          <c:tx>
            <c:strRef>
              <c:f>Hoja1!$C$1</c:f>
              <c:strCache>
                <c:ptCount val="1"/>
                <c:pt idx="0">
                  <c:v>Europe</c:v>
                </c:pt>
              </c:strCache>
            </c:strRef>
          </c:tx>
          <c:spPr>
            <a:solidFill>
              <a:srgbClr val="EB683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Hoja1!$C$2:$C$5</c:f>
              <c:numCache>
                <c:formatCode>#,##0</c:formatCode>
                <c:ptCount val="4"/>
                <c:pt idx="0">
                  <c:v>4303</c:v>
                </c:pt>
                <c:pt idx="1">
                  <c:v>4804</c:v>
                </c:pt>
                <c:pt idx="2">
                  <c:v>4821</c:v>
                </c:pt>
                <c:pt idx="3">
                  <c:v>5097</c:v>
                </c:pt>
              </c:numCache>
            </c:numRef>
          </c:val>
        </c:ser>
        <c:ser>
          <c:idx val="2"/>
          <c:order val="2"/>
          <c:tx>
            <c:strRef>
              <c:f>Hoja1!$D$1</c:f>
              <c:strCache>
                <c:ptCount val="1"/>
                <c:pt idx="0">
                  <c:v>Asia Pacific</c:v>
                </c:pt>
              </c:strCache>
            </c:strRef>
          </c:tx>
          <c:spPr>
            <a:solidFill>
              <a:srgbClr val="1BAF7A"/>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Hoja1!$D$2:$D$5</c:f>
              <c:numCache>
                <c:formatCode>#,##0</c:formatCode>
                <c:ptCount val="4"/>
                <c:pt idx="0">
                  <c:v>3841</c:v>
                </c:pt>
                <c:pt idx="1">
                  <c:v>3817</c:v>
                </c:pt>
                <c:pt idx="2">
                  <c:v>3635</c:v>
                </c:pt>
                <c:pt idx="3">
                  <c:v>3333</c:v>
                </c:pt>
              </c:numCache>
            </c:numRef>
          </c:val>
        </c:ser>
        <c:ser>
          <c:idx val="3"/>
          <c:order val="3"/>
          <c:tx>
            <c:strRef>
              <c:f>Hoja1!$E$1</c:f>
              <c:strCache>
                <c:ptCount val="1"/>
                <c:pt idx="0">
                  <c:v>Latin America and Caribbean</c:v>
                </c:pt>
              </c:strCache>
            </c:strRef>
          </c:tx>
          <c:spPr>
            <a:solidFill>
              <a:srgbClr val="EDA100"/>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Hoja1!$E$2:$E$5</c:f>
              <c:numCache>
                <c:formatCode>#,##0</c:formatCode>
                <c:ptCount val="4"/>
                <c:pt idx="0">
                  <c:v>2159</c:v>
                </c:pt>
                <c:pt idx="1">
                  <c:v>1839</c:v>
                </c:pt>
                <c:pt idx="2">
                  <c:v>1847</c:v>
                </c:pt>
                <c:pt idx="3">
                  <c:v>2160</c:v>
                </c:pt>
              </c:numCache>
            </c:numRef>
          </c:val>
        </c:ser>
        <c:ser>
          <c:idx val="4"/>
          <c:order val="4"/>
          <c:tx>
            <c:strRef>
              <c:f>Hoja1!$F$1</c:f>
              <c:strCache>
                <c:ptCount val="1"/>
                <c:pt idx="0">
                  <c:v>Africa</c:v>
                </c:pt>
              </c:strCache>
            </c:strRef>
          </c:tx>
          <c:spPr>
            <a:solidFill>
              <a:srgbClr val="E87BA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Hoja1!$F$2:$F$5</c:f>
              <c:numCache>
                <c:formatCode>#,##0</c:formatCode>
                <c:ptCount val="4"/>
                <c:pt idx="0">
                  <c:v>2039</c:v>
                </c:pt>
                <c:pt idx="1">
                  <c:v>1778</c:v>
                </c:pt>
                <c:pt idx="2">
                  <c:v>1834</c:v>
                </c:pt>
                <c:pt idx="3">
                  <c:v>1642</c:v>
                </c:pt>
              </c:numCache>
            </c:numRef>
          </c:val>
        </c:ser>
        <c:ser>
          <c:idx val="5"/>
          <c:order val="5"/>
          <c:tx>
            <c:strRef>
              <c:f>Hoja1!$G$1</c:f>
              <c:strCache>
                <c:ptCount val="1"/>
                <c:pt idx="0">
                  <c:v>Corporate</c:v>
                </c:pt>
              </c:strCache>
            </c:strRef>
          </c:tx>
          <c:spPr>
            <a:solidFill>
              <a:srgbClr val="008300"/>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Hoja1!$G$2:$G$5</c:f>
              <c:numCache>
                <c:formatCode>#,##0</c:formatCode>
                <c:ptCount val="4"/>
                <c:pt idx="0">
                  <c:v>104</c:v>
                </c:pt>
                <c:pt idx="1">
                  <c:v>123</c:v>
                </c:pt>
                <c:pt idx="2">
                  <c:v>135</c:v>
                </c:pt>
                <c:pt idx="3">
                  <c:v>162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North America</c:v>
                </c:pt>
                <c:pt idx="1">
                  <c:v>Europe</c:v>
                </c:pt>
                <c:pt idx="2">
                  <c:v>Asia Pacific</c:v>
                </c:pt>
                <c:pt idx="3">
                  <c:v>Latin America and Caribbean</c:v>
                </c:pt>
                <c:pt idx="4">
                  <c:v>Africa</c:v>
                </c:pt>
                <c:pt idx="5">
                  <c:v>Corporate</c:v>
                </c:pt>
              </c:strCache>
            </c:strRef>
          </c:cat>
          <c:val>
            <c:numRef>
              <c:f>Hoja1!$B$2:$B$7</c:f>
              <c:numCache>
                <c:formatCode>General</c:formatCode>
                <c:ptCount val="6"/>
                <c:pt idx="0">
                  <c:v>36.9</c:v>
                </c:pt>
                <c:pt idx="1">
                  <c:v>25.9</c:v>
                </c:pt>
                <c:pt idx="2">
                  <c:v>17</c:v>
                </c:pt>
                <c:pt idx="3">
                  <c:v>11</c:v>
                </c:pt>
                <c:pt idx="4">
                  <c:v>8.4</c:v>
                </c:pt>
                <c:pt idx="5">
                  <c:v>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North America</c:v>
                </c:pt>
                <c:pt idx="1">
                  <c:v>Europe</c:v>
                </c:pt>
                <c:pt idx="2">
                  <c:v>Asia Pacific</c:v>
                </c:pt>
                <c:pt idx="3">
                  <c:v>Latin America and Caribbean</c:v>
                </c:pt>
                <c:pt idx="4">
                  <c:v>Africa</c:v>
                </c:pt>
                <c:pt idx="5">
                  <c:v>Corporate</c:v>
                </c:pt>
              </c:strCache>
            </c:strRef>
          </c:cat>
          <c:val>
            <c:numRef>
              <c:f>Hoja1!$B$2:$B$7</c:f>
              <c:numCache>
                <c:formatCode>0"%"</c:formatCode>
                <c:ptCount val="6"/>
                <c:pt idx="0">
                  <c:v>36.9</c:v>
                </c:pt>
                <c:pt idx="1">
                  <c:v>25.9</c:v>
                </c:pt>
                <c:pt idx="2">
                  <c:v>17</c:v>
                </c:pt>
                <c:pt idx="3">
                  <c:v>11</c:v>
                </c:pt>
                <c:pt idx="4">
                  <c:v>8.4</c:v>
                </c:pt>
                <c:pt idx="5">
                  <c:v>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los productores de espirituosos en EE. UU., DISCUS))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27600</c:v>
                </c:pt>
                <c:pt idx="1">
                  <c:v>29000</c:v>
                </c:pt>
                <c:pt idx="2">
                  <c:v>31900</c:v>
                </c:pt>
                <c:pt idx="3">
                  <c:v>35800</c:v>
                </c:pt>
                <c:pt idx="4">
                  <c:v>37600</c:v>
                </c:pt>
                <c:pt idx="5">
                  <c:v>37700</c:v>
                </c:pt>
                <c:pt idx="6">
                  <c:v>37200</c:v>
                </c:pt>
                <c:pt idx="7">
                  <c:v>36400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Diageo</c:v>
                </c:pt>
                <c:pt idx="1">
                  <c:v>Pernod Ricard</c:v>
                </c:pt>
                <c:pt idx="2">
                  <c:v>Constellation Brands</c:v>
                </c:pt>
                <c:pt idx="3">
                  <c:v>LVMH (Vinos y Licores, Moët Hennessy)</c:v>
                </c:pt>
                <c:pt idx="4">
                  <c:v>Brown-Forman</c:v>
                </c:pt>
                <c:pt idx="5">
                  <c:v>Campari</c:v>
                </c:pt>
                <c:pt idx="6">
                  <c:v>Becle (Jose Cuervo)</c:v>
                </c:pt>
                <c:pt idx="7">
                  <c:v>Rémy Cointreau</c:v>
                </c:pt>
              </c:strCache>
            </c:strRef>
          </c:cat>
          <c:val>
            <c:numRef>
              <c:f>Hoja1!$B$2:$B$9</c:f>
              <c:numCache>
                <c:formatCode>0.0"%"</c:formatCode>
                <c:ptCount val="8"/>
                <c:pt idx="0">
                  <c:v>28.9</c:v>
                </c:pt>
                <c:pt idx="1">
                  <c:v>25.8</c:v>
                </c:pt>
                <c:pt idx="2">
                  <c:v>29.8</c:v>
                </c:pt>
                <c:pt idx="3">
                  <c:v>19</c:v>
                </c:pt>
                <c:pt idx="4">
                  <c:v>25.5</c:v>
                </c:pt>
                <c:pt idx="5">
                  <c:v>20.9</c:v>
                </c:pt>
                <c:pt idx="6">
                  <c:v>22.4</c:v>
                </c:pt>
                <c:pt idx="7">
                  <c:v>17.7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20516</c:v>
                </c:pt>
                <c:pt idx="1">
                  <c:v>20555</c:v>
                </c:pt>
                <c:pt idx="2">
                  <c:v>20269</c:v>
                </c:pt>
                <c:pt idx="3">
                  <c:v>20245</c:v>
                </c:pt>
                <c:pt idx="4">
                  <c:v>19643</c:v>
                </c:pt>
                <c:pt idx="5">
                  <c:v>19152</c:v>
                </c:pt>
                <c:pt idx="6">
                  <c:v>19056</c:v>
                </c:pt>
                <c:pt idx="7">
                  <c:v>19533</c:v>
                </c:pt>
                <c:pt idx="8">
                  <c:v>20119</c:v>
                </c:pt>
                <c:pt idx="9">
                  <c:v>20823</c:v>
                </c:pt>
                <c:pt idx="10">
                  <c:v>21551</c:v>
                </c:pt>
                <c:pt idx="11">
                  <c:v>22306</c:v>
                </c:pt>
                <c:pt idx="12">
                  <c:v>22975</c:v>
                </c:pt>
                <c:pt idx="13">
                  <c:v>23664</c:v>
                </c:pt>
                <c:pt idx="14">
                  <c:v>24315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7074</c:v>
                </c:pt>
                <c:pt idx="1">
                  <c:v>6910</c:v>
                </c:pt>
                <c:pt idx="2">
                  <c:v>6623</c:v>
                </c:pt>
                <c:pt idx="3">
                  <c:v>6452</c:v>
                </c:pt>
                <c:pt idx="4">
                  <c:v>6432</c:v>
                </c:pt>
                <c:pt idx="5">
                  <c:v>6282</c:v>
                </c:pt>
                <c:pt idx="6">
                  <c:v>6384</c:v>
                </c:pt>
                <c:pt idx="7">
                  <c:v>6641</c:v>
                </c:pt>
                <c:pt idx="8">
                  <c:v>6901</c:v>
                </c:pt>
                <c:pt idx="9">
                  <c:v>7184</c:v>
                </c:pt>
                <c:pt idx="10">
                  <c:v>7435</c:v>
                </c:pt>
                <c:pt idx="11">
                  <c:v>7695</c:v>
                </c:pt>
                <c:pt idx="12">
                  <c:v>7926</c:v>
                </c:pt>
                <c:pt idx="13">
                  <c:v>8164</c:v>
                </c:pt>
                <c:pt idx="14">
                  <c:v>8389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61.4</c:v>
                </c:pt>
                <c:pt idx="1">
                  <c:v>59.7</c:v>
                </c:pt>
                <c:pt idx="2">
                  <c:v>60.2</c:v>
                </c:pt>
                <c:pt idx="3">
                  <c:v>60.1</c:v>
                </c:pt>
                <c:pt idx="4">
                  <c:v>59.5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34.5</c:v>
                </c:pt>
                <c:pt idx="1">
                  <c:v>33.6</c:v>
                </c:pt>
                <c:pt idx="2">
                  <c:v>32.7</c:v>
                </c:pt>
                <c:pt idx="3">
                  <c:v>31.9</c:v>
                </c:pt>
                <c:pt idx="4">
                  <c:v>32.7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31.3</c:v>
                </c:pt>
                <c:pt idx="1">
                  <c:v>30.7</c:v>
                </c:pt>
                <c:pt idx="2">
                  <c:v>29.3</c:v>
                </c:pt>
                <c:pt idx="3">
                  <c:v>28.2</c:v>
                </c:pt>
                <c:pt idx="4">
                  <c:v>28.9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20.9</c:v>
                </c:pt>
                <c:pt idx="1">
                  <c:v>21.6</c:v>
                </c:pt>
                <c:pt idx="2">
                  <c:v>19.1</c:v>
                </c:pt>
                <c:pt idx="3">
                  <c:v>11.6</c:v>
                </c:pt>
                <c:pt idx="4">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18.4</c:v>
                </c:pt>
                <c:pt idx="2">
                  <c:v>-1.4</c:v>
                </c:pt>
                <c:pt idx="3">
                  <c:v>-1.4</c:v>
                </c:pt>
                <c:pt idx="4">
                  <c:v>-0.6</c:v>
                </c:pt>
                <c:pt idx="5">
                  <c:v>0.4</c:v>
                </c:pt>
                <c:pt idx="6">
                  <c:v>-4</c:v>
                </c:pt>
                <c:pt idx="7">
                  <c:v>-1.7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9.4</c:v>
                </c:pt>
                <c:pt idx="2">
                  <c:v>-0.6</c:v>
                </c:pt>
                <c:pt idx="4">
                  <c:v>1</c:v>
                </c:pt>
                <c:pt idx="6">
                  <c:v>-2.8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63</c:v>
                </c:pt>
                <c:pt idx="1">
                  <c:v>61</c:v>
                </c:pt>
                <c:pt idx="2">
                  <c:v>63</c:v>
                </c:pt>
                <c:pt idx="3">
                  <c:v>63</c:v>
                </c:pt>
                <c:pt idx="4">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395</c:v>
                </c:pt>
                <c:pt idx="1">
                  <c:v>425</c:v>
                </c:pt>
                <c:pt idx="2">
                  <c:v>440</c:v>
                </c:pt>
                <c:pt idx="3">
                  <c:v>482</c:v>
                </c:pt>
                <c:pt idx="4">
                  <c:v>483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328</c:v>
                </c:pt>
                <c:pt idx="1">
                  <c:v>294</c:v>
                </c:pt>
                <c:pt idx="2">
                  <c:v>287</c:v>
                </c:pt>
                <c:pt idx="3">
                  <c:v>314</c:v>
                </c:pt>
                <c:pt idx="4">
                  <c:v>295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3746</c:v>
                </c:pt>
                <c:pt idx="1">
                  <c:v>2105</c:v>
                </c:pt>
                <c:pt idx="2">
                  <c:v>2474</c:v>
                </c:pt>
                <c:pt idx="3">
                  <c:v>2571</c:v>
                </c:pt>
                <c:pt idx="4">
                  <c:v>3069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4280</c:v>
                </c:pt>
                <c:pt idx="1">
                  <c:v>4445</c:v>
                </c:pt>
                <c:pt idx="2">
                  <c:v>3870</c:v>
                </c:pt>
                <c:pt idx="3">
                  <c:v>2354</c:v>
                </c:pt>
                <c:pt idx="4">
                  <c:v>1737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17</c:v>
                </c:pt>
                <c:pt idx="1">
                  <c:v>16.7</c:v>
                </c:pt>
                <c:pt idx="2">
                  <c:v>14.1</c:v>
                </c:pt>
                <c:pt idx="3">
                  <c:v>12</c:v>
                </c:pt>
                <c:pt idx="4">
                  <c:v>12.6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8</c:v>
                </c:pt>
                <c:pt idx="1">
                  <c:v>8</c:v>
                </c:pt>
                <c:pt idx="2">
                  <c:v>8</c:v>
                </c:pt>
                <c:pt idx="3">
                  <c:v>8</c:v>
                </c:pt>
                <c:pt idx="4">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45.4</c:v>
                </c:pt>
                <c:pt idx="1">
                  <c:v>46.1</c:v>
                </c:pt>
                <c:pt idx="2">
                  <c:v>38.9</c:v>
                </c:pt>
                <c:pt idx="3">
                  <c:v>22.3</c:v>
                </c:pt>
                <c:pt idx="4">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2.43</c:v>
                </c:pt>
                <c:pt idx="1">
                  <c:v>2.83</c:v>
                </c:pt>
                <c:pt idx="2">
                  <c:v>3.17</c:v>
                </c:pt>
                <c:pt idx="3">
                  <c:v>3.44</c:v>
                </c:pt>
                <c:pt idx="4">
                  <c:v>3.21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FY2027</c:v>
                </c:pt>
                <c:pt idx="1">
                  <c:v>FY2028-FY2029</c:v>
                </c:pt>
                <c:pt idx="2">
                  <c:v>FY2030-FY2031</c:v>
                </c:pt>
                <c:pt idx="3">
                  <c:v>FY2032+</c:v>
                </c:pt>
              </c:strCache>
            </c:strRef>
          </c:cat>
          <c:val>
            <c:numRef>
              <c:f>Hoja1!$B$2:$B$5</c:f>
              <c:numCache>
                <c:formatCode>#,##0</c:formatCode>
                <c:ptCount val="4"/>
                <c:pt idx="0">
                  <c:v>3349</c:v>
                </c:pt>
                <c:pt idx="1">
                  <c:v>5449</c:v>
                </c:pt>
                <c:pt idx="2">
                  <c:v>4926</c:v>
                </c:pt>
                <c:pt idx="3">
                  <c:v>13189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362</c:v>
                </c:pt>
                <c:pt idx="1">
                  <c:v>516</c:v>
                </c:pt>
                <c:pt idx="2">
                  <c:v>139</c:v>
                </c:pt>
                <c:pt idx="3">
                  <c:v>119</c:v>
                </c:pt>
                <c:pt idx="4">
                  <c:v>70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2300</c:v>
                </c:pt>
                <c:pt idx="1">
                  <c:v>2065</c:v>
                </c:pt>
                <c:pt idx="2">
                  <c:v>2242</c:v>
                </c:pt>
                <c:pt idx="3">
                  <c:v>2298</c:v>
                </c:pt>
                <c:pt idx="4">
                  <c:v>1846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3004</c:v>
                </c:pt>
                <c:pt idx="1">
                  <c:v>1673</c:v>
                </c:pt>
                <c:pt idx="2">
                  <c:v>987</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8</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 (BlackRock Investment Management UK, indirecta)</c:v>
                </c:pt>
                <c:pt idx="1">
                  <c:v>Artisan Partners LP (indirecta)</c:v>
                </c:pt>
                <c:pt idx="2">
                  <c:v>Capital Research and Management Co. (indirecta)</c:v>
                </c:pt>
                <c:pt idx="3">
                  <c:v>Massachusetts Financial Services (indirecta)</c:v>
                </c:pt>
                <c:pt idx="4">
                  <c:v>Autocartera</c:v>
                </c:pt>
                <c:pt idx="5">
                  <c:v>Fideicomisos de empleados</c:v>
                </c:pt>
              </c:strCache>
            </c:strRef>
          </c:cat>
          <c:val>
            <c:numRef>
              <c:f>Hoja1!$B$2:$B$7</c:f>
              <c:numCache>
                <c:formatCode>0.0"%"</c:formatCode>
                <c:ptCount val="6"/>
                <c:pt idx="0">
                  <c:v>5.89</c:v>
                </c:pt>
                <c:pt idx="1">
                  <c:v>5.03</c:v>
                </c:pt>
                <c:pt idx="2">
                  <c:v>4.99</c:v>
                </c:pt>
                <c:pt idx="3">
                  <c:v>4.99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13.7</c:v>
                </c:pt>
                <c:pt idx="1">
                  <c:v>29.2</c:v>
                </c:pt>
                <c:pt idx="2">
                  <c:v>2.6</c:v>
                </c:pt>
                <c:pt idx="3">
                  <c:v>14.5</c:v>
                </c:pt>
                <c:pt idx="4">
                  <c:v>-10.1</c:v>
                </c:pt>
                <c:pt idx="5">
                  <c:v>40.3</c:v>
                </c:pt>
                <c:pt idx="6">
                  <c:v>-9.5</c:v>
                </c:pt>
                <c:pt idx="7">
                  <c:v>-21.7</c:v>
                </c:pt>
                <c:pt idx="8">
                  <c:v>-11.1</c:v>
                </c:pt>
                <c:pt idx="9">
                  <c:v>-36.8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13.8</c:v>
                </c:pt>
                <c:pt idx="1">
                  <c:v>8.6</c:v>
                </c:pt>
                <c:pt idx="2">
                  <c:v>-12.6</c:v>
                </c:pt>
                <c:pt idx="3">
                  <c:v>11.9</c:v>
                </c:pt>
                <c:pt idx="4">
                  <c:v>-14.5</c:v>
                </c:pt>
                <c:pt idx="5">
                  <c:v>13.2</c:v>
                </c:pt>
                <c:pt idx="6">
                  <c:v>1</c:v>
                </c:pt>
                <c:pt idx="7">
                  <c:v>3.7</c:v>
                </c:pt>
                <c:pt idx="8">
                  <c:v>5.4</c:v>
                </c:pt>
                <c:pt idx="9">
                  <c:v>21.9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5">
                  <c:v>16.8</c:v>
                </c:pt>
                <c:pt idx="6">
                  <c:v>17.2</c:v>
                </c:pt>
                <c:pt idx="7">
                  <c:v>14.1</c:v>
                </c:pt>
                <c:pt idx="8">
                  <c:v>12.4</c:v>
                </c:pt>
                <c:pt idx="9">
                  <c:v>10.5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14.1</c:v>
                </c:pt>
                <c:pt idx="1">
                  <c:v>14.1</c:v>
                </c:pt>
                <c:pt idx="2">
                  <c:v>14.1</c:v>
                </c:pt>
                <c:pt idx="3">
                  <c:v>14.1</c:v>
                </c:pt>
                <c:pt idx="4">
                  <c:v>14.1</c:v>
                </c:pt>
                <c:pt idx="5">
                  <c:v>14.1</c:v>
                </c:pt>
                <c:pt idx="6">
                  <c:v>14.1</c:v>
                </c:pt>
                <c:pt idx="7">
                  <c:v>14.1</c:v>
                </c:pt>
                <c:pt idx="8">
                  <c:v>14.1</c:v>
                </c:pt>
                <c:pt idx="9">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Diageo</c:v>
                </c:pt>
                <c:pt idx="1">
                  <c:v>Pernod Ricard</c:v>
                </c:pt>
                <c:pt idx="2">
                  <c:v>Brown-Forman</c:v>
                </c:pt>
                <c:pt idx="3">
                  <c:v>Rémy Cointreau</c:v>
                </c:pt>
                <c:pt idx="4">
                  <c:v>Campari</c:v>
                </c:pt>
                <c:pt idx="5">
                  <c:v>Constellation Brands</c:v>
                </c:pt>
                <c:pt idx="6">
                  <c:v>Heineken</c:v>
                </c:pt>
                <c:pt idx="7">
                  <c:v>AB InBev</c:v>
                </c:pt>
                <c:pt idx="8">
                  <c:v>LVMH</c:v>
                </c:pt>
              </c:strCache>
            </c:strRef>
          </c:cat>
          <c:val>
            <c:numRef>
              <c:f>Hoja1!$B$2:$B$10</c:f>
              <c:numCache>
                <c:formatCode>0.0"x"</c:formatCode>
                <c:ptCount val="9"/>
                <c:pt idx="0">
                  <c:v>10.8</c:v>
                </c:pt>
                <c:pt idx="1">
                  <c:v>9.5</c:v>
                </c:pt>
                <c:pt idx="2">
                  <c:v>12.2</c:v>
                </c:pt>
                <c:pt idx="3">
                  <c:v>12.6</c:v>
                </c:pt>
                <c:pt idx="4">
                  <c:v>11.7</c:v>
                </c:pt>
                <c:pt idx="5">
                  <c:v>9.2</c:v>
                </c:pt>
                <c:pt idx="6">
                  <c:v>7.6</c:v>
                </c:pt>
                <c:pt idx="7">
                  <c:v>8.9</c:v>
                </c:pt>
                <c:pt idx="8">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Diageo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c:v>
                </c:pt>
              </c:numCache>
            </c:numRef>
          </c:xVal>
          <c:yVal>
            <c:numRef>
              <c:f>Hoja1!$C$2</c:f>
              <c:numCache>
                <c:formatCode>0.0"x"</c:formatCode>
                <c:ptCount val="1"/>
                <c:pt idx="0">
                  <c:v>10.8</c:v>
                </c:pt>
              </c:numCache>
            </c:numRef>
          </c:yVal>
          <c:smooth val="0"/>
        </c:ser>
        <c:ser>
          <c:idx val="1"/>
          <c:order val="1"/>
          <c:tx>
            <c:strRef>
              <c:f>Hoja1!$A$3</c:f>
              <c:strCache>
                <c:ptCount val="1"/>
                <c:pt idx="0">
                  <c:v>Pernod Ricard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-0.2</c:v>
                </c:pt>
              </c:numCache>
            </c:numRef>
          </c:xVal>
          <c:yVal>
            <c:numRef>
              <c:f>Hoja1!$C$3</c:f>
              <c:numCache>
                <c:formatCode>0.0"x"</c:formatCode>
                <c:ptCount val="1"/>
                <c:pt idx="0">
                  <c:v>9.5</c:v>
                </c:pt>
              </c:numCache>
            </c:numRef>
          </c:yVal>
          <c:smooth val="0"/>
        </c:ser>
        <c:ser>
          <c:idx val="2"/>
          <c:order val="2"/>
          <c:tx>
            <c:strRef>
              <c:f>Hoja1!$A$4</c:f>
              <c:strCache>
                <c:ptCount val="1"/>
                <c:pt idx="0">
                  <c:v>Brown-Forman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0.7</c:v>
                </c:pt>
              </c:numCache>
            </c:numRef>
          </c:xVal>
          <c:yVal>
            <c:numRef>
              <c:f>Hoja1!$C$4</c:f>
              <c:numCache>
                <c:formatCode>0.0"x"</c:formatCode>
                <c:ptCount val="1"/>
                <c:pt idx="0">
                  <c:v>12.2</c:v>
                </c:pt>
              </c:numCache>
            </c:numRef>
          </c:yVal>
          <c:smooth val="0"/>
        </c:ser>
        <c:ser>
          <c:idx val="3"/>
          <c:order val="3"/>
          <c:tx>
            <c:strRef>
              <c:f>Hoja1!$A$5</c:f>
              <c:strCache>
                <c:ptCount val="1"/>
                <c:pt idx="0">
                  <c:v>Rémy Cointreau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3.6</c:v>
                </c:pt>
              </c:numCache>
            </c:numRef>
          </c:xVal>
          <c:yVal>
            <c:numRef>
              <c:f>Hoja1!$C$5</c:f>
              <c:numCache>
                <c:formatCode>0.0"x"</c:formatCode>
                <c:ptCount val="1"/>
                <c:pt idx="0">
                  <c:v>12.6</c:v>
                </c:pt>
              </c:numCache>
            </c:numRef>
          </c:yVal>
          <c:smooth val="0"/>
        </c:ser>
        <c:ser>
          <c:idx val="4"/>
          <c:order val="4"/>
          <c:tx>
            <c:strRef>
              <c:f>Hoja1!$A$6</c:f>
              <c:strCache>
                <c:ptCount val="1"/>
                <c:pt idx="0">
                  <c:v>Campari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c:v>
                </c:pt>
              </c:numCache>
            </c:numRef>
          </c:xVal>
          <c:yVal>
            <c:numRef>
              <c:f>Hoja1!$C$6</c:f>
              <c:numCache>
                <c:formatCode>0.0"x"</c:formatCode>
                <c:ptCount val="1"/>
                <c:pt idx="0">
                  <c:v>11.7</c:v>
                </c:pt>
              </c:numCache>
            </c:numRef>
          </c:yVal>
          <c:smooth val="0"/>
        </c:ser>
        <c:ser>
          <c:idx val="5"/>
          <c:order val="5"/>
          <c:tx>
            <c:strRef>
              <c:f>Hoja1!$A$7</c:f>
              <c:strCache>
                <c:ptCount val="1"/>
                <c:pt idx="0">
                  <c:v>Constellation Brands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0.4</c:v>
                </c:pt>
              </c:numCache>
            </c:numRef>
          </c:xVal>
          <c:yVal>
            <c:numRef>
              <c:f>Hoja1!$C$7</c:f>
              <c:numCache>
                <c:formatCode>0.0"x"</c:formatCode>
                <c:ptCount val="1"/>
                <c:pt idx="0">
                  <c:v>9.2</c:v>
                </c:pt>
              </c:numCache>
            </c:numRef>
          </c:yVal>
          <c:smooth val="0"/>
        </c:ser>
        <c:ser>
          <c:idx val="6"/>
          <c:order val="6"/>
          <c:tx>
            <c:strRef>
              <c:f>Hoja1!$A$8</c:f>
              <c:strCache>
                <c:ptCount val="1"/>
                <c:pt idx="0">
                  <c:v>Heineken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3.9</c:v>
                </c:pt>
              </c:numCache>
            </c:numRef>
          </c:xVal>
          <c:yVal>
            <c:numRef>
              <c:f>Hoja1!$C$8</c:f>
              <c:numCache>
                <c:formatCode>0.0"x"</c:formatCode>
                <c:ptCount val="1"/>
                <c:pt idx="0">
                  <c:v>7.6</c:v>
                </c:pt>
              </c:numCache>
            </c:numRef>
          </c:yVal>
          <c:smooth val="0"/>
        </c:ser>
        <c:ser>
          <c:idx val="7"/>
          <c:order val="7"/>
          <c:tx>
            <c:strRef>
              <c:f>Hoja1!$A$9</c:f>
              <c:strCache>
                <c:ptCount val="1"/>
                <c:pt idx="0">
                  <c:v>AB InBev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6.8</c:v>
                </c:pt>
              </c:numCache>
            </c:numRef>
          </c:xVal>
          <c:yVal>
            <c:numRef>
              <c:f>Hoja1!$C$9</c:f>
              <c:numCache>
                <c:formatCode>0.0"x"</c:formatCode>
                <c:ptCount val="1"/>
                <c:pt idx="0">
                  <c:v>8.9</c:v>
                </c:pt>
              </c:numCache>
            </c:numRef>
          </c:yVal>
          <c:smooth val="0"/>
        </c:ser>
        <c:ser>
          <c:idx val="8"/>
          <c:order val="8"/>
          <c:tx>
            <c:strRef>
              <c:f>Hoja1!$A$10</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3.7</c:v>
                </c:pt>
              </c:numCache>
            </c:numRef>
          </c:xVal>
          <c:yVal>
            <c:numRef>
              <c:f>Hoja1!$C$10</c:f>
              <c:numCache>
                <c:formatCode>0.0"x"</c:formatCode>
                <c:ptCount val="1"/>
                <c:pt idx="0">
                  <c:v>8.6</c:v>
                </c:pt>
              </c:numCache>
            </c:numRef>
          </c:yVal>
          <c:smooth val="0"/>
        </c:ser>
        <c:axId val="10"/>
        <c:axId val="20"/>
      </c:scatterChart>
      <c:valAx>
        <c:axId val="10"/>
        <c:scaling>
          <c:orientation val="minMax"/>
          <c:max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East African Breweries (65 %) y UDV Kenya (53,68 %)</c:v>
                </c:pt>
                <c:pt idx="1">
                  <c:v>Courvoisier (coñac, con Salignac)</c:v>
                </c:pt>
                <c:pt idx="2">
                  <c:v>Cinzano y Frattina (vermú y espumosos)</c:v>
                </c:pt>
                <c:pt idx="3">
                  <c:v>Don Papa Rum</c:v>
                </c:pt>
                <c:pt idx="4">
                  <c:v>Aviation American Gin y Davos Brands</c:v>
                </c:pt>
              </c:strCache>
            </c:strRef>
          </c:cat>
          <c:val>
            <c:numRef>
              <c:f>Hoja1!$B$2:$B$6</c:f>
              <c:numCache>
                <c:formatCode>0.0"x"</c:formatCode>
                <c:ptCount val="5"/>
                <c:pt idx="0">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3620</c:v>
                </c:pt>
                <c:pt idx="1">
                  <c:v>3714</c:v>
                </c:pt>
                <c:pt idx="2">
                  <c:v>3723</c:v>
                </c:pt>
                <c:pt idx="3">
                  <c:v>3904</c:v>
                </c:pt>
                <c:pt idx="4">
                  <c:v>4097</c:v>
                </c:pt>
                <c:pt idx="5">
                  <c:v>4288</c:v>
                </c:pt>
                <c:pt idx="6">
                  <c:v>4483</c:v>
                </c:pt>
                <c:pt idx="7">
                  <c:v>4711</c:v>
                </c:pt>
                <c:pt idx="8">
                  <c:v>4876</c:v>
                </c:pt>
                <c:pt idx="9">
                  <c:v>5056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28450</c:v>
                </c:pt>
                <c:pt idx="1">
                  <c:v>44039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22,14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15.45</c:v>
                </c:pt>
                <c:pt idx="1">
                  <c:v>23.99</c:v>
                </c:pt>
                <c:pt idx="2">
                  <c:v>31.52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(18,03 – 24,80)</c:v>
                </c:pt>
                <c:pt idx="1">
                  <c:v>Precio objetivo de los analistas (19,00 – 33,75)</c:v>
                </c:pt>
                <c:pt idx="2">
                  <c:v>Comparables: EV/EBITDA NTM (16,56 – 25,07)</c:v>
                </c:pt>
                <c:pt idx="3">
                  <c:v>Comparables: PER NTM (22,64 – 27,73)</c:v>
                </c:pt>
                <c:pt idx="4">
                  <c:v>Transacciones precedentes (EV/ventas) (18,57 – 36,04)</c:v>
                </c:pt>
                <c:pt idx="5">
                  <c:v>DCF (WACC y g ± 0,5) (21,36 – 27,54)</c:v>
                </c:pt>
                <c:pt idx="6">
                  <c:v>Escenarios (bajista – alcista) (15,45 – 31,52)</c:v>
                </c:pt>
                <c:pt idx="7">
                  <c:v>DCF con la prima implícita del mercado (4,2 %)</c:v>
                </c:pt>
                <c:pt idx="8">
                  <c:v>Precio actual (22,14)</c:v>
                </c:pt>
              </c:strCache>
            </c:strRef>
          </c:cat>
          <c:val>
            <c:numRef>
              <c:f>Hoja1!$B$2:$B$10</c:f>
              <c:numCache>
                <c:formatCode>#,##0.0</c:formatCode>
                <c:ptCount val="9"/>
                <c:pt idx="0">
                  <c:v>18.03</c:v>
                </c:pt>
                <c:pt idx="1">
                  <c:v>19</c:v>
                </c:pt>
                <c:pt idx="2">
                  <c:v>16.56</c:v>
                </c:pt>
                <c:pt idx="3">
                  <c:v>22.64</c:v>
                </c:pt>
                <c:pt idx="4">
                  <c:v>18.57</c:v>
                </c:pt>
                <c:pt idx="5">
                  <c:v>21.36</c:v>
                </c:pt>
                <c:pt idx="6">
                  <c:v>15.45</c:v>
                </c:pt>
                <c:pt idx="7">
                  <c:v>24.88</c:v>
                </c:pt>
                <c:pt idx="8">
                  <c:v>22.03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(18,03 – 24,80)</c:v>
                </c:pt>
                <c:pt idx="1">
                  <c:v>Precio objetivo de los analistas (19,00 – 33,75)</c:v>
                </c:pt>
                <c:pt idx="2">
                  <c:v>Comparables: EV/EBITDA NTM (16,56 – 25,07)</c:v>
                </c:pt>
                <c:pt idx="3">
                  <c:v>Comparables: PER NTM (22,64 – 27,73)</c:v>
                </c:pt>
                <c:pt idx="4">
                  <c:v>Transacciones precedentes (EV/ventas) (18,57 – 36,04)</c:v>
                </c:pt>
                <c:pt idx="5">
                  <c:v>DCF (WACC y g ± 0,5) (21,36 – 27,54)</c:v>
                </c:pt>
                <c:pt idx="6">
                  <c:v>Escenarios (bajista – alcista) (15,45 – 31,52)</c:v>
                </c:pt>
                <c:pt idx="7">
                  <c:v>DCF con la prima implícita del mercado (4,2 %)</c:v>
                </c:pt>
                <c:pt idx="8">
                  <c:v>Precio actual (22,14)</c:v>
                </c:pt>
              </c:strCache>
            </c:strRef>
          </c:cat>
          <c:val>
            <c:numRef>
              <c:f>Hoja1!$C$2:$C$10</c:f>
              <c:numCache>
                <c:formatCode>#,##0.0</c:formatCode>
                <c:ptCount val="9"/>
                <c:pt idx="0">
                  <c:v>6.77</c:v>
                </c:pt>
                <c:pt idx="1">
                  <c:v>14.75</c:v>
                </c:pt>
                <c:pt idx="2">
                  <c:v>8.510000000000002</c:v>
                </c:pt>
                <c:pt idx="3">
                  <c:v>5.09</c:v>
                </c:pt>
                <c:pt idx="4">
                  <c:v>17.47</c:v>
                </c:pt>
                <c:pt idx="5">
                  <c:v>6.18</c:v>
                </c:pt>
                <c:pt idx="6">
                  <c:v>16.07</c:v>
                </c:pt>
                <c:pt idx="7">
                  <c:v>5.199999999999999</c:v>
                </c:pt>
                <c:pt idx="8">
                  <c:v>0.21999999999999886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