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Dunelm Group plc</w:t>
      </w:r>
    </w:p>
    <w:p>
      <w:pPr>
        <w:spacing w:after="60"/>
        <w:rPr>
          <w:color w:val="52514E"/>
          <w:sz w:val="22"/>
          <w:szCs w:val="22"/>
        </w:rPr>
      </w:pPr>
      <w:r>
        <w:rPr>
          <w:color w:val="52514E"/>
          <w:sz w:val="22"/>
          <w:szCs w:val="22"/>
        </w:rPr>
        <w:t xml:space="preserve">DNLM · London Stock Exchange (Main Market) · ISIN GB00B1CKQ739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9,90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+29,5 % (base +26,0 %)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8,79 GBP · mercado 10,23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1.617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Dunelm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DNLM / GB00B1CKQ739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 (hogar)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Leicester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https://corporate.dunelm.com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 – 11,74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1.617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 M GBP/día (3 meses; 0,59 M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9,90 GBP</w:t>
      </w:r>
      <w:r>
        <w:t xml:space="preserve"> frente a 8,00 · Rentabilidad a 12 meses </w:t>
      </w:r>
      <w:r>
        <w:rPr>
          <w:b/>
          <w:bCs/>
        </w:rPr>
        <w:t xml:space="preserve">+29,5 % (base +26,0 %)</w:t>
      </w:r>
      <w:r>
        <w:t xml:space="preserve"> · Valor intrínseco 8,79 GBP · con la prima implícita del mercado: 10,23 (+28,0 %) · Alcista / bajista +48,3 % / -31,1 %</w:t>
      </w:r>
    </w:p>
    <w:p>
      <w:pPr>
        <w:spacing w:after="100"/>
      </w:pPr>
      <w:r>
        <w:rPr>
          <w:b/>
        </w:rPr>
        <w:t xml:space="preserve">La recomendación y por qué.</w:t>
      </w:r>
      <w:r>
        <w:t xml:space="preserve"> Comprar, con convicción media. El valor objetivo es de 8,79 GBP, un 9,9 % por encima del precio de 7,995 GBP, y con el dividendo ordinario (5,7 %) la rentabilidad total esperada a 12 meses es del 15,6 %. El alcista gana un 48,3 % y el bajista pierde un 31,1 %: asimetría de 1,55 veces. Las dos reglas dan Comprar; con la prima de riesgo que pide el mercado, el objetivo sube a 10,23 GBP. La razón en una frase: el precio descuenta que el líder del hogar británico deja de crecer, y a cambio paga un 5,7 % de dividendo ordinario. La convicción es media, la que sugieren los criterios: el bajista pierde más de un 25 % y el margen sobre el umbral de Comprar es estrecho con nuestro coste de capital. Subiría si la actualización del 15-oct confirma que el calor fue puntual y bajaría si el BAI ajustado de FY2027 apunta por debajo de 200 M.</w:t>
      </w:r>
    </w:p>
    <w:p>
      <w:pPr>
        <w:spacing w:after="100"/>
      </w:pPr>
      <w:r>
        <w:rPr>
          <w:b/>
        </w:rPr>
        <w:t xml:space="preserve">El negocio.</w:t>
      </w:r>
      <w:r>
        <w:t xml:space="preserve"> Dunelm es el mayor minorista de hogar del Reino Unido: un 7,9 % de un mercado de unos 25.000 M, con cuota al alza cada año desde el 5 % de FY2019 [2]. ROIC del 33,8 %, margen EBITDA del 17,2 % y conversión en caja del 99 %, mejor que DFS, Kingfisher o B&amp;M [24, 25, 26, 27]. Su calidad sostiene nuestro caso base (3,4 % anual, financiable al 5,5 % con su reinversión), pero sin poder de precios: el foso es de escala y marca, y el mercado crece al 2 % [22].</w:t>
      </w:r>
    </w:p>
    <w:p>
      <w:pPr>
        <w:spacing w:after="100"/>
      </w:pPr>
      <w:r>
        <w:rPr>
          <w:b/>
        </w:rPr>
        <w:t xml:space="preserve">Finanzas.</w:t>
      </w:r>
      <w:r>
        <w:t xml:space="preserve"> Las ventas crecieron de 955,6 M en FY2017 a 1.825,5 M en FY2026, pero el beneficio antes de impuestos lleva cuatro años plano en unos 211 M: los salarios se comen el crecimiento [1]. De FY2017 a FY2026 repartió 1.193 M en dividendos. La deuda neta, casi toda arrendamientos, es de 1,2 veces el EBITDA.</w:t>
      </w:r>
    </w:p>
    <w:p>
      <w:pPr>
        <w:spacing w:after="100"/>
      </w:pPr>
      <w:r>
        <w:rPr>
          <w:b/>
        </w:rPr>
        <w:t xml:space="preserve">Equipo y gobierno.</w:t>
      </w:r>
      <w:r>
        <w:t xml:space="preserve"> Neutro. La familia Adderley controla el 37,1 % con un acuerdo de relación desde 2006, y el fundador es vicepresidente con funciones ejecutivas [2]. Clo Moriarty (antes en Sainsbury's) es consejera delegada desde octubre de 2025 y ha lanzado el plan «Winning Hearts &amp; Homes»: c. 100 M de ahorros en FY2029 y 125 M de capex adicional [3, 33]. Siete consejeros compraron acciones en los últimos doce meses [50, 51, 52, 53, 54, 55, 56, 57, 58, 59, 60, 61, 62, 63, 64, 65].</w:t>
      </w:r>
    </w:p>
    <w:p>
      <w:pPr>
        <w:spacing w:after="100"/>
      </w:pPr>
      <w:r>
        <w:rPr>
          <w:b/>
        </w:rPr>
        <w:t xml:space="preserve">Valoración.</w:t>
      </w:r>
      <w:r>
        <w:t xml:space="preserve"> El DCF da 9,38 GBP (+17,3 %). El DCF inverso dice que el precio supone un crecimiento de las ventas del 0,8 % anual hasta FY2033e, frente al 3,4 % de nuestro caso base y al 3-4 % de FY2023-FY2026: comprar hoy rinde un 11,2 % anual con nuestro caso base. Cotiza a 6,3 veces el EBITDA, en el percentil 11 de su historia, y en la mediana de los minoristas británicos pese a su mayor margen; comparables (7,75 GBP) y transacciones (7,04) quedan algo por debajo del precio. Discrepamos del mercado en que el plan consiga algo.</w:t>
      </w:r>
    </w:p>
    <w:p>
      <w:pPr>
        <w:spacing w:after="100"/>
      </w:pPr>
      <w:r>
        <w:rPr>
          <w:b/>
        </w:rPr>
        <w:t xml:space="preserve">Riesgos y catalizadores.</w:t>
      </w:r>
      <w:r>
        <w:t xml:space="preserve"> El mayor riesgo es un consumo británico débil con competencia de precio (bajista: 5,51 GBP), y el segundo, que los costes se coman los ahorros del plan: un punto menos de margen baja el DCF a 8,40 GBP. El sentimiento es negativo: la acción cayó un 10,5 % el día de los resultados [87]. Catalizadores: actualización del 1T FY2027 el 15-oct-2026 y resultados del 1S en febrero de 2027.</w:t>
      </w:r>
    </w:p>
    <w:p>
      <w:pPr>
        <w:spacing w:after="100"/>
      </w:pPr>
      <w:r>
        <w:rPr>
          <w:b/>
        </w:rPr>
        <w:t xml:space="preserve">Qué cambiaría la decisión.</w:t>
      </w:r>
      <w:r>
        <w:t xml:space="preserve"> Seguiría siendo Comprar por debajo de 8,80 GBP, pasaría a Mantener por encima y a Vender por encima de 11,87 GBP. Bajaríamos a Mantener si las ventas comparables del 1S FY2027 son negativas o si se recorta el dividendo ordinario.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9,90 GBP</w:t>
      </w:r>
      <w:r>
        <w:t xml:space="preserve"> (rentabilidad +29,5 % (base +26,0 %)) · Valor intrínseco: 8,79 GBP (+9,9 % sobre 8,00) · con la prima implícita del mercado: 10,23 (+28,0 %)</w:t>
      </w:r>
    </w:p>
    <w:p>
      <w:pPr>
        <w:spacing w:after="100"/>
      </w:pPr>
      <w:r>
        <w:t xml:space="preserve">Dunelm es el mayor minorista de hogar del Reino Unido: 1.825,5 M de ventas, 204 tiendas grandes y un 42 % de ventas por internet, con un 7,9 % de cuota en un mercado de unos 25.000 M que ha ganado todos los años [1, 2]. Su ROIC del 33,8 % y su conversión en caja del 99 % le permiten repartir casi todo el beneficio: 1.193 M en dividendos en diez años.</w:t>
      </w:r>
    </w:p>
    <w:p>
      <w:pPr>
        <w:spacing w:after="100"/>
      </w:pPr>
      <w:r>
        <w:t xml:space="preserve">El precio de 7,995 GBP, un 29 % por debajo de hace un año, descuenta que las ventas casi dejan de crecer (0,8 % anual) y paga un 5,7 % de dividendo ordinario. Cotiza a 6,3 veces el EBITDA, en el percentil 11 de su historia [67].</w:t>
      </w:r>
    </w:p>
    <w:p>
      <w:pPr>
        <w:spacing w:after="100"/>
      </w:pPr>
      <w:r>
        <w:t xml:space="preserve">El mercado acierta en que el beneficio lleva cuatro años plano y en que el arranque de FY2027 ha sido flojo [1]. Exagera al suponer que el líder de su categoría no vuelve a crecer: el plan de la nueva consejera delegada tiene objetivos públicos (c. 100 M de ahorros, margen de c. 11 % antes de impuestos) y la cuota sigue subiendo. Para invertir hay que creer que Dunelm crecerá un 3-4 % al año, lo mismo que en los últimos cuatro.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0,62 = 5,92 · 11,9x × 0,81 = 9,62 · 15,3x × 0,94 = 14,44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 / 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 (nuestro base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 / -31,1 %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frente a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financiable al ROIC actual: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15,6 % (&lt; 25 %); asimetría de 1,55 (&lt; 2); bajista del -31,1 % (pierde más del 25 %); el precio descuenta solo 2,6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8,79 y 11,51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8,80 GBP, pasaríamos a Mantener.</w:t>
      </w:r>
    </w:p>
    <w:p>
      <w:pPr>
        <w:pStyle w:val="ListParagraph"/>
        <w:numPr>
          <w:ilvl w:val="0"/>
          <w:numId w:val="2"/>
        </w:numPr>
        <w:spacing w:after="60"/>
      </w:pPr>
      <w:r>
        <w:t xml:space="preserve">Si el precio supera 11,87 GBP, pasaríamos a Vender.</w:t>
      </w:r>
    </w:p>
    <w:p>
      <w:pPr>
        <w:pStyle w:val="ListParagraph"/>
        <w:numPr>
          <w:ilvl w:val="0"/>
          <w:numId w:val="2"/>
        </w:numPr>
        <w:spacing w:after="60"/>
      </w:pPr>
      <w:r>
        <w:t xml:space="preserve">Si las ventas comparables del 1S FY2027 son negativas, pasaríamos a Mantener.</w:t>
      </w:r>
    </w:p>
    <w:p>
      <w:pPr>
        <w:pStyle w:val="ListParagraph"/>
        <w:numPr>
          <w:ilvl w:val="0"/>
          <w:numId w:val="2"/>
        </w:numPr>
        <w:spacing w:after="60"/>
      </w:pPr>
      <w:r>
        <w:t xml:space="preserve">Si se recorta el dividendo ordinario, revisaríamos el caso base hacia el bajista.</w:t>
      </w:r>
    </w:p>
    <w:p>
      <w:pPr>
        <w:pStyle w:val="ListParagraph"/>
        <w:numPr>
          <w:ilvl w:val="0"/>
          <w:numId w:val="2"/>
        </w:numPr>
        <w:spacing w:after="60"/>
      </w:pPr>
      <w:r>
        <w:t xml:space="preserve">Si la actualización del 15-oct confirma que el calor fue puntual,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Dunelm ha tocado techo: cuota estancada, salarios que se comen el beneficio y un plan que gasta la caja de los dividendos especiales sin garantía de retorno.</w:t>
      </w:r>
    </w:p>
    <w:p>
      <w:pPr>
        <w:keepNext/>
        <w:spacing w:after="100"/>
      </w:pPr>
      <w:r>
        <w:rPr>
          <w:b/>
          <w:bCs/>
        </w:rPr>
        <w:t xml:space="preserve">Lo que creemos nosotros.</w:t>
      </w:r>
    </w:p>
    <w:p>
      <w:pPr>
        <w:spacing w:after="100"/>
      </w:pPr>
      <w:r>
        <w:t xml:space="preserve">Las ventas seguirán creciendo un 3-4 % al año por cuota y web, y los ahorros del plan devolverán el margen EBITDA al 17,5 % en FY2029; no hace falta más para que el valor supere al precio.</w:t>
      </w:r>
    </w:p>
    <w:p>
      <w:pPr>
        <w:keepNext/>
        <w:spacing w:after="100"/>
      </w:pPr>
      <w:r>
        <w:rPr>
          <w:b/>
          <w:bCs/>
        </w:rPr>
        <w:t xml:space="preserve">Por qué podemos tener razón.</w:t>
      </w:r>
    </w:p>
    <w:p>
      <w:pPr>
        <w:spacing w:after="100"/>
      </w:pPr>
      <w:r>
        <w:t xml:space="preserve">Porque es lo que ha hecho en FY2023-FY2026 en un mercado peor (gasto real en muebles por debajo de 2019) y porque la dirección ha puesto cifras públicas al plan [1, 3, 22]. El riesgo es de ejecución, no de modelo.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cuota al alza</w:t>
      </w:r>
      <w:r>
        <w:t xml:space="preserve">: 7,9 % del mercado británico de hogar, desde el 5 % de FY2019 [2].</w:t>
      </w:r>
    </w:p>
    <w:p>
      <w:pPr>
        <w:pStyle w:val="ListParagraph"/>
        <w:numPr>
          <w:ilvl w:val="0"/>
          <w:numId w:val="2"/>
        </w:numPr>
        <w:spacing w:after="60"/>
      </w:pPr>
      <w:r>
        <w:rPr>
          <w:b/>
        </w:rPr>
        <w:t xml:space="preserve">Rentabilidad alta</w:t>
      </w:r>
      <w:r>
        <w:t xml:space="preserve">: ROIC del 33,8 % y conversión en caja del 99 %.</w:t>
      </w:r>
    </w:p>
    <w:p>
      <w:pPr>
        <w:pStyle w:val="ListParagraph"/>
        <w:numPr>
          <w:ilvl w:val="0"/>
          <w:numId w:val="2"/>
        </w:numPr>
        <w:spacing w:after="60"/>
      </w:pPr>
      <w:r>
        <w:rPr>
          <w:b/>
        </w:rPr>
        <w:t xml:space="preserve">Dividendo</w:t>
      </w:r>
      <w:r>
        <w:t xml:space="preserve">: 5,7 % de rentabilidad ordinaria, más especiales [1].</w:t>
      </w:r>
    </w:p>
    <w:p>
      <w:pPr>
        <w:pStyle w:val="ListParagraph"/>
        <w:numPr>
          <w:ilvl w:val="0"/>
          <w:numId w:val="2"/>
        </w:numPr>
        <w:spacing w:after="60"/>
      </w:pPr>
      <w:r>
        <w:rPr>
          <w:b/>
        </w:rPr>
        <w:t xml:space="preserve">Precio bajo</w:t>
      </w:r>
      <w:r>
        <w:t xml:space="preserve">: 6,3 veces el EBITDA, percentil 11 de su historia.</w:t>
      </w:r>
    </w:p>
    <w:p>
      <w:pPr>
        <w:pStyle w:val="ListParagraph"/>
        <w:numPr>
          <w:ilvl w:val="0"/>
          <w:numId w:val="2"/>
        </w:numPr>
        <w:spacing w:after="60"/>
      </w:pPr>
      <w:r>
        <w:rPr>
          <w:b/>
        </w:rPr>
        <w:t xml:space="preserve">Plan con cifras</w:t>
      </w:r>
      <w:r>
        <w:t xml:space="preserve">: c. 100 M de ahorros en FY2029 [3].</w:t>
      </w:r>
    </w:p>
    <w:p>
      <w:pPr>
        <w:pStyle w:val="Heading2"/>
      </w:pPr>
      <w:r>
        <w:t xml:space="preserve">En contra</w:t>
      </w:r>
    </w:p>
    <w:p>
      <w:pPr>
        <w:pStyle w:val="ListParagraph"/>
        <w:numPr>
          <w:ilvl w:val="0"/>
          <w:numId w:val="2"/>
        </w:numPr>
        <w:spacing w:after="60"/>
      </w:pPr>
      <w:r>
        <w:rPr>
          <w:b/>
        </w:rPr>
        <w:t xml:space="preserve">Beneficio plano</w:t>
      </w:r>
      <w:r>
        <w:t xml:space="preserve">: BAI de unos 211 M desde FY2022 [1].</w:t>
      </w:r>
    </w:p>
    <w:p>
      <w:pPr>
        <w:pStyle w:val="ListParagraph"/>
        <w:numPr>
          <w:ilvl w:val="0"/>
          <w:numId w:val="2"/>
        </w:numPr>
        <w:spacing w:after="60"/>
      </w:pPr>
      <w:r>
        <w:rPr>
          <w:b/>
        </w:rPr>
        <w:t xml:space="preserve">Arranque débil de FY2027</w:t>
      </w:r>
      <w:r>
        <w:t xml:space="preserve"> por el calor, con la acción −10,5 % el día de resultados [87].</w:t>
      </w:r>
    </w:p>
    <w:p>
      <w:pPr>
        <w:pStyle w:val="ListParagraph"/>
        <w:numPr>
          <w:ilvl w:val="0"/>
          <w:numId w:val="2"/>
        </w:numPr>
        <w:spacing w:after="60"/>
      </w:pPr>
      <w:r>
        <w:rPr>
          <w:b/>
        </w:rPr>
        <w:t xml:space="preserve">Mercado sin crecimiento</w:t>
      </w:r>
      <w:r>
        <w:t xml:space="preserve">: gasto real en muebles un 8 % por debajo de 2019 [22].</w:t>
      </w:r>
    </w:p>
    <w:p>
      <w:pPr>
        <w:pStyle w:val="ListParagraph"/>
        <w:numPr>
          <w:ilvl w:val="0"/>
          <w:numId w:val="2"/>
        </w:numPr>
        <w:spacing w:after="60"/>
      </w:pPr>
      <w:r>
        <w:rPr>
          <w:b/>
        </w:rPr>
        <w:t xml:space="preserve">Accionista de control</w:t>
      </w:r>
      <w:r>
        <w:t xml:space="preserve">: la familia Adderley tiene el 37,1 % [2].</w:t>
      </w:r>
    </w:p>
    <w:p>
      <w:pPr>
        <w:pStyle w:val="ListParagraph"/>
        <w:numPr>
          <w:ilvl w:val="0"/>
          <w:numId w:val="2"/>
        </w:numPr>
        <w:spacing w:after="60"/>
      </w:pPr>
      <w:r>
        <w:rPr>
          <w:b/>
        </w:rPr>
        <w:t xml:space="preserve">Sin poder de precios</w:t>
      </w:r>
      <w:r>
        <w:t xml:space="preserve">: no sube precios desde FY2023 [2].</w:t>
      </w:r>
    </w:p>
    <w:p>
      <w:pPr>
        <w:pStyle w:val="Heading2"/>
      </w:pPr>
      <w:r>
        <w:t xml:space="preserve">Qué tiene que pasar para que la tesis funcione</w:t>
      </w:r>
    </w:p>
    <w:p>
      <w:pPr>
        <w:spacing w:after="100"/>
      </w:pPr>
      <w:r>
        <w:t xml:space="preserve">La tesis depende de que las ventas sigan creciendo un 3-4 % y de que los ahorros lleguen al beneficio. La señal de que no ocurre sería un 1S FY2027 con ventas comparables negativas o un BAI ajustado de FY2027 por debajo de 200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(GlobalData)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sigue ganando a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plano.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internet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Estancado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Palanca del plan.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 / 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Dunelm nace en 1979 como un puesto de mercadillo de textil para el hogar de Bill y Jean Adderley en Leicester; la familia fundadora sigue en el capital (37,10 % en concierto) y en el consejo 47 años después [2, 21]. Abre su primera tienda en 1984 y su primera gran superficie en 1991; en 1996 Will Adderley toma la gestión diaria [21]. Sale a bolsa en Londres en octubre de 2006, el mismo año en que empieza a vender por internet [21], y desde entonces ha repartido unos 1.700 M GBP en dividendos ordinarios y especiales [2]. Compra la marca Dorma en 2008 y WorldStores en 2016 [21]. Tras varios relevos en la dirección (Nick Wharton 2011-2014, John Browett hasta 2017, Nick Wilkinson desde 2018), Clo Moriarty es consejera delegada desde octubre de 2025 y en 2026 lanza el plan trienal Winning Hearts &amp; Homes [2, 21]. En noviembre de 2024 entra en Irlanda con la compra de Home Focus at Hickeys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y Jean Adderley fundan el negocio con un puesto de textil para el hogar en un mercadillo de Leicester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Dunelm, en Churchgate (Leicester)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gran superficie, en Rotherham: el formato que define la red actual de 204 tiendas [2,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Adderley sustituye a su padre al frente de la gestión diaria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Bellbird, fabricante de cortinas y estores a medida: origen del centro de fabricación de Leicester y del negocio Made-to-Measure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(octubre) y lanzamiento de la tienda online con 13.000 referencias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los derechos mundiales de la marca de ropa de cama Dorma por 5 M GBP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el consejero delegado Nick Wharton y Will Adderley vuelve a la primera línea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WorldStores y Kiddicare por 8,5 M GBP para acelerar el canal digital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dispara el gasto en el hogar: el gasto de los hogares británicos en muebles y decoración (COICOP 05.1) sube un 20 % en 2021 [21,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Irlanda con la compra de Home Focus at Hickeys (13 tiendas)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 Moriarty, procedente de Sainsbury's, entra como consejera delegada en octubre [2,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trienal Winning Hearts &amp; Homes: hasta 10 tiendas nuevas al año, 100 M GBP de ahorro de costes reinvertidos y crecimiento de ventas de un dígito medio-alto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Dunelm es el primer minorista especializado en artículos para el hogar del Reino Unido: textil de hogar (ropa de cama, edredones y almohadas, cortinas, alfombras), muebles (sofás, sillas tapizadas, dormitorio), decoración, iluminación, almacenaje, cocina y exterior, con marcas propias como Dorma y un servicio de cortinas y estores a medida (Made-to-Measure) fabricados en Leicester [2, 21]. Vende a más de 19 millones de clientes, sobre todo hogares de renta media, a través de 204 grandes tiendas en Reino Unido e Irlanda (con cafeterías Pausa) y de sus canales digitales, que ya suponen el 42 % de las ventas incluyendo la recogida en tienda y las tabletas en tienda [2]. Emplea a unas 12.000 personas, de ellas unas 200 en Irlanda [2]. En el ejercicio 2026 vendió 1.825,5 M GBP, abrió dos tiendas y reabrió una tercera tras un incendio [2]. La aplicación móvil, lanzada del todo en febrero de 2026, suma 740.000 descargas [2].</w:t>
      </w:r>
    </w:p>
    <w:p>
      <w:pPr>
        <w:pStyle w:val="Heading2"/>
      </w:pPr>
      <w:r>
        <w:t xml:space="preserve">Cómo gana dinero</w:t>
      </w:r>
    </w:p>
    <w:p>
      <w:pPr>
        <w:spacing w:after="100"/>
      </w:pPr>
      <w:r>
        <w:t xml:space="preserve">Compra producto mayoritariamente de marca propia a proveedores en Asia y otros mercados y lo vende con un margen bruto alto y estable: 52,5 % en el ejercicio 2026, frente a 52,4 % en 2025, 51,8 % en 2024 y 50,1 % en 2023, con una media histórica de alrededor del 50 % [2, 7, 8, 9]. Los costes operativos netos son el 40,2 % de las ventas (734 M GBP): salarios de tienda, logística y reparto, marketing y alquileres; la inflación salarial añadió 23 M GBP y los costes ligados al volumen digital otros 19 M GBP en 2026, compensados en parte por 15 M GBP de productividad [2]. El margen de beneficio antes de impuestos fue del 11,6 % (11,9 % en 2025) y el margen operativo del 12,3 % [2]. No hay ingresos recurrentes por contrato: el negocio depende del tráfico, de la participación en las dos rebajas anuales (invierno y verano) y del tipo de cambio y los fletes, que se cubren por adelantado [2]. Con costes fijos altos, cada punto de venta adicional apalanca el beneficio; la empresa fija un objetivo de margen antes de impuestos ajustado de alrededor del 11 %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(minorista de hogar, Reino Unido e Irlanda)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(minorista de hogar, Reino Unido e Irlanda)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r>
    </w:tbl>
    <w:p>
      <w:pPr>
        <w:spacing w:after="160" w:before="0"/>
      </w:pPr>
    </w:p>
    <w:p>
      <w:pPr>
        <w:pStyle w:val="Heading2"/>
      </w:pPr>
      <w:r>
        <w:t xml:space="preserve">Clientes, recurrencia y poder de precios</w:t>
      </w:r>
    </w:p>
    <w:p>
      <w:pPr>
        <w:spacing w:after="100"/>
      </w:pPr>
      <w:r>
        <w:t xml:space="preserve">Base minorista muy dispersa, sin concentración de clientes. Más de 19 millones de clientes al año, pero alrededor del 85 % de la población británica no compra con frecuencia en Dunelm y hasta los más fieles gastan en torno al 80 % de su presupuesto de hogar en otros sitios [2]. Los «Dunelm devotees» son el 3 % de los clientes y el 20 % de las ventas, con unas ocho compras al año [2]. El conocimiento de la marca ronda el 90 %, pero solo un 40 % de quienes la conocen se plantea comprar allí [2]. Los clientes activos crecieron un 5,1 % en 2024 y un 0,8 % en 2025 y se mantuvieron estables en 2026 [2, 7, 8]. </w:t>
      </w:r>
      <w:r>
        <w:rPr>
          <w:b/>
        </w:rPr>
        <w:t xml:space="preserve">Poder de precios</w:t>
      </w:r>
      <w:r>
        <w:t xml:space="preserve">: Dunelm no lo usa subiendo precios; protege el margen con el aprovisionamiento. En 2023 bajó el precio de más de 1.000 artículos al caer los fletes y aun así cerró con un 50,1 % de margen bruto; en 2024 amplió el margen 170 pb «sin subidas de precio» y en 2025 mantuvo los precios «prácticamente estables» con un margen del 52,4 % [7, 8,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digitales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en el FY2022, 36 % en el FY2023 y 37 % en el FY2024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en tiendas (store-enabled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Click &amp; Collect y ventas por tableta; las ventas solo por caja de tienda bajaron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(GlobalData, hogar y muebles en el Reino Unido)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FY2025 fue reexpresado por GlobalData desde el 7,9 %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Aperturas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en el FY2022, 3 en el FY2023 y 6 en el FY2024; en el FY2025, seis superstores y la primera tienda en el centro de Londres; la guía del FY2027 es de hasta 10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tiendas en el FY2018 (169 superstores y 3 de calle) y 173 en el FY2020 [1, 7,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Viento a favor del tipo de cambio, en parte compensado por más ventas en promoción en el 2S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33 % en el FY2022-FY2024; baja por el aumento de los derechos de uso tras firmar nuevos alquileres; objetivo de c.30 % en el plan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 (CSAT)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en tiendas y Click &amp; Collect; empeora la entrega por mensajería de terceros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artículos para el hogar y muebles en el Reino Unido (sin muebles de cocina ni de baño), tal como lo mide GlobalData, la fuente con la que Dunelm calcula su cuota: unos 25.000 M GBP con IVA en los 12 meses a junio de 2026 [2]. Como segunda fuente se usa el gasto de los hogares de la ONS en muebles, decoración y alfombras (COICOP 05.1), textil de hogar (05.2) y cristalería, menaje y utensilios (05.4), a precios corrientes: 42.334 M GBP en 2025 [22]. La cifra de la ONS es mayor porque incluye muebles de cocina y baño, alfombras y moquetas instaladas y menaje; por eso la serie de la ONS sirve para ver la tendencia y la de GlobalData para medir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25.000 M GBP (con IVA) en los 12 meses a junio de 2026, según GlobalData [2]; 42.334 M GBP de gasto de los hogares en 2025 en las partidas 05.1, 05.2 y 05.4 de la ONS, con perímetro más amplio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GBP, gasto de los hogares a precios corrientes (ONS, COICOP 05.1 + 05.2 + 05.4,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disponible y confianza del consumidor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índice de confianza de GfK sigue en negativo desde hace años y volvió a caer en 2026 por la guerra de Oriente Próximo; el mercado de GlobalData cayó un 0,3 % en 2023 y un 0,6 % en 2024 y creció un 2,6 %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real todavía por debajo de 2019</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volumen (precios encadenados), el gasto en muebles y decoración de 2025 está un 8 % por debajo de 2019 y un 19 % por debajo del máximo de 2021; el de textil de hogar, un 13 % por debajo de 2019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salarial y fiscal en la distribución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añadió 23 M GBP de costes a Dunelm en 2026, sobre todo salarios por las subidas del salario mínimo por encima del IPC; los impuestos sobre salarios pasaron de 64,6 a 76,9 M GBP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al canal digital y omnicanal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digitales de Dunelm pasaron del 37 % en 2024 al 42 % en 2026; IKEA vende online el 43 % en el Reino Unido [2, 7,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importación: fletes y tipo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los fletes dio 170 pb de margen bruto a Dunelm en 2024; en 2023 el encarecimiento lo había bajado 110 pb [8,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previsto en línea con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 prevé un crecimiento del mercado del 1,3 % en 2026 y del 2,0-2,5 % anual entre 2027 y 2030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en el que el líder solo tiene el 7,9 %; compiten especialistas (IKEA, DFS), generalistas (Next, John Lewis, B&amp;M, The Range), bricolaje (Kingfisher) y mercados en línea; las promociones ganan peso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particulares sin poder individual, pero sin coste de cambio y muy sensibles al precio: comparan online y compran más en rebajas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marca propia dispersos en varios países; Dunelm mantiene relaciones largas y cubre fletes y divisa por adelantado, con un margen bruto del 52,5 %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Abrir una red física es caro, pero los mercados en línea globales y los canales sociales bajan la barrera de entrada digital; la empresa los cita como competencia creciente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el hogar compite con otros gastos discrecionales (ocio, viajes) y con la segunda mano, pero no hay un sustituto directo de la ropa de cama o las cortinas [2].</w:t>
            </w:r>
          </w:p>
        </w:tc>
      </w:tr>
    </w:tbl>
    <w:p>
      <w:pPr>
        <w:spacing w:after="160" w:before="0"/>
      </w:pPr>
    </w:p>
    <w:p>
      <w:pPr>
        <w:pStyle w:val="Heading2"/>
      </w:pPr>
      <w:r>
        <w:t xml:space="preserve">Ciclo</w:t>
      </w:r>
    </w:p>
    <w:p>
      <w:pPr>
        <w:spacing w:after="100"/>
      </w:pPr>
      <w:r>
        <w:t xml:space="preserve">El mercado de GlobalData volvió a crecer en 2025 (2,6 %) tras caer en 2023 y 2024, pero el volumen real de la ONS de 2025 sigue por debajo de 2019 y la confianza de GfK está en negativo [2, 23]. En 2008-09 el gasto nominal en muebles y decoración cayó un 14 % entre 2007 y 2009 (un 20 % en volumen) [22, 23]. En 2020-21 la pandemia lo disparó (+20 % nominal en 2021) y en 2022-23 la inflación y los tipos lo hundieron: −19 % en volumen entre 2021 y 2025 [22, 23].</w:t>
      </w:r>
    </w:p>
    <w:p>
      <w:pPr>
        <w:pStyle w:val="Heading2"/>
      </w:pPr>
      <w:r>
        <w:t xml:space="preserve">Regulación</w:t>
      </w:r>
    </w:p>
    <w:p>
      <w:pPr>
        <w:spacing w:after="100"/>
      </w:pPr>
      <w:r>
        <w:t xml:space="preserve">Las normas que más pesan son laborales y fiscales. El salario mínimo (National Living Wage) sube por encima del IPC cada abril y es la principal fuente de inflación de costes de Dunelm; la subida de la cotización empresarial de abril de 2025 elevó sus impuestos sobre salarios de 64,6 a 76,9 M GBP [2]. La responsabilidad ampliada del productor en envases (pEPR) ya cobra tasas a los minoristas desde 2025 y la empresa prevé un sistema similar para el textil antes de 2030, con impacto medio-alto en un escenario de cero emisiones y todavía sin modelizar del todo [2, 20]. También pesan el impuesto sobre envases de plástico y la normativa de seguridad de producto [2].</w:t>
      </w:r>
    </w:p>
    <w:p>
      <w:pPr>
        <w:pStyle w:val="Heading2"/>
      </w:pPr>
      <w:r>
        <w:t xml:space="preserve">Tendencias y disrupción</w:t>
      </w:r>
    </w:p>
    <w:p>
      <w:pPr>
        <w:spacing w:after="100"/>
      </w:pPr>
      <w:r>
        <w:t xml:space="preserve">La compra se desplaza a lo digital: buscadores con inteligencia artificial, comercio conversacional y redes sociales (TikTok, YouTube); Dunelm ha lanzado su aplicación, prepara su posicionamiento en buscadores generativos (GEO) y vende con Google por conversación [2]. Ganan peso los mercados en línea globales y los canales tecnológicos emergentes, que la empresa cita como nueva competencia [2]. El cliente busca valor y compra más en promociones [2]. La sostenibilidad empuja hacia materiales reciclados y la circularidad, con costes regulatorios previstos para el textil [2, 20]. Dunelm gana con la omnicanalidad (42 % de ventas digitales y 204 tiendas) y pierde si los mercados en línea abaratan las categorías básicas.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artículos para el hogar y muebles en el Reino Unido, con el 7,9 % del mercado de GlobalData en los 12 meses a junio de 2026 (7,8 % un año antes; 7,7 % en 2024; 7,2 % en 2023; 5 % en 2019) [2, 8, 9]. En sofás y sillas tapizadas (un mercado de 3.000 M GBP) ha más que duplicado su cuota en cinco años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IKEA (Ingka, filial británica)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muebles y hogar con precios bajos; ventas en el Reino Unido de 2.250 M GBP en el ejercicio a agosto de 2025 (−2,1 %), tras invertir 117 M GBP en bajadas de precio; no publica beneficio por país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DFS Furniture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sofás (DFS y Sofology); margen bruto del 58,1 %; vende 1.420,1 M GBP brutos. Cuota: estimación propia con sus ventas brutas sobre los 25.000 M GBP de GlobalData [2,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hogar y belleza con fuerte canal online; no publica las ventas de su división de hogar por separado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B&amp;M European Value Retail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generalista con mucho peso de hogar; beneficio operativo de 374 M GBP en el ejercicio a marzo de 2026, a la baja por la caída del margen en B&amp;M UK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Kingfisher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Bricolaje (B&amp;Q, Screwfix, Castorama); compite en decoración, iluminación y almacenaje; Reino Unido e Irlanda venden 6.726 M GBP con un beneficio minorista de 575 M GBP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 tradicional: el valor para un cliente no aumenta con el número de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contractual; los fieles («devotees», 3 % de los clientes) generan el 20 % de las ventas, pero incluso ellos gastan el 80 % de su presupuesto de hogar fuera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marca de c.90 %, marca Dorma (desde 1921) y marcas propias; margen bruto del 50-52,5 % durante seis años sin subir precios [1, 5,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gran escala con relaciones largas con proveedores; margen operativo del 12,3 % frente al 7,1 % de DFS, el 6,5 % de B&amp;M y el 3,6 % de Kingfisher [1, 11, 13,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204 grandes superficies en parques comerciales y la mayor cuota del mercado, pero con solo el 7,9 % el mercado sigue abierto a nuevos competidores [1].</w:t>
            </w:r>
          </w:p>
        </w:tc>
      </w:tr>
    </w:tbl>
    <w:p>
      <w:pPr>
        <w:spacing w:after="160" w:before="0"/>
      </w:pPr>
    </w:p>
    <w:p>
      <w:pPr>
        <w:pStyle w:val="Heading2"/>
      </w:pPr>
      <w:r>
        <w:t xml:space="preserve">Amenazas</w:t>
      </w:r>
    </w:p>
    <w:p>
      <w:pPr>
        <w:spacing w:after="100"/>
      </w:pPr>
      <w:r>
        <w:t xml:space="preserve">La amenaza principal son los mercados en línea globales y los canales sociales, que la propia empresa señala como competencia creciente y que presionan los precios de las categorías básicas [2]. IKEA ha invertido 117 M GBP en bajar precios en el Reino Unido y abre tiendas urbanas en Oxford Street y Brighton [28]. El cliente compra cada vez más en promociones, lo que puede erosionar el margen bruto [2]. El crecimiento de Dunelm se ha frenado: la cuota solo subió 10 pb en 2026, frente a 60 pb en 2024 [2, 8]. Probabilidad de erosión significativa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FY2017-FY2026: ingresos </w:t>
      </w:r>
      <w:r>
        <w:rPr>
          <w:b/>
          <w:bCs/>
        </w:rPr>
        <w:t xml:space="preserve">7,5 %</w:t>
      </w:r>
      <w:r>
        <w:t xml:space="preserve">, EBITDA </w:t>
      </w:r>
      <w:r>
        <w:rPr>
          <w:b/>
          <w:bCs/>
        </w:rPr>
        <w:t xml:space="preserve">9,2 %</w:t>
      </w:r>
      <w:r>
        <w:t xml:space="preserve">, BPA </w:t>
      </w:r>
      <w:r>
        <w:rPr>
          <w:b/>
          <w:bCs/>
        </w:rPr>
        <w:t xml:space="preserve">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955,6 M en el FY2017 a 1.825,5 M en el FY2026 [1, 14]. El salto del FY2021 (+26,3 %) y del FY2022 (+18,4 %, con 53 semanas) vino de la pandemia y del gasto en el hogar, tras la caída del FY2020 por los cierres (-3,9 %) [10, 11]. Desde entonces el crecimiento se ha frenado: +5,5 % en el FY2023 (sobre 52 semanas comparables), +4,1 % en el FY2024, +3,8 % en el FY2025 y +3,1 % en el FY2026 [1, 7, 8]. Casi todo es orgánico; las compras (Worldstores en el FY2017, Sunflex en el FY2022, Home Focus en el FY2025) son pequeñas [7, 10, 14]. El margen bruto subió del 48,9 % del FY2017 al 52,5 % del FY2026, con un mínimo del 50,1 % en el FY2023 [1, 8, 14]. Los costes operativos netos pasaron del 37,4 % de las ventas en el FY2022 al 40,2 % en el FY2026 por la inflación salarial y la inversión en tiendas y digital, y el BAI se ha quedado plano en unos 211 M [1, 10]. El FY2017 y el FY2018 llevan costes excepcionales por Worldstores (16,9 M y 8,9 M) y el FY2017-FY2019 no aplica la NIIF 16 [13, 14].</w:t>
      </w:r>
    </w:p>
    <w:p>
      <w:pPr>
        <w:pStyle w:val="Heading2"/>
      </w:pPr>
      <w:r>
        <w:t xml:space="preserve">Ajustes y partidas no recurrentes</w:t>
      </w:r>
    </w:p>
    <w:p>
      <w:pPr>
        <w:spacing w:after="100"/>
      </w:pPr>
      <w:r>
        <w:t xml:space="preserve">Las cifras de la cuenta son las publicadas. En el FY2017 y el FY2018 la empresa separó como excepcionales 16,9 M y 8,9 M de costes de integración y cierre de los negocios de Worldstores (Kiddicare cerrado, Achica vendida); se devuelven al EBITDA en no_recurrentes_en_ebitda [14]. Del FY2019 al FY2026 no hay partidas ajustadas: la empresa publica cifras estatutarias. Desde el FY2027 presentará un BAI ajustado que excluirá 30-40 M de costes de reestructuración, programa de cambio y sistemas repartidos entre el FY2027 y el FY2028 [3]. El tipo efectivo del FY2026 (26,3 %) incluye un ajuste de ejercicios anteriores por amortización no deducible [1]. El EBITDA del FY2020 en adelante incluye la amortización de derechos de uso (NIIF 16); el de FY2017-FY2019 lleva el alquiler como gasto operativo.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los resultados semestrales (10-feb-2026) la dirección explicó la caída del BAI del 1S26 a 114 M (123 M un año antes) por un 2T flojo y el calendario de costes, mantuvo el BAI anual en línea con el consenso, bajó la guía de capex a unos 40 M (desde 50 M) porque solo abrió dos tiendas frente a la guía de 5-10, y declaró un dividendo extraordinario de 25 peniques porque la deuda neta/EBITDA estuvo fuera del rango 0,2-0,6x al final de la mayoría de los meses [6]. Peel Hunt, Shore Capital, JP Morgan, Berenberg y Barclays preguntaron por el espacio en tiendas, el capex del año siguiente y los costes ligados al volumen; la dirección no dio cifra de capex para el FY2027 [6]. En el día del inversor del 8-sep-2026 el discurso cambió de «resiliencia» a «ambición»: plan de tres años, 100 M de ahorro reinvertido, 125 M de capex adicional y, por primera vez, partidas de ajuste (30-40 M) y BAI ajustado [3, 4]. Los analistas (Peel Hunt, Panmure Liberum, Berenberg, UBS, Investec, Barclays) insistieron en el coste y el retorno de las 50 renovaciones de tiendas, la canibalización entre tiendas y online, cuánto del ahorro habría llegado igualmente (por ejemplo, con las cajas de autopago) y la mejora de margen bruto por la racionalización de surtido y proveedores; a esta última la dirección no le puso cifra [4]. El BAI ajustado del FY2027 se guía plano pese al plan, y el inicio del ejercicio fue flojo por el calor [1,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Ejercicio de 53 semanas (las cifras de la cuenta son las publicadas de 53 semanas; en 52 semanas las ventas fueron 1.553,1 M). Compra de Sunflex en mayo de 2022 por 20,8 M en efectivo.; FY2020: Adopción de la NIIF 16 desde el FY2020 sin reexpresar el FY2019: entran en balance 283 M de derechos de uso y 314 M de pasivos por arrendamiento; el EBITDA y la deuda no son comparables con FY2017-FY2019.).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ligero: el patrimonio neto es de solo 148,5 M porque la empresa reparte casi todo el beneficio, con dividendos extraordinarios casi cada año [1]. La deuda financiera neta (sin arrendamientos) fue de 94,6 M al cierre del FY2026 frente a 102,0 M un año antes; en el FY2021 había caja neta de 128,8 M [1, 11]. Las existencias bajaron a 212,1 M (226,3 M en el FY2025) y explican la entrada de circulante de 9,1 M [1]. Los arrendamientos pesan más que la deuda bancaria: 268,5 M de pasivos y 246,1 M de derechos de uso, con altas de 82,4 M en el FY2026 por tiendas nuevas y renovaciones de contratos [1]. Los saldos de cierre de semestre se ven afectados por pagos a proveedores en tránsito (93 M en el 1S26), así que el cierre de diciembre no es representativo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1.241</w:t>
      </w:r>
      <w:r>
        <w:t xml:space="preserve">, conversión </w:t>
      </w:r>
      <w:r>
        <w:rPr>
          <w:b/>
          <w:bCs/>
        </w:rPr>
        <w:t xml:space="preserve">99 %</w:t>
      </w:r>
      <w:r>
        <w:t xml:space="preserve"> del beneficio neto; adquisiciones 26, dividendos 1.193, recompras 70.</w:t>
      </w:r>
    </w:p>
    <w:p>
      <w:pPr>
        <w:spacing w:after="100"/>
      </w:pPr>
      <w:r>
        <w:t xml:space="preserve">Dunelm convierte bien el beneficio en caja: el flujo libre de la empresa (después de capex, intereses y arrendamientos) fue de 154,8 M en el FY2026, el 69 % del resultado de explotación, frente a 127,4 M (57 %) en el FY2025 [1]. El FY2025 tuvo más capex (66,8 M) por la compra de dos locales en propiedad (22,3 M en inversiones inmobiliarias) y la marca Designers Guild (7,0 M) [1, 7]. El capex propio es bajo, entre 15,7 M (FY2021) y 66,8 M (FY2025), y la empresa da una media reciente de c.40 M al año [3]; pero el gasto real en tiendas incluye las altas de derechos de uso, que subieron a 82,4 M en el FY2026 [1]. Los años anómalos son el FY2020 (entrada de circulante de 80,1 M por la bajada de existencias en los cierres), el FY2021 (salida de 35,0 M al reponerlas) y el FY2022 (dividendos de 282,1 M y recompras de 28,3 M) [10, 11, 12]. La empresa no separa capex de mantenimiento y de crecimiento; en el FY2026 dedicó 27 M a tiendas, incluidas dos aperturas, una reapertura y siete reformas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al grupo desde el FY2014 y fue reelegido en la junta de 2023 tras un concurso; la socia responsable es Gill Hinks desde el FY2024, y en el FY2026 no informó de deficiencias significativas de control ni discrepó de los juicios contables [2]. El informe de auditoría del FY2026 no tiene salvedades [1]. No hay capitalización relevante de gastos: las altas de software generado internamente fueron de 8,7 M en el FY2026 [1]. La remuneración en acciones es pequeña (5,9 M, un 3,8 % del beneficio neto) [1]. Las cifras son estatutarias, sin ajustes desde el FY2019, aunque desde el FY2027 habrá 30-40 M de partidas de ajuste [3]. En el FY2026 se dieron de baja 60,7 M de intangibles y 158,1 M de inmovilizado totalmente amortizados, sin efecto en el valor neto [1]. El tipo efectivo (26,3 %) quedó por encima del general por un ajuste de ejercicios anteriores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a proveedores en tránsito al cierre del semestre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la caja y el flujo libre del primer semestre (93 M en el 1S26, también en el 1S25); la empresa lo explica y se neutraliza en el año, pero distorsiona la deuda neta de diciembre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cifras ajustadas desde el FY2027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primera vez desde el FY2018 habrá un BAI ajustado que excluye 30-40 M de reestructuración, programa de cambio y sistemas; hay que vigilar que no se repitan más allá del FY2028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ordinario por encima de su política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1,69x frente al mínimo de 1,75x en el FY2026, y la empresa prevé seguir algo por debajo durante el plan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los derechos de uso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Altas de 82,4 M en el FY2026 frente a 49,9 M en el FY2025; suben la deuda por arrendamientos y bajan el ROCE de la empresa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30,2 % · </w:t>
      </w:r>
      <w:r>
        <w:rPr>
          <w:b/>
          <w:bCs/>
        </w:rPr>
        <w:t xml:space="preserve">WACC</w:t>
      </w:r>
      <w:r>
        <w:t xml:space="preserve">: 10,2 %.</w:t>
      </w:r>
    </w:p>
    <w:p>
      <w:pPr>
        <w:spacing w:after="100"/>
      </w:pPr>
      <w:r>
        <w:t xml:space="preserve">La empresa publica un ROCE (beneficio operativo después de impuestos sobre activo total menos pasivos no corrientes y arrendamientos a corto plazo) del 31 % en el FY2026, frente al 33 % del FY2022-FY2024 y el 32 % del FY2025 [2]. La caída se debe al aumento de los derechos de uso por los nuevos contratos de alquiler [2]. El objetivo del plan es mantenerlo en torno al 30 % mientras invierte [3]. El patrimonio neto es bajo (148,5 M) por la política de reparto, lo que infla el ROE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22,4 M y 133 M sin disponer de la línea de crédito revolving de 250 M (dispuestos 117 M, vence en septiembre de 2029), más 10 M de descubiertos no comprometidos, al 27-jun-2026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línea revolving tiene dos covenants: deuda neta (sin arrendamientos) no superior a 2,5 veces el EBITDA ajustado (EBITDA menos amortización de derechos de uso) y EBITDAR al menos 1,75 veces los cargos fijos; ambos se cumplieron con holgura [1]. Según la prueba de estrés inversa, harían falta caídas de ventas del 26 % en el FY2027 y en el FY2028 para incumplirlos [1]. Los pasivos por arrendamiento suman 268,5 M (57,1 M a corto plazo), con tipos de descuento entre el 0,90 % y el 6,76 % [1]. No hay plan de pensiones de prestación definida: el gasto de pensiones (7,9 M) es de aportación definida [1]. Provisiones de 4,9 M, compromisos de capex de 1,3 M y ningún pasivo contingente [1]. Hay ingresos diferidos de 15,3 M por pedidos pendientes de entrega [1].</w:t>
      </w:r>
    </w:p>
    <w:p>
      <w:pPr>
        <w:pStyle w:val="Heading1"/>
      </w:pPr>
      <w:r>
        <w:t xml:space="preserve">12. Asignación de capital</w:t>
      </w:r>
    </w:p>
    <w:p>
      <w:pPr>
        <w:pStyle w:val="Confianza"/>
        <w:spacing w:after="100"/>
      </w:pPr>
      <w:r>
        <w:t xml:space="preserve">Confianza: Alta</w:t>
      </w:r>
    </w:p>
    <w:p>
      <w:pPr>
        <w:spacing w:after="100"/>
      </w:pPr>
      <w:r>
        <w:t xml:space="preserve">La política de dividendo busca una cobertura del dividendo ordinario de 1,75-2,25 veces el BPA del ejercicio y mantener o subir su importe con el negocio; el consejo puede aceptar una cobertura menor temporalmente [1]. La estructura de capital apunta a una deuda neta media sin arrendamientos de 0,2-0,6 veces el EBITDA, y la caja que sobra se devuelve con dividendos extraordinarios o recompras [1, 3]. Las prioridades declaradas son, por este orden: invertir en el negocio, un dividendo ordinario creciente y devolver el excedente [2]. Las recompras habituales son pequeñas y sirven para los planes de acciones de empleados (hasta 1,6 millones de acciones anunciadas en febrero de 2026)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Worldstores (Worldstores.co.uk, Kiddicare y Achica), minorista online de muebles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pérdidas; costes excepcionales de 16,9 M en el FY2017 y 8,9 M en el FY2018, cierre de Kiddicare, venta de Achica e integración de la tecnología y las ventas en Dunelm.com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Sunflex (negocio y activos), proveedor de estores, cortinas y barras de Hunter Douglas UK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Made-to-Measure, categoría que la empresa destaca por su fuerte crecimiento en el FY2026; sin deterioros publicados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Focus, minorista irlandés de 13 tiendas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entrada fuera del Reino Unido; contribuye al c.1 punto de crecimiento por espacio nuevo del FY2026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y archivo de diseño de Designers Guild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Registrado como intangible (derechos de marca); sin deterioro en el FY2026 [1, 7].</w:t>
            </w:r>
          </w:p>
        </w:tc>
      </w:tr>
    </w:tbl>
    <w:p>
      <w:pPr>
        <w:spacing w:after="160" w:before="0"/>
      </w:pPr>
    </w:p>
    <w:p>
      <w:pPr>
        <w:spacing w:after="100"/>
      </w:pPr>
      <w:r>
        <w:t xml:space="preserve">En diez ejercicios (FY2017-FY2026) Dunelm pagó 1.193 M en dividendos y 69,8 M en recompras, frente a 365,0 M de capex y unos 26 M en compras [1, 7, 8, 9, 10, 11, 12, 13, 14]. Las acciones diluidas apenas se han movido (202,6 millones en el FY2017 y 202,4 millones en el FY2026): las recompras solo cubren los planes de empleados [1, 14]. Las compras han sido pequeñas; la mayor, Worldstores, salió mal y se cerró en dos años [14]. El plan del FY2027-FY2029 cambia el equilibrio hacia más inversión (125 M de capex adicional) con un dividendo ordinario algo por debajo de su cobertura mínima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Clodagh (Clo) Moriarty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años en J Sainsbury, la última etapa como Chief Retail and Technology Officer (2023-2025), y nueve en Bain &amp; Company; primera consejera delegada externa reciente, nombrada el 7 de julio de 2025 y en el cargo desde el 1 de octubre de 2025 [2, 34]. En sus nueve meses de FY2026 las ventas subieron un 3,1 % a 1.825 M GBP, el beneficio antes de impuestos se quedó plano en 211 M GBP y la cuota subió 10 pb al 7,9 %; lanzó la app y presentó el plan Winning Hearts &amp; Homes en septiembre de 2026 [40, 41]. Cobró el 42,98 % del bonus máximo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Witts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directora financiera de Compass (2019-2021) y de Kingfisher (2012-2019) [2]. Con ella en el cargo, el beneficio antes de impuestos pasó de 209 M GBP en FY2022 a 193 M en FY2023 y a 211 M en FY2025 y FY2026; el flujo libre de FY2026 fue de 155 M GBP, un 69 % del beneficio operativo [41, 42, 44]. Su LTIP de FY2024-2026 caducó entero: el BPA diluido quedó en 76,7 peniques, por debajo del umbral de 78,0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Brittain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consejera delegada de Whitbread (2015-2023) y antes directiva de Lloyds, Santander UK y Barclays; preside el consejo desde enero de 2023 y además la Premier League [2]. Dirigió la sucesión del consejero delegado de 2025 y en 2026 compró 22.500 acciones en el mercado [2, 58,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(Deputy Chair), consejero ejecutivo y accionista principal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los fundadores; dirigió el grupo desde 1996, durante la salida a bolsa de 2006 y otra vez de forma interina entre 2014 y 2015; es vicepresidente desde 2011 y conserva funciones ejecutivas acordadas con la consejera delegada [2]. Cobra 1 GBP de sueldo y no recibe bonus ni LTIP [2]. En septiembre de 2024 vendió con WA Capital 10 M de acciones a 1.140 peniques para diversificar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Luisa Wright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general del consejo (Company Secretary)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el informe de gestión de FY2026 y es PDMR; en los últimos 12 meses vendió 2.257 acciones para pagar impuestos al ejercer opciones y compró 2.442 [2, 52, 56].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2021: beneficio antes de impuestos «modestamente por encima» del máximo del rango de los analistas, de 153-175 M GBP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209,0 M GBP en 52 semanas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2022: resultados en línea con el consenso de 178 M GBP (rango de 130-193 M) y margen bruto de c. 50 %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de 193 M GBP y margen bruto del 50,1 %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2023: crecimiento de ventas y de beneficio antes de impuestos, empujado por volumen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1.706,5 M GBP (+4,1 %) y beneficio de 205 M GBP frente a 193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2024: margen antes de impuestos «ampliamente estable» (12,0 % en FY2024); en julio de 2025, beneficio en línea con el consenso de 210 M GBP (rango de 207-215 M) [43,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211 M GBP y margen del 11,9 %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de 2025: beneficio en línea con lo esperado por el consejo; febrero de 2026: en línea con el consenso de 214 M GBP (rango de 210-221 M); en julio de 2026 el consenso ya había bajado a 210 M GBP [47, 48,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211 M GBP, plano frente a FY2025 y por debajo del objetivo del bonus de 218 M GBP [2,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Siguiente hito: 10 % de cuota del mercado británico de hogar y muebles a medio plazo, repetido en 2024 y 2025 [42,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7,7 % en FY2024, del 7,8 % en FY2025 (reexpresada desde el 7,9 %) y del 7,9 % en FY2026; el plan de septiembre de 2026 lo sustituye por objetivos a tres años: margen antes de impuestos de c. 11 % y ROCE de c. 30 % [40, 41,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ha cumplido sus guías anuales de beneficio de FY2022 a FY2025. En FY2026 entregó 211 M GBP: dentro del rango, pero con el consenso rebajado de 214 a 210 M GBP durante el año y por debajo del objetivo del bonus de 218 M [2, 48, 49]. El hito del 10 % de cuota no ha avanzado: 7,7 % en FY2024 y 7,9 % en FY2026 [41, 43]. La cúpula es nueva: la consejera delegada llegó de Sainsbury's en octubre de 2025, tras una sucesión ordenada que se anunció en febrero, se resolvió en julio y no costó indemnización [2, 33, 34]. La directora financiera lleva cuatro años en el cargo. Sir Will Adderley conserva un papel ejecutivo como vicepresidente y es la memoria del negocio. No se ha publicado un sucesor interno para ninguno de los dos cargos ejecutivos. El nuevo plan trienal es la primera prueba de credibilidad de Moriarty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Brittain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(Deputy Chair), consejero ejecutivo y accionista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Clodagh (Clo) Moriarty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Witts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comisión interna de Riesgos y Resiliencia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Bull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Ajay Kavan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Katharine Poulter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Marion Sears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no independiente, consejera de WA Capital (sociedad de Sir Will Adderley) y consejera designada para la plantilla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Vijay Talwar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(consejero delegado del grupo Flutter desde el 1 de octubre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0,58 / ventas 1,33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Adderley (grupo concertado: Sir Will, Lady Nadine, Jean y Bill Adderley y sus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accionista de control según las Listing Rules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42,80 % (86,3 M de acciones) en noviembre de 2023 al 37,26 % (75,5 M) en noviembre de 2024 tras colocar 10 M de acciones a 1.140 peniques y vender 0,5 M en octubre de 2024; sin ventas desde entonces [30, 31, 32, 36,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Will Adderley (directa, WA Capital/Greenhill y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accionista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FY2026 (55,37 M de acciones notificadas)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Lady Nadine Adderley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(grupo concertado)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(11,0 M de acciones)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Adderley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(grupo concertado)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0,5 M de acciones en octubre de 2024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Jupiter Fund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nuevas en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London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nuevas en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abrdn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en la lista del informe de FY2026 [2,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5,12 % a menos del 5 % el 17 de febrero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(1,92 M de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FY2026 se compraron 1,6 M de acciones por 15,6 M GBP para planes de empleados (2,14 M en autocartera en 2025) [2,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 Moriarty (consejera delegada): ejercicio de opciones de compensación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Witts (directora financiera): ejercicio del LTIP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 Taylor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Luisa Wright (secretaria del consejo):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Karen Witts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James Cooper (PDMR):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Luisa Wright (secretaria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Alison Brittain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Alison Brittain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Ian Bull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Ajay Kavan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Katharine Poulter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 Moriarty (consejera delegada): consolidación de la compensación de su LTIP de 2023 y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de FY2026 (máximo del 150 % del sueldo para la consejera delegada y del 125 % para la directora financiera) dependía en un 50 % del beneficio antes de impuestos, con objetivo de 218 M GBP y real de 211 M, en un 25 % de las ventas (objetivo de 1.904 M, real de 1.826 M) y en un 25 % de satisfacción del cliente y objetivos personales; pagó el 42,98 % y el 35,97 % del máximo [2]. El LTIP de FY2024-2026 (80 % BPA, 20 % sostenibilidad) caducó entero [2]. </w:t>
      </w:r>
      <w:r>
        <w:rPr>
          <w:b/>
        </w:rPr>
        <w:t xml:space="preserve">Los 5,15 M GBP de Moriarty incluyen 4,07 M de compensación por los incentivos que perdió en Sainsbury's</w:t>
      </w:r>
      <w:r>
        <w:t xml:space="preserve">: sin ella serían c. 1,08 M [2]. La nueva política, que se vota el 10 de noviembre de 2026, sube el techo del LTIP del consejero delegado al 275 % del sueldo y pesará un 75 % BPA ajustado y un 25 % TSR frente al FTSE 250; cambia el bloqueo de por vida por una tenencia del 300 % del sueldo; mantiene malus y clawback [2]. Sin indemnizaciones por cambio de control; preaviso de 12 meses [2].</w:t>
      </w:r>
    </w:p>
    <w:p>
      <w:pPr>
        <w:pStyle w:val="Heading2"/>
      </w:pPr>
      <w:r>
        <w:t xml:space="preserve">Operaciones vinculadas, estructura de control y defensas</w:t>
      </w:r>
    </w:p>
    <w:p>
      <w:pPr>
        <w:spacing w:after="100"/>
      </w:pPr>
      <w:r>
        <w:t xml:space="preserve">La familia Adderley actúa concertada a efectos del Takeover Code y controla el 37,10 % del capital; Sir Will Adderley tiene el 26,17 % en beneficio propio [2]. Con c. 89 % de participación en la junta, eso supone c. 42 % de los votos emitidos: decide de hecho cualquier resolución ordinaria disputada [30]. </w:t>
      </w:r>
      <w:r>
        <w:rPr>
          <w:b/>
        </w:rPr>
        <w:t xml:space="preserve">Las Listing Rules la tratan como accionista de control.</w:t>
      </w:r>
      <w:r>
        <w:t xml:space="preserve"> Una relationship agreement firmada en 2006 la obliga a operar en condiciones de mercado y a no votar operaciones vinculadas [2]. Los consejeros independientes se eligen con doble voto, también solo por los minoritarios: en 2025 obtuvieron entre el 97,30 % y el 99,99 % [30]. Hay una sola clase de acciones, de un voto cada una [2]. Cada año se pide la dispensa de la Rule 9 para recomprar sin obligar a la familia a lanzar una OPA; en 2025 la aprobó el 96,96 % de los minoritarios [30]. No hay contratos relevantes con la familia salvo el de servicios de Sir Will, ni blindajes [2].</w:t>
      </w:r>
    </w:p>
    <w:p>
      <w:pPr>
        <w:pStyle w:val="Heading2"/>
      </w:pPr>
      <w:r>
        <w:t xml:space="preserve">Señales de alerta</w:t>
      </w:r>
    </w:p>
    <w:p>
      <w:pPr>
        <w:pStyle w:val="ListParagraph"/>
        <w:numPr>
          <w:ilvl w:val="0"/>
          <w:numId w:val="2"/>
        </w:numPr>
        <w:spacing w:after="60"/>
      </w:pPr>
      <w:r>
        <w:t xml:space="preserve">Cambio de consejero delegado en octubre de 2025: Clo Moriarty, externa, sustituye a Nick Wilkinson tras siete años; el plan a tres años de septiembre de 2026 es su primera prueba [33, 34, 40].</w:t>
      </w:r>
    </w:p>
    <w:p>
      <w:pPr>
        <w:pStyle w:val="ListParagraph"/>
        <w:numPr>
          <w:ilvl w:val="0"/>
          <w:numId w:val="2"/>
        </w:numPr>
        <w:spacing w:after="60"/>
      </w:pPr>
      <w:r>
        <w:t xml:space="preserve">Dan Taylor, consejero independiente y miembro de las tres comisiones, es consejero delegado del grupo Flutter desde el 1 de octubre de 2026: riesgo de falta de tiempo [35].</w:t>
      </w:r>
    </w:p>
    <w:p>
      <w:pPr>
        <w:pStyle w:val="ListParagraph"/>
        <w:numPr>
          <w:ilvl w:val="0"/>
          <w:numId w:val="2"/>
        </w:numPr>
        <w:spacing w:after="60"/>
      </w:pPr>
      <w:r>
        <w:t xml:space="preserve">Marion Sears lleva en el consejo desde 2004 y es consejera de WA Capital, sociedad del accionista principal; el consejo la clasifica como no independiente [2].</w:t>
      </w:r>
    </w:p>
    <w:p>
      <w:pPr>
        <w:pStyle w:val="ListParagraph"/>
        <w:numPr>
          <w:ilvl w:val="0"/>
          <w:numId w:val="2"/>
        </w:numPr>
        <w:spacing w:after="60"/>
      </w:pPr>
      <w:r>
        <w:t xml:space="preserve">La nueva política, que se vota el 10 de noviembre de 2026, sube el techo del LTIP del consejero delegado al 275 % del sueldo y elimina el bloqueo de acciones de por vida [2].</w:t>
      </w:r>
    </w:p>
    <w:p>
      <w:pPr>
        <w:pStyle w:val="ListParagraph"/>
        <w:numPr>
          <w:ilvl w:val="0"/>
          <w:numId w:val="2"/>
        </w:numPr>
        <w:spacing w:after="60"/>
      </w:pPr>
      <w:r>
        <w:t xml:space="preserve">La retribución total de la consejera delegada en FY2026 (5,15 M GBP, 198 veces el salario mediano frente a 56 veces en FY2025) se infla con 4,07 M de compensación por lo que perdió en Sainsbury's [2].</w:t>
      </w:r>
    </w:p>
    <w:p>
      <w:pPr>
        <w:pStyle w:val="ListParagraph"/>
        <w:numPr>
          <w:ilvl w:val="0"/>
          <w:numId w:val="2"/>
        </w:numPr>
        <w:spacing w:after="60"/>
      </w:pPr>
      <w:r>
        <w:t xml:space="preserve">El LTIP de FY2024-2026 de los directivos caducó entero y el beneficio de FY2026 quedó por debajo del objetivo del bonus [2].</w:t>
      </w:r>
    </w:p>
    <w:p>
      <w:pPr>
        <w:pStyle w:val="ListParagraph"/>
        <w:numPr>
          <w:ilvl w:val="0"/>
          <w:numId w:val="2"/>
        </w:numPr>
        <w:spacing w:after="60"/>
      </w:pPr>
      <w:r>
        <w:t xml:space="preserve">Las ventas de consejeros en 12 meses (1,27 M GBP) fueron todas para pagar impuestos al consolidar incentivos; las compras en el mercado sumaron c. 0,56 M GBP, de siete consejeros [50, 51, 52, 53, 54, 55, 56, 57, 58, 59, 60, 61, 62, 63, 64, 65].</w:t>
      </w:r>
    </w:p>
    <w:p>
      <w:pPr>
        <w:pStyle w:val="ListParagraph"/>
        <w:numPr>
          <w:ilvl w:val="0"/>
          <w:numId w:val="2"/>
        </w:numPr>
        <w:spacing w:after="60"/>
      </w:pPr>
      <w:r>
        <w:t xml:space="preserve">La revisión del FRC del informe anual de FY2025 no encontró problemas significativos. PwC audita desde FY2014, se volvió a licitar en 2023 y la socia responsable firma desde FY2024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FY2027 (ejercicio de 53 semanas; la guía se da en base de 52) la empresa espera un beneficio antes de impuestos ajustado en línea con FY2026, inflación de c. 3 % sobre la base de costes operativos, ahorro de costes de 25-30 M GBP reinvertido en crecimiento, partidas de ajuste de 30-40 M GBP entre FY2027 y FY2028, tipo efectivo 50-100 pb sobre el tipo general, circulante neutro en el año, capex de c. 60-70 M GBP (hasta diez tiendas nuevas y hasta 30 renovaciones) y deuda neta sin arrendamientos de 0,2x-0,6x EBITDA [2]. Confirmado en las cuentas del 8-sep-2026.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[68]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 – 12,00</w:t>
            </w:r>
          </w:p>
        </w:tc>
      </w:tr>
    </w:tbl>
    <w:p>
      <w:pPr>
        <w:spacing w:after="160" w:before="0"/>
      </w:pPr>
    </w:p>
    <w:p>
      <w:pPr>
        <w:pStyle w:val="Heading2"/>
      </w:pPr>
      <w:r>
        <w:t xml:space="preserve">Revisiones de estimaciones</w:t>
      </w:r>
    </w:p>
    <w:p>
      <w:pPr>
        <w:spacing w:after="100"/>
      </w:pPr>
      <w:r>
        <w:t xml:space="preserve">MarketScreener no publica en texto el historial de revisiones del BPA ni del EBITDA; solo un gráfico [69]. Tras los resultados de FY2026 (8-sep-2026) varios bancos bajaron el precio objetivo y mantuvieron la recomendación de compra: Canaccord de 12,40 a 11,85 GBP, Deutsche Bank de 10,50 a 10,00 y JPMorgan de 12,25 a 10,50; Berenberg (12,00) y Shore Capital (10,00) la reiteraron [77]. La acción cayó un 14,3 % el día de los resultados [67].</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La acción cae un 29,2 % en 2026 y un 27,7 % en un año, frente a subidas del 7,8 % y del 11,1 % del FTSE 250 [67]. Las dos mayores caídas diarias coinciden con publicaciones de la empresa: -19,5 % el 15-ene-2026 (actualización del 2T) y -14,3 % el 8-sep-2026 (resultados de FY2026, con BPA diluido plano en 76,8 peniques y guía de BAI ajustado plano para FY2027) [2, 67]. A cinco años la acción pierde un 8,8 % anual frente al +1,4 % del índice; a diez años queda plana [67]. La beta mensual de cinco años es 1,16 y la volatilidad de un año, del 37 % [67]. La posición corta agregada baja al 1,32 % [71].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Dunelm cotiza a 6,3 veces el EBITDA de los últimos 12 meses y 10,4 veces el beneficio, en el percentil 11 y 22 de su historia (medias de 9,0 y 14,9 veces) [67]. El descuento tiene una causa clara: el beneficio antes de impuestos lleva cuatro años plano en unos 211 M aunque las ventas suben, porque los salarios se comen el crecimiento [1]. El mercado ha dejado de pagar por una cuota que ya no sube (7,9 %, +10 puntos básicos en FY2026 frente a +60 en FY2024) [2].</w:t>
      </w:r>
    </w:p>
    <w:p>
      <w:pPr>
        <w:pStyle w:val="Heading1"/>
      </w:pPr>
      <w:r>
        <w:t xml:space="preserve">18. Comparables cotizados</w:t>
      </w:r>
    </w:p>
    <w:p>
      <w:pPr>
        <w:pStyle w:val="Confianza"/>
        <w:spacing w:after="100"/>
      </w:pPr>
      <w:r>
        <w:t xml:space="preserve">Confianza: Media</w:t>
      </w:r>
    </w:p>
    <w:p>
      <w:pPr>
        <w:spacing w:after="100"/>
      </w:pPr>
      <w:r>
        <w:t xml:space="preserve">Siete minoristas británicos cotizados en Londres con cuentas en NIIF 16 (EBITDA antes de alquileres y arrendamientos en la deuda neta, como Dunelm): Next (hogar y moda), Kingfisher y Wickes (bricolaje y hogar), B&amp;M (generalista de precio bajo), Card Factory, DFS (sofás) y Howden (cocinas). Se excluyen Maisons du Monde (en dificultades: capitalización de 8 M EUR frente a 566 M de valor empresa), Fnac Darty (precio anclado a la OPA de EP a 36 EUR) y Wayfair, Williams-Sonoma y RH (US GAAP: alquileres dentro del EBITDA). IKEA y The Range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Dunelm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B&amp;M European Value Retail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 Factory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Wickes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DFS Furniture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Howden Joinery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 5,5x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 / 5,9x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11,4x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0,8x / 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3,4 + 0,69 × crecimiento; R² = 0,40. Para el crecimiento esperado de la empresa (3,9 %), el múltiplo ajustado es 6,1x y el valor por acción, 7,90.</w:t>
      </w:r>
    </w:p>
    <w:p>
      <w:pPr>
        <w:spacing w:after="100"/>
      </w:pPr>
      <w:r>
        <w:t xml:space="preserve">Dunelm cotiza a 6,2 veces el EBITDA de los próximos 12 meses y 10,7 veces el beneficio, cerca de la mediana de los minoristas británicos con NIIF 16 (5,5 y 11,4 veces) pese a tener un margen EBITDA mayor (17,2 % frente al 15,4 %) y un ROIC del 33,8 % [72, 73, 74, 75, 76, 77, 78, 79, 80]. Next, el comparable de más calidad, cotiza con prima; los de bricolaje y muebles (Kingfisher, Wickes, DFS), con descuento por su ciclo. La mediana da 7,75 GBP (−3,1 %): el mercado paga a Dunelm como a un minorista medio, no como al líder de su categoría. Pesan un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Fnac Darty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 Group (Daniel Křetínský)</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36 EUR por acción; valor empresa post-NIIF 16 de 3.803 M EUR (30,63 M acciones + 2.700 M de puente con arrendamientos) [81]. EV/EBITDA estimación propia con el EBITDA LTM implícito en la nota (3.207 M EUR / 4,8x ≈ 668 M), que coincide con el EBITDA 2025 de 667 M EUR de MarketScreener [81, 82]; ventas 2025 de 10.330 M EUR [82]. EUR/GBP 1,1523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Ceconomy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4.642 M EUR y EV/EBITDA LTM post-NIIF 16 de 4,6x según la nota de la OPA sobre Fnac Darty [81]. EUR/GBP 1,1509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Unieuro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Fnac Darty y Ruby Equity Investment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665 M EUR y EV/EBITDA LTM post-NIIF 16 de 5,0x [81]. EUR/GBP 1,1893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Poltronesofà</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 peniques por acción (270 en efectivo + 10 de dividendo), 99,4 M GBP por el capital totalmente diluido; prima del 66 % sobre el cierre previo; el anuncio no publica valor empresa ni múltiplo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Mattress Firm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Tempur Sealy (hoy Somnigroup)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4.000 M USD; ventas 4.171 M USD y EBITDA ajustado de 432 M USD (12 meses a 28-mar-2023); 9,3x antes de sinergias y 7,5x con 100 M de sinergias [85]. US GAAP: EBITDA después de alquileres, no comparable directamente con NIIF 16. USD/GBP 1,2612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Dreams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efectivo de 476,7 M USD con 49,7 M de caja adquirida (valor empresa ≈ 427 M USD); ventas de c. 400 M USD y EBITDA de c. 75 M USD en 2020 [86]. Base del EBITDA no especificada. USD/GBP 1,3898 (cierre, 2-ago-2021)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(5,0x – 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 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Cinco operaciones con múltiplo, de 4,6 a 9,3 veces el EBITDA: Fnac Darty, Ceconomy, Unieuro, Dreams y Mattress Firm [81, 82, 83, 84, 85, 86]. Su mediana da 7,04 GBP, por debajo del precio: en distribución especializada, los compradores pagan poco más que la bolsa. Con la familia Adderley en el 37,1 % y un acuerdo de relación, una opa solo sería posible con su apoyo [2].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+3,5 %: el consenso da 1.894 M (+3,8 %) con un arranque flojo por el calor y una semana más (53) [1, 68]. Luego +4 % dos años con el plan (más tiendas y web) y bajada al 2,5 % en FY2033e. Las ventas crecieron un 3,1-4,1 % en FY2023-FY2026 y el mercado británico de hogar, un 2,0 % anual de 2019 a 2025 [1, 22]: el caso base supone que Dunelm sigue ganando algo de cuota.</w:t>
      </w:r>
    </w:p>
    <w:p>
      <w:pPr>
        <w:keepNext/>
        <w:spacing w:after="100"/>
      </w:pPr>
      <w:r>
        <w:rPr>
          <w:b/>
          <w:bCs/>
        </w:rPr>
        <w:t xml:space="preserve">Márgenes.</w:t>
      </w:r>
    </w:p>
    <w:p>
      <w:pPr>
        <w:spacing w:after="100"/>
      </w:pPr>
      <w:r>
        <w:t xml:space="preserve">Margen EBITDA del 16,5 % en FY2027e, con las partidas del plan (30-40 M) dentro, y vuelta al 17,5 % en FY2029e con los ahorros de c. 100 M (la mitad reinvertidos), algo por encima del 17,2 % de FY2023-FY2026 y por debajo del 18,5-18,8 % de FY2020-FY2022 [1, 3]. El margen bruto se ha movido entre el 50,1 % y el 52,5 % sin subidas de precio [2].</w:t>
      </w:r>
    </w:p>
    <w:p>
      <w:pPr>
        <w:keepNext/>
        <w:spacing w:after="100"/>
      </w:pPr>
      <w:r>
        <w:rPr>
          <w:b/>
          <w:bCs/>
        </w:rPr>
        <w:t xml:space="preserve">Inversión y circulante.</w:t>
      </w:r>
    </w:p>
    <w:p>
      <w:pPr>
        <w:spacing w:after="100"/>
      </w:pPr>
      <w:r>
        <w:t xml:space="preserve">Capex del 8,0 % de las ventas en FY2027e que baja al 5,0 %: el de caja (guía de 60-70 M más los 125 M adicionales del plan en tres años) y las altas de derechos de uso de las tiendas (NIIF 16: 82,4 M en FY2026, 32-50 M en FY2023-FY2025), para no contar las tiendas sin pagar su alquiler [1, 3]. Amortización del 5,0 %, con la de los derechos de uso. Circulante del 7,0 % de las ventas.</w:t>
      </w:r>
    </w:p>
    <w:p>
      <w:pPr>
        <w:keepNext/>
        <w:spacing w:after="100"/>
      </w:pPr>
      <w:r>
        <w:rPr>
          <w:b/>
          <w:bCs/>
        </w:rPr>
        <w:t xml:space="preserve">Coste del capital.</w:t>
      </w:r>
    </w:p>
    <w:p>
      <w:pPr>
        <w:spacing w:after="100"/>
      </w:pPr>
      <w:r>
        <w:t xml:space="preserve">Tasa libre del 5,39 %, el gilt a 10 años del Banco de Inglaterra del 7-oct-2026 [83]. Beta de 1,11, la ajustada mensual a 5 años frente al FTSE 250 [67]. Prima de mercado del 5,5 %, coste de la deuda del 6,0 % y un 19 % de deuda a valor de mercado, con los arrendamientos. WACC del 10,17 %; con la prima implícita del mercado (4,20 %), el 9,00 % [70].</w:t>
      </w:r>
    </w:p>
    <w:p>
      <w:pPr>
        <w:keepNext/>
        <w:spacing w:after="100"/>
      </w:pPr>
      <w:r>
        <w:rPr>
          <w:b/>
          <w:bCs/>
        </w:rPr>
        <w:t xml:space="preserve">Valor terminal.</w:t>
      </w:r>
    </w:p>
    <w:p>
      <w:pPr>
        <w:spacing w:after="100"/>
      </w:pPr>
      <w:r>
        <w:t xml:space="preserve">Crecimiento a perpetuidad del 2,5 %: algo menos que la inflación británica esperada, porque el gasto real en muebles sigue por debajo de 2019 [22]. El múltiplo implícito es de 7,0 veces el EBITDA, por encima de los 6,3 de hoy y por debajo de su media de 9,0.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(ROIC 33,8 %)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(histórico: 30,2 %)</w:t>
            </w:r>
          </w:p>
        </w:tc>
      </w:tr>
    </w:tbl>
    <w:p>
      <w:pPr>
        <w:spacing w:after="160" w:before="0"/>
      </w:pPr>
    </w:p>
    <w:p>
      <w:pPr>
        <w:spacing w:after="100"/>
      </w:pPr>
      <w:r>
        <w:t xml:space="preserve">La proyección reinvierte el 16 % del NOPAT. Con el ROIC del último ejercicio (33,8 %), eso financia un crecimiento del 5,5 % anual, frente al 3,4 % de ingresos proyectado. Supone que el capital nuevo rinde un 22,3 %, frente a un ROIC incremental histórico del 30,2 %.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flojo por el calor; semana 53 (≈ +1,5 %, estimación propia) menos efecto del clima; precios estables como en FY2024-FY2026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«Winning Hearts &amp; Homes»: más tiendas y web (42 % de las ventas)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al alza como en FY2023-FY2026 (de 7,2 % a 7,9 %) [2].</w:t>
            </w:r>
          </w:p>
        </w:tc>
      </w:tr>
    </w:tbl>
    <w:p>
      <w:pPr>
        <w:spacing w:after="160" w:before="0"/>
      </w:pPr>
    </w:p>
    <w:p>
      <w:pPr>
        <w:spacing w:after="100"/>
      </w:pPr>
      <w:r>
        <w:t xml:space="preserve">Sí para nuestro caso base, que es modesto: un 3,4 % anual, por debajo del 4-5 % de FY2023-FY2026, en un mercado que crece al 2 % y en el que Dunelm ha ganado cuota todos los años (de 5 % en FY2019 a 7,9 % en FY2026) [2]. Lo financia con holgura: la reinversión prevista al ROIC actual (33,8 %) da para crecer un 5,5 % al año, y supone que el capital nuevo rinde un 22 %, por debajo del 30 % histórico. El límite no es la calidad sino el mercado: el gasto real en muebles está un 8 % por debajo de 2019 [22] y el foso es estrecho, de escala y marca, sin poder de precios (no sube precios).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 (WACC: 10,2 %)</w:t>
            </w:r>
          </w:p>
        </w:tc>
      </w:tr>
    </w:tbl>
    <w:p>
      <w:pPr>
        <w:spacing w:after="160" w:before="0"/>
      </w:pPr>
    </w:p>
    <w:p>
      <w:pPr>
        <w:spacing w:after="100"/>
      </w:pPr>
      <w:r>
        <w:t xml:space="preserve">El DCF da 9,38 GBP por acción, un 17,3 % por encima del precio, con un 65 % del valor en el terminal. </w:t>
      </w:r>
      <w:r>
        <w:rPr>
          <w:b/>
        </w:rPr>
        <w:t xml:space="preserve">El precio descuenta un Dunelm que deja de crecer.</w:t>
      </w:r>
      <w:r>
        <w:t xml:space="preserve"> El DCF inverso dice que, con nuestros márgenes, los 7,995 GBP de hoy suponen un crecimiento de las ventas del 0,8 % anual de FY2027e a FY2033e, frente al 3,4 % de nuestro caso base; o, con nuestro crecimiento, un margen EBITDA del 16,1 % en vez del 17,5 %. Comprar a este precio rinde un 11,2 % anual si se cumple el caso base, un punto por encima del WACC. No es una ganga: el precio está justificado si el plan no consigue nada; el valor aparece si las ventas crecen como en FY2023-FY2026 y los ahorros vuelven a mover el beneficio, algo que no ocurre desde FY2022.</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británico sigue flojo y la competencia de precio (B&amp;M, IKEA, Temu) quita cuota: ventas casi planas, margen EBITDA del 15,5 %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da algo de crecimiento (3-4 % al año) y devuelve el margen al 17,5 % en FY2029 con los ahorros: crecimiento medio del 3,4 %.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funciona: c. 100 M de ahorros, más tiendas y web, y la cuota sube hacia el 9-10 %: crecimiento medio del 4,9 % y margen del 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9,03 GBP (+12,9 %).</w:t>
      </w:r>
    </w:p>
    <w:p>
      <w:pPr>
        <w:spacing w:after="100"/>
      </w:pPr>
      <w:r>
        <w:t xml:space="preserve">La asimetría es correcta, sin más: el alcista vale 11,86 GBP (+48,3 %) y el bajista 5,51 (−31,1 %), 1,55 veces. El bajista es verosímil: es prolongar los cuatro años de beneficio plano con algo menos de margen. Con la prima de riesgo que hoy pide el mercado (4,20 %), el alcista sube a 14,44 GBP y el bajista a 6,70. El valor ponderado por probabilidad es de 9,03 GBP.</w:t>
      </w:r>
    </w:p>
    <w:p>
      <w:pPr>
        <w:pStyle w:val="Heading1"/>
      </w:pPr>
      <w:r>
        <w:t xml:space="preserve">22. Suma de partes</w:t>
      </w:r>
    </w:p>
    <w:p>
      <w:pPr>
        <w:pStyle w:val="Confianza"/>
        <w:spacing w:after="100"/>
      </w:pPr>
      <w:r>
        <w:t xml:space="preserve">Confianza: Alta</w:t>
      </w:r>
    </w:p>
    <w:p>
      <w:pPr>
        <w:spacing w:after="100"/>
      </w:pPr>
      <w:r>
        <w:t xml:space="preserve">No aplica: Dunelm tiene un único segmento (NIIF 8) y no publica cifras por categoría ni por canal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8,79 GBP (+9,9 % sobre 8,00).</w:t>
      </w:r>
    </w:p>
    <w:p>
      <w:pPr>
        <w:spacing w:after="100"/>
      </w:pPr>
      <w:r>
        <w:t xml:space="preserve">Pesos: DCF 50 %, comparables 25 %, escenarios 20 %, transacciones 5 % y suma de partes 0 %. El DCF manda porque el negocio es estable y convierte en caja el 99 % de su beneficio; los comparables pesan un 25 % porque hay un buen grupo de minoristas británicos con NIIF 16. Las transacciones (7,04 GBP) pesan poco porque una opa necesitaría a la familia. La dispersión es moderada: de 7,04 GBP (transacciones) a 9,38 GBP (DCF), con el precio en medio. El valor objetivo es de 8,79 GBP; con el dividendo ordinario (5,7 %), la rentabilidad total esperada es del 15,6 %.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(10.8x) × 1.1 (tope: la mediana de 5 años, 15.1x,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+86,3 %</w:t>
            </w:r>
          </w:p>
        </w:tc>
      </w:tr>
    </w:tbl>
    <w:p>
      <w:pPr>
        <w:spacing w:after="160" w:before="0"/>
      </w:pPr>
    </w:p>
    <w:p>
      <w:pPr>
        <w:spacing w:after="100"/>
      </w:pPr>
      <w:r>
        <w:rPr>
          <w:b/>
          <w:bCs/>
        </w:rPr>
        <w:t xml:space="preserve">Objetivo a 12 meses (ponderado):</w:t>
      </w:r>
      <w:r>
        <w:t xml:space="preserve"> 9,90 GBP · rentabilidad +29,5 % (base +26,0 %) · señal Comprar.</w:t>
      </w:r>
    </w:p>
    <w:p>
      <w:pPr>
        <w:spacing w:after="100"/>
      </w:pPr>
      <w:r>
        <w:t xml:space="preserve">Para comparar, con la regla v2 (historia al cierre, mismo precio): 9,8x / 10,8x / 14,0x, 20,7 % Comprar; con el tope anterior del base (×1,3, 14-oct mediodía): 35,4 % Comprar. Decide la regla vigente (v3 con tope ×1,1; METODO-VIGENTE.md).</w:t>
      </w:r>
    </w:p>
    <w:p>
      <w:pPr>
        <w:keepNext/>
        <w:spacing w:after="100"/>
      </w:pPr>
      <w:r>
        <w:rPr>
          <w:b/>
          <w:bCs/>
        </w:rPr>
        <w:t xml:space="preserve">Frente al consenso (solo contraste).</w:t>
      </w:r>
    </w:p>
    <w:p>
      <w:pPr>
        <w:spacing w:after="100"/>
      </w:pPr>
      <w:r>
        <w:t xml:space="preserve">Nuestro BPA base de FY2028e (0,81) se separa un +4,5 % del consenso (0,77) y nuestro precio base (8,73) un -12,2 % del objetivo medio de los analistas (9,94).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8,79 (+9,9 %) frente al objetivo a 12 meses ponderado 9,20 (+20,7 % con dividendo; base +14,9 %).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arranque flojo por el calor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nueva política de remuneración (LTIP hasta el 275 % del sueldo)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familia decisivo; poco efecto en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final de 28,5 p (ex el 22-oct)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ordinario del 5,7 %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ahorros del plan y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FY2027-FY2029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«Winning Hearts &amp; Homes»: c. 100 M de ahorros y 125 M de capex adicional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funciona, el beneficio vuelve a crecer tras cuatro años plano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la familia Adderley (37,1 %)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el precio, como en sept-2024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británico débil y gasto en hogar por debajo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5,51 GBP, −41 %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al alza y precios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negativas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salariales que se comen el crecimiento (beneficio plano desde FY2022)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el DCF baja a 8,40 GBP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c. 100 M del plan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 ajustado de FY2027 por debajo de 211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precio (B&amp;M, IKEA, Temu, Amazon)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marca propia y web (42 %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de nueva consejera delegada (desde oct-2025)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Gasta caja que hoy va a dividendos especiales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públicos (margen c. 11 %, ROCE c. 30 %)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recorte del dividendo especial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 de control (familia Adderley, 37,1 %)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Ventas en bloque como la de sept-2024 a 11,40 GBP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relación desde 2006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venta de la familia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11,2 %: el DCF baja a 8,04 GBP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1,2 veces el EBITDA, casi toda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5,75 %</w:t>
            </w:r>
          </w:p>
        </w:tc>
      </w:tr>
    </w:tbl>
    <w:p>
      <w:pPr>
        <w:spacing w:after="160" w:before="0"/>
      </w:pPr>
    </w:p>
    <w:p>
      <w:pPr>
        <w:pStyle w:val="Heading2"/>
      </w:pPr>
      <w:r>
        <w:t xml:space="preserve">Pre-mortem</w:t>
      </w:r>
    </w:p>
    <w:p>
      <w:pPr>
        <w:spacing w:after="100"/>
      </w:pPr>
      <w:r>
        <w:t xml:space="preserve">Octubre de 2029: la acción ha caído un 40 %, a unos 4,80 GBP. La historia más probable: el consumo británico sigue sin despegar en 2027-2028 y los salarios mínimos suben otra vez por encima de la inflación. El plan de la nueva consejera delegada gasta 125 M más en tiendas y web, pero los ahorros se van en costes y el beneficio antes de impuestos baja de 211 M a 190 M. El dividendo especial desaparece y los inversores de rentas, que sostienen la acción, se van; la familia aprovecha para vender otro bloque. El múltiplo baja a 5 veces el EBITDA, como DFS o Wickes. El indicador que lo habría anticipado: cuatro años de beneficio plano y una cuota que ya no subía.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Emisiones de la cadena de valor</w:t>
      </w:r>
      <w:r>
        <w:t xml:space="preserve">: el 99 % de las emisiones de Dunelm están en la cadena de suministro (materias primas, fabricación y transporte); su objetivo validado por SBTi es reducirlas un 50 % en 2030 frente a 2019 y llegar a cero neto en 2040, pero las emisiones absolutas de alcance 3 siguen un 32 % por encima de 2019 (la intensidad baja un 20 %) [20]. Las de alcance 1 han bajado un 31 %, hasta 8.694 tCO2e, y compra el 100 % de electricidad renovable [20]. </w:t>
      </w:r>
      <w:r>
        <w:rPr>
          <w:b/>
        </w:rPr>
        <w:t xml:space="preserve">Aprovisionamiento responsable y condiciones laborales en las fábricas</w:t>
      </w:r>
      <w:r>
        <w:t xml:space="preserve">: el 89 % de las fábricas de primer nivel están auditadas y el 99 % de las auditorías tienen menos de dos años [20]. </w:t>
      </w:r>
      <w:r>
        <w:rPr>
          <w:b/>
        </w:rPr>
        <w:t xml:space="preserve">Regulación circular</w:t>
      </w:r>
      <w:r>
        <w:t xml:space="preserve">: la responsabilidad ampliada del productor en envases ya cuesta, y se espera un sistema para el textil antes de 2030 [2, 20].</w:t>
      </w:r>
    </w:p>
    <w:p>
      <w:pPr>
        <w:pStyle w:val="Heading2"/>
      </w:pPr>
      <w:r>
        <w:t xml:space="preserve">Controversias</w:t>
      </w:r>
    </w:p>
    <w:p>
      <w:pPr>
        <w:spacing w:after="100"/>
      </w:pPr>
      <w:r>
        <w:t xml:space="preserve">No constan sanciones de reguladores ni litigios materiales en los últimos tres años: el informe anual de 2026 declara cero pasivos contingentes [2]. Los incidentes del periodo son operativos: dos incendios en tiendas, cubiertos por el seguro, y la caída de la satisfacción con los servicios de mensajería externos [2]. El precedente reputacional más citado es de 2020-21: la presencia en el consejo de Paula Vennells, ex consejera delegada de Post Office, que dimitió en abril de 2021 [21].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 100 M de ahorros llegará al beneficio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lleva cuatro años plano en 211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Arranque de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las ventas comparables en julio-agosto y cómo fue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cayó un 10,5 % por ese aviso.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los dividendos especiales con 125 M de capex adicional?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especial ya bajó de 35 a 25 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cuota solo subió 10 puntos básicos en FY2026 y qué categorías la perdieron?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crecimiento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la familia Adderley intención de seguir reduciendo su participación?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colocación de 2024 presionó el precio.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Hargreaves Lansdown (crónica de resultados con la reacción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 los resultados de FY2026 la acción cayó un 10,5 %: el mercado recibió con frialdad el plan a tres años y el aviso de un arranque de FY2027 «bastante más flojo» por el calor; AJ Bell teme recortes de previsiones y que la inversión en tiendas quite caja a dividendos y recompras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Arranque débil de FY2027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analista lo contrasta con la actualización del 1T FY27 y la guía.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tres años e inversión en tiendas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el capex y el flujo libre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especial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especial bajó de 35 a 25 peniques.</w:t>
            </w:r>
          </w:p>
        </w:tc>
      </w:tr>
    </w:tbl>
    <w:p>
      <w:pPr>
        <w:spacing w:after="160" w:before="0"/>
      </w:pPr>
    </w:p>
    <w:p>
      <w:pPr>
        <w:spacing w:after="100"/>
      </w:pPr>
      <w:r>
        <w:t xml:space="preserve">El poco debate que se puede leer es negativo: la acción cayó un 10,5 % el día de los resultados de FY2026 por el arranque flojo de FY2027 y el plan a tres años, que el mercado ve como gasto que resta caja a los dividendos [1]. Coincide con el precio, que ya descuenta casi nada de crecimiento (0,8 % anual), así que el pesimismo es la tesis: si la actualización del 1T del 15-oct confirma que el calor fue puntual, el sentimiento puede girar.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87 (67 primarias); citas distintas en el texto: 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22,3 % frente a un ROIC de 33,8 % y un incremental histórico de 30,2 %: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6,9 %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 de ingresos de los resultados del FY2026: segmento único Reino Unido e Irlanda sin desglose; 2) informe anual 2026, búsqueda de ingresos o activos por país: no hay; 3) resultados del FY2025 con la compra de Home Focus: no da ventas irlandesas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categoría o canal en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 de ingresos del FY2026: segmento único sin desglose; 2) informe anual 2026 y presentación de resultados: solo el porcentaje digital; 3) transcripción del día del inversor: categorías citadas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del FY2026 y del 1S26: no citan el consenso previo con cifra; 2) transcripción del 1S26: solo dice BAI anual en línea con el consenso; 3) web de inversores: no publica el consenso recopilado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de Dunelm: solo da su cuota (7,9 %) y califica el mercado de muy fragmentado; 2) cuentas de los competidores (Next, B&amp;M, Kingfisher): no separan sus ventas de hogar en el Reino Unido; 3) derivarlo: IKEA incluye cocinas y The Range, John Lewis y Wayfair UK no publican ventas de hogar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de sostenibilidad 2026: no publican calificaciones de agencias; 2) página de Sustainalytics de Dunelm: la puntuación se carga con JavaScript y no aparece en el texto; 3) búsqueda de MSCI y CDP: solo resúmenes de buscador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IKEA UK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IKEA UK del ejercicio 2025: no da beneficio; 2) prensa sectorial (Furniture News, Retail Gazette): no lo publica; 3) cuentas de IKEA Ltd en Companies House: no accesibles sin navegador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solo media (Comprar) sin desglose; 2) MarketBeat: 9 analistas en 12 meses (8/0/1), cobertura distinta de los 14 de MarketScreener; 3) no se mezcla: desglose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y fcf_yield_pct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sin ROIC; 2) MarketScreener valuation: FCF yield con definiciones mezcladas (antes y después de arrendamientos); 3) cálculo propio exigiría balances de siete empresas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bloqueado para la lectura automática; 2) LSE Chat (lse.co.uk): 403; 3) búsqueda de comentarios de lectores de 2026: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52 weeks ended 27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https://corporate.dunelm.com/media/zeqaant1/dunelm-fy26-prelim-results.pdf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https://corporate.dunelm.com/media/a1nhsx1c/dunelm-annual-report-2026.pdf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Winning Hearts &amp; Homes: strategy update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https://corporate.dunelm.com/media/jq2b41c3/strategy-update-winning-hearts-homes.pdf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Strategy update Winning Hearts &amp; Homes: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https://corporate.dunelm.com/media/ejrbmubd/strategy-update-winning-hearts-homes-transcript.pdf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27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https://corporate.dunelm.com/media/0aqhlend/dunelm-fy26-interim-results.pdf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interim results: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https://corporate.dunelm.com/media/wnepb03l/fy26-interims-transcript.pdf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28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https://corporate.dunelm.com/media/a05ozxqe/dunelm-fy25-prelim-results-final.pdf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29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https://corporate.dunelm.com/media/tkxbiktz/dunelm-fy24-prelim-results.pdf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1 July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https://corporate.dunelm.com/media/awuopj1p/dunelm-fy23-prelim-results.pdf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for the 53 weeks ended 2 July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https://corporate.dunelm.com/media/ld1dnot1/dunelm-fy22-annual-results.pdf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52 weeks ended 26 June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https://corporate.dunelm.com/media/jbriq34s/preliminary-results-for-the-52-weeks-ended-26-june-2021.pdf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https://corporate.dunelm.com/media/owtgp0et/dunelm-ar2020-full-011020-1400-lr.pdf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https://corporate.dunelm.com/media/sqsnf44g/dunelm-ar2019.pdf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https://corporate.dunelm.com/media/ocjm5qp4/dunelm-ar2018-webready.pdf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28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https://corporate.dunelm.com/media/hpsjrxdk/dunelm-fy25-interim-results-final-for-rns.pdf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30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https://corporate.dunelm.com/media/uy1fybrf/dunelm-fy24-interim-results-140224c.pdf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26 weeks ended 31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https://corporate.dunelm.com/media/5uoixkgf/interim-results-15-feb-2023-dnlm-news-article-_-london-stock-exchange.pdf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https://corporate.dunelm.com/media/nkzbkifm/dunelm-ar23-web.pdf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https://corporate.dunelm.com/media/bgaesrfy/dunelm_ar2022-final.pdf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https://corporate.dunelm.com/media/tpbk1vtd/dunelm-sustainability-report-2026.pdf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https://en.wikipedia.org/wiki/Dunelm_Group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Trends: gasto de los hogares a precios corrientes, series ADFZ (05.1), ADGG (05.2) y ADGM (05.4)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 for National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https://www.ons.gov.uk/economy/nationalaccounts/satelliteaccounts/timeseries/adfz/ct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Trends: gasto de los hogares en volumen, series ADJG (05.1) y ADJH (05.2)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 for National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https://www.ons.gov.uk/economy/nationalaccounts/satelliteaccounts/timeseries/adjg/ct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 Preliminary Results FY26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https://www.investegate.co.uk/announcement/rns/dfs-furniture--dfs/preliminary-results/9787979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 Annual Report and Accounts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https://www.nextplc.co.uk/~/media/Files/N/next-plc-v4/about-next/annual-report-and-accounts-jan-2026.pdf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FY26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https://data.fca.org.uk/artefacts/NSM/RNS/a78d21cb-ebea-4404-a5d0-7930d489cd86.html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 Annual Report and Accounts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https://www.kingfisher.com/~/media/Files/K/Kingfisher-Plc/Universal/investors/result-reports-presentation/2026/2526-annual-report-and-accounts.pdf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IKEA UK sees sales decline in FY25 despite footprint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Furniture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https://furniturenews.net/news/ikea-uk-sees-sales-decline-in-fy25-despite-footprint-growth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https://corporate.dunelm.com/media/0oskygbo/annual_report-2025.pdf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(19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https://www.investegate.co.uk/announcement/rns/dunelm-group--dnlm/result-of-agm/9244569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(21 de noviembre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https://www.investegate.co.uk/announcement/rns/dunelm-group--dnlm/results-of-agm/8565131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(16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https://www.investegate.co.uk/announcement/rns/dunelm-group--dnlm/results-of-agm/7886115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https://www.investegate.co.uk/announcement/rns/dunelm-group--dnlm/ceo-succession/8730297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https://www.investegate.co.uk/announcement/rns/dunelm-group--dnlm/appointment-of-ceo/8966966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Declaration (Dan Taylor, Flutter)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https://www.investegate.co.uk/announcement/rns/dunelm-group--dnlm/director-declaration/9800269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Placing in Dunelm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Bank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https://www.investegate.co.uk/announcement/rns/dunelm-group--dnlm/results-of-placing-in-dunelm-group-plc/8434294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Shares by Concert Party and AGM Notice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https://www.investegate.co.uk/announcement/rns/dunelm-group--dnlm/sale-of-shares-by-concert-party-and-agm-notice-/8495784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(JPMorgan Asset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https://www.investegate.co.uk/announcement/rns/dunelm-group--dnlm/holding-s-in-company/9438952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Purchases of Shares During Open Periods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https://www.investegate.co.uk/announcement/rns/dunelm-group--dnlm/purchases-of-shares-during-open-periods-/9431387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Strategy Update: Winning Hearts &amp; Homes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https://www.investegate.co.uk/announcement/rns/dunelm-group--dnlm/strategy-update-winning-hearts-homes/9759952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https://www.investegate.co.uk/announcement/rns/dunelm-group--dnlm/preliminary-results-/9759867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https://www.investegate.co.uk/announcement/rns/dunelm-group--dnlm/preliminary-results/9095001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https://www.investegate.co.uk/announcement/rns/dunelm-group--dnlm/preliminary-results/8409923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https://www.investegate.co.uk/announcement/rns/dunelm-group--dnlm/preliminary-results-/7765920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https://www.investegate.co.uk/announcement/rns/dunelm-group--dnlm/preliminary-results/7314120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trading update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https://www.investegate.co.uk/announcement/rns/dunelm-group--dnlm/fourth-quarter-and-full-year-trading-update/8983462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trading update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https://www.investegate.co.uk/announcement/rns/dunelm-group--dnlm/first-quarter-trading-statement/9188530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https://www.investegate.co.uk/announcement/rns/dunelm-group--dnlm/interim-results/9422477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trading update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https://www.investegate.co.uk/announcement/rns/dunelm-group--dnlm/fourth-quarter-and-full-year-trading-update/9671277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(Moriarty y Witts)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https://www.investegate.co.uk/announcement/rns/dunelm-group--dnlm/director-pdmr-shareholding/9197758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(Dan 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https://www.investegate.co.uk/announcement/rns/dunelm-group--dnlm/director-pdmr-shareholding/9210175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(Luisa Wright)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https://www.investegate.co.uk/announcement/rns/dunelm-group--dnlm/director-pdmr-shareholding/9225006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(Sharesave y Ajay Kavan)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https://www.investegate.co.uk/announcement/rns/dunelm-group--dnlm/director-pdmr-shareholding-amendment/9255827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PDMR Shareholding (Karen Witts)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https://www.investegate.co.uk/announcement/rns/dunelm-group--dnlm/pdmr-shareholding/9271829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(James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https://www.investegate.co.uk/announcement/rns/dunelm-group--dnlm/director-pdmr-shareholding/9283761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(Luisa Wright,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https://www.investegate.co.uk/announcement/rns/dunelm-group--dnlm/director-pdmr-shareholding/9430372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https://www.investegate.co.uk/announcement/rns/dunelm-group--dnlm/director-pdmr-shareholding/9499218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(Alison Brittain,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https://www.investegate.co.uk/announcement/rns/dunelm-group--dnlm/director-pdmr-shareholding/9559566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(Ajay Kavan,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https://www.investegate.co.uk/announcement/rns/dunelm-group--dnlm/director-pdmr-shareholding/9562924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(Alison Brittain,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(Ian 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https://www.investegate.co.uk/announcement/rns/dunelm-group--dnlm/director-pdmr-shareholding/9765887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(Ajay Kavan,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https://www.investegate.co.uk/announcement/rns/dunelm-group--dnlm/director-pdmr-shareholding/9775756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https://www.investegate.co.uk/announcement/rns/dunelm-group--dnlm/director-pdmr-shareholding/9787084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(Katharine Poulter)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https://www.investegate.co.uk/announcement/rns/dunelm-group--dnlm/director-pdmr-shareholding/9790286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(Clo Moriarty,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https://www.investegate.co.uk/announcement/rns/dunelm-group--dnlm/director-pdmr-shareholding/9796511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(DNLM): lista de anuncios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https://www.investegate.co.uk/company/DNLM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DNLM.L, ^FTMC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https://finance.yahoo.com/quote/DNLM.L/history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datos financieros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https://www.marketscreener.com/quote/stock/DUNELM-GROUP-PLC-9590221/finances/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https://www.marketscreener.com/quote/stock/DUNELM-GROUP-PLC-9590221/consensus/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and historic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https://www.marketscreener.com/quote/stock/NEXT-PLC-9590100/valuation/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B&amp;M European Value Retail: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https://www.marketscreener.com/quote/stock/B-M-EUROPEAN-VALUE-RETAIL-16686539/valuation/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Kingfisher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https://www.marketscreener.com/quote/stock/KINGFISHER-PLC-9590115/valuation/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 Factory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https://www.marketscreener.com/quote/stock/CARD-FACTORY-PLC-16490238/valuation/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https://corporate.dunelm.com/investors/financial-calendar/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Group (LON:DNLM)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https://www.marketbeat.com/stocks/LON/DNLM/forecast/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Wickes Group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https://www.marketscreener.com/quote/stock/WICKES-GROUP-PLC-122186733/valuation/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Furniture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https://www.marketscreener.com/quote/stock/DFS-FURNITURE-PLC-21163069/valuation/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Howden Joinery Group plc: datos financieros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https://www.marketscreener.com/quote/stock/HOWDEN-JOINERY-GROUP-PLC-4002136/valuation/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d'information de l'offre publique d'achat visant Fnac Darty (EP FR HoldCo)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https://bdif.amf-france.org/back/api/v1/documents/2026/226C0644/18D9F8430751A07C88629CC435BD1B602E656443C533118CC0F1100EF8BC2403.pdf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Fnac Darty: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https://www.marketscreener.com/quote/stock/FNAC-DARTY-13449504/finances/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XUDLUSS y XUDLERS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ScS Group plc by Cerezzola Limited (Rule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ScS Group plc / Poltronesofà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https://data.fca.org.uk/artefacts/NSM/RNS/4945715.html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to acquire Mattress Firm: nota de prensa y presentación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https://www.sec.gov/Archives/edgar/data/1206264/000120626423000109/a20230509tpxtoacquiremat.htm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Form 10-Q del tercer trimestre de 2021 (compra de Dreams)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Tempur Sealy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https://www.sec.gov/Archives/edgar/data/1206264/000120626421000250/tpx-20210930.htm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Dunelm posts solid FY26 results, launches new three-year growth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https://www.hl.co.uk/shares/stock-market-news/company--news/dunelm-posts-solid-fy26-results,-launches-new-threeyear-growth-plan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la Bolsa de Londres (DNLM), que cotiza en peniques; precio y valores por acción en libras (cierre del viernes 9-oct-2026, 7,995 GBP; el corte cae en sábado) [67]. El ejercicio es de 52/53 semanas, cierra a finales de junio y se nombra por el año en que termina (FY2026 = jul-25 a jun-26); FY2022 tuvo 53 semanas y FY2027 también las tendrá [1]. FY2017-FY2019 no aplican la NIIF 16 (el alquiler está dentro del EBITDA). Las cifras son las publicadas; desde FY2027 la empresa pasará a dar cifras ajustadas por las partidas del plan «Winning Hearts &amp; Homes» (30-40 M en FY2027-FY2028) [3]. Un solo segmento (NIIF 8): no hay cifras por categoría, canal en importe ni geografía. El capex del DCF suma las altas de derechos de uso de las tiendas. El puente es del 27-jun-2026; el dividendo final de 28,5 p se paga el 17-nov, después del corte [2]. Comparables y consenso de MarketScreener [68, 72, 73, 74, 75, 76, 77, 78, 79, 80]. La actualización del 1T FY27 (15-oct-2026) llega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Dunelm Group plc (DNLM)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Hoja1!$B$2:$B$10</c:f>
              <c:numCache>
                <c:formatCode>#,##0.0</c:formatCode>
                <c:ptCount val="9"/>
                <c:pt idx="0">
                  <c:v>7.07</c:v>
                </c:pt>
                <c:pt idx="1">
                  <c:v>5.9</c:v>
                </c:pt>
                <c:pt idx="2">
                  <c:v>5.52</c:v>
                </c:pt>
                <c:pt idx="3">
                  <c:v>7.31</c:v>
                </c:pt>
                <c:pt idx="4">
                  <c:v>5.95</c:v>
                </c:pt>
                <c:pt idx="5">
                  <c:v>8.26</c:v>
                </c:pt>
                <c:pt idx="6">
                  <c:v>5.51</c:v>
                </c:pt>
                <c:pt idx="7">
                  <c:v>10.5</c:v>
                </c:pt>
                <c:pt idx="8">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Hoja1!$C$2:$C$10</c:f>
              <c:numCache>
                <c:formatCode>#,##0.0</c:formatCode>
                <c:ptCount val="9"/>
                <c:pt idx="0">
                  <c:v>4.67</c:v>
                </c:pt>
                <c:pt idx="1">
                  <c:v>6.1</c:v>
                </c:pt>
                <c:pt idx="2">
                  <c:v>3.9000000000000004</c:v>
                </c:pt>
                <c:pt idx="3">
                  <c:v>2.29</c:v>
                </c:pt>
                <c:pt idx="4">
                  <c:v>1.0899999999999999</c:v>
                </c:pt>
                <c:pt idx="5">
                  <c:v>2.58</c:v>
                </c:pt>
                <c:pt idx="6">
                  <c:v>6.35</c:v>
                </c:pt>
                <c:pt idx="7">
                  <c:v>2.130000000000001</c:v>
                </c:pt>
                <c:pt idx="8">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Grupo (minorista de hogar, Reino Unido e Irlanda)</c:v>
                </c:pt>
              </c:strCache>
            </c:strRef>
          </c:tx>
          <c:spPr>
            <a:solidFill>
              <a:srgbClr val="2A78D6"/>
            </a:solidFill>
            <a:ln w="12700">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955.6</c:v>
                </c:pt>
                <c:pt idx="1">
                  <c:v>1050.1</c:v>
                </c:pt>
                <c:pt idx="2">
                  <c:v>1100.4</c:v>
                </c:pt>
                <c:pt idx="3">
                  <c:v>1057.9</c:v>
                </c:pt>
                <c:pt idx="4">
                  <c:v>1336.2</c:v>
                </c:pt>
                <c:pt idx="5">
                  <c:v>1581.4</c:v>
                </c:pt>
                <c:pt idx="6">
                  <c:v>1638.8</c:v>
                </c:pt>
                <c:pt idx="7">
                  <c:v>1706.5</c:v>
                </c:pt>
                <c:pt idx="8">
                  <c:v>1771</c:v>
                </c:pt>
                <c:pt idx="9">
                  <c:v>1825.5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(minorista de hogar, Reino Unido e Irlanda)</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gasto de los hogares a precios corrientes (ONS, COICOP 05.1 + 05.2 + 05.4,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37605</c:v>
                </c:pt>
                <c:pt idx="1">
                  <c:v>38308</c:v>
                </c:pt>
                <c:pt idx="2">
                  <c:v>44316</c:v>
                </c:pt>
                <c:pt idx="3">
                  <c:v>46712</c:v>
                </c:pt>
                <c:pt idx="4">
                  <c:v>43625</c:v>
                </c:pt>
                <c:pt idx="5">
                  <c:v>42386</c:v>
                </c:pt>
                <c:pt idx="6">
                  <c:v>42334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Dunelm</c:v>
                </c:pt>
                <c:pt idx="1">
                  <c:v>IKEA (Ingka, filial británica)</c:v>
                </c:pt>
                <c:pt idx="2">
                  <c:v>DFS Furniture</c:v>
                </c:pt>
                <c:pt idx="3">
                  <c:v>Next</c:v>
                </c:pt>
                <c:pt idx="4">
                  <c:v>B&amp;M European Value Retail</c:v>
                </c:pt>
                <c:pt idx="5">
                  <c:v>Kingfisher</c:v>
                </c:pt>
              </c:strCache>
            </c:strRef>
          </c:cat>
          <c:val>
            <c:numRef>
              <c:f>Hoja1!$B$2:$B$7</c:f>
              <c:numCache>
                <c:formatCode>0.0"%"</c:formatCode>
                <c:ptCount val="6"/>
                <c:pt idx="0">
                  <c:v>12.3</c:v>
                </c:pt>
                <c:pt idx="2">
                  <c:v>7.1</c:v>
                </c:pt>
                <c:pt idx="3">
                  <c:v>18.5</c:v>
                </c:pt>
                <c:pt idx="4">
                  <c:v>6.5</c:v>
                </c:pt>
                <c:pt idx="5">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strCache>
            </c:strRef>
          </c:cat>
          <c:val>
            <c:numRef>
              <c:f>Hoja1!$B$2:$B$18</c:f>
              <c:numCache>
                <c:formatCode>#,##0</c:formatCode>
                <c:ptCount val="17"/>
                <c:pt idx="0">
                  <c:v>955.6</c:v>
                </c:pt>
                <c:pt idx="1">
                  <c:v>1050.1</c:v>
                </c:pt>
                <c:pt idx="2">
                  <c:v>1100.4</c:v>
                </c:pt>
                <c:pt idx="3">
                  <c:v>1057.9</c:v>
                </c:pt>
                <c:pt idx="4">
                  <c:v>1336.2</c:v>
                </c:pt>
                <c:pt idx="5">
                  <c:v>1581.4</c:v>
                </c:pt>
                <c:pt idx="6">
                  <c:v>1638.8</c:v>
                </c:pt>
                <c:pt idx="7">
                  <c:v>1706.5</c:v>
                </c:pt>
                <c:pt idx="8">
                  <c:v>1771</c:v>
                </c:pt>
                <c:pt idx="9">
                  <c:v>1825.5</c:v>
                </c:pt>
                <c:pt idx="10">
                  <c:v>1889</c:v>
                </c:pt>
                <c:pt idx="11">
                  <c:v>1965</c:v>
                </c:pt>
                <c:pt idx="12">
                  <c:v>2044</c:v>
                </c:pt>
                <c:pt idx="13">
                  <c:v>2115</c:v>
                </c:pt>
                <c:pt idx="14">
                  <c:v>2179</c:v>
                </c:pt>
                <c:pt idx="15">
                  <c:v>2244</c:v>
                </c:pt>
                <c:pt idx="16">
                  <c:v>2300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strCache>
            </c:strRef>
          </c:cat>
          <c:val>
            <c:numRef>
              <c:f>Hoja1!$C$2:$C$18</c:f>
              <c:numCache>
                <c:formatCode>#,##0</c:formatCode>
                <c:ptCount val="17"/>
                <c:pt idx="0">
                  <c:v>142.2</c:v>
                </c:pt>
                <c:pt idx="1">
                  <c:v>139.6</c:v>
                </c:pt>
                <c:pt idx="2">
                  <c:v>166.3</c:v>
                </c:pt>
                <c:pt idx="3">
                  <c:v>196.2</c:v>
                </c:pt>
                <c:pt idx="4">
                  <c:v>247.2</c:v>
                </c:pt>
                <c:pt idx="5">
                  <c:v>297</c:v>
                </c:pt>
                <c:pt idx="6">
                  <c:v>278.2</c:v>
                </c:pt>
                <c:pt idx="7">
                  <c:v>295.3</c:v>
                </c:pt>
                <c:pt idx="8">
                  <c:v>305.4</c:v>
                </c:pt>
                <c:pt idx="9">
                  <c:v>313.4</c:v>
                </c:pt>
                <c:pt idx="10">
                  <c:v>312</c:v>
                </c:pt>
                <c:pt idx="11">
                  <c:v>334</c:v>
                </c:pt>
                <c:pt idx="12">
                  <c:v>358</c:v>
                </c:pt>
                <c:pt idx="13">
                  <c:v>370</c:v>
                </c:pt>
                <c:pt idx="14">
                  <c:v>381</c:v>
                </c:pt>
                <c:pt idx="15">
                  <c:v>393</c:v>
                </c:pt>
                <c:pt idx="16">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48.9</c:v>
                </c:pt>
                <c:pt idx="1">
                  <c:v>48</c:v>
                </c:pt>
                <c:pt idx="2">
                  <c:v>49.6</c:v>
                </c:pt>
                <c:pt idx="3">
                  <c:v>50.3</c:v>
                </c:pt>
                <c:pt idx="4">
                  <c:v>51.6</c:v>
                </c:pt>
                <c:pt idx="5">
                  <c:v>51.2</c:v>
                </c:pt>
                <c:pt idx="6">
                  <c:v>50.1</c:v>
                </c:pt>
                <c:pt idx="7">
                  <c:v>51.8</c:v>
                </c:pt>
                <c:pt idx="8">
                  <c:v>52.4</c:v>
                </c:pt>
                <c:pt idx="9">
                  <c:v>52.5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14.9</c:v>
                </c:pt>
                <c:pt idx="1">
                  <c:v>13.3</c:v>
                </c:pt>
                <c:pt idx="2">
                  <c:v>15.1</c:v>
                </c:pt>
                <c:pt idx="3">
                  <c:v>18.5</c:v>
                </c:pt>
                <c:pt idx="4">
                  <c:v>18.5</c:v>
                </c:pt>
                <c:pt idx="5">
                  <c:v>18.8</c:v>
                </c:pt>
                <c:pt idx="6">
                  <c:v>17</c:v>
                </c:pt>
                <c:pt idx="7">
                  <c:v>17.3</c:v>
                </c:pt>
                <c:pt idx="8">
                  <c:v>17.2</c:v>
                </c:pt>
                <c:pt idx="9">
                  <c:v>17.2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11.7</c:v>
                </c:pt>
                <c:pt idx="1">
                  <c:v>10</c:v>
                </c:pt>
                <c:pt idx="2">
                  <c:v>11.5</c:v>
                </c:pt>
                <c:pt idx="3">
                  <c:v>11</c:v>
                </c:pt>
                <c:pt idx="4">
                  <c:v>12.5</c:v>
                </c:pt>
                <c:pt idx="5">
                  <c:v>13.8</c:v>
                </c:pt>
                <c:pt idx="6">
                  <c:v>12.1</c:v>
                </c:pt>
                <c:pt idx="7">
                  <c:v>12.5</c:v>
                </c:pt>
                <c:pt idx="8">
                  <c:v>12.5</c:v>
                </c:pt>
                <c:pt idx="9">
                  <c:v>12.3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7.6</c:v>
                </c:pt>
                <c:pt idx="1">
                  <c:v>7</c:v>
                </c:pt>
                <c:pt idx="2">
                  <c:v>9.2</c:v>
                </c:pt>
                <c:pt idx="3">
                  <c:v>8.3</c:v>
                </c:pt>
                <c:pt idx="4">
                  <c:v>9.6</c:v>
                </c:pt>
                <c:pt idx="5">
                  <c:v>10.8</c:v>
                </c:pt>
                <c:pt idx="6">
                  <c:v>9.3</c:v>
                </c:pt>
                <c:pt idx="7">
                  <c:v>8.9</c:v>
                </c:pt>
                <c:pt idx="8">
                  <c:v>8.8</c:v>
                </c:pt>
                <c:pt idx="9">
                  <c:v>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5</c:v>
                </c:pt>
                <c:pt idx="1">
                  <c:v>6.1</c:v>
                </c:pt>
                <c:pt idx="2">
                  <c:v>4.5</c:v>
                </c:pt>
                <c:pt idx="3">
                  <c:v>3.8</c:v>
                </c:pt>
                <c:pt idx="4">
                  <c:v>2.4</c:v>
                </c:pt>
                <c:pt idx="5">
                  <c:v>5.2</c:v>
                </c:pt>
                <c:pt idx="6">
                  <c:v>3.6</c:v>
                </c:pt>
                <c:pt idx="7">
                  <c:v>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1</c:v>
                </c:pt>
                <c:pt idx="6">
                  <c:v>1</c:v>
                </c:pt>
                <c:pt idx="7">
                  <c:v>1</c:v>
                </c:pt>
                <c:pt idx="8">
                  <c:v>2</c:v>
                </c:pt>
                <c:pt idx="9">
                  <c:v>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124</c:v>
                </c:pt>
                <c:pt idx="1">
                  <c:v>103</c:v>
                </c:pt>
                <c:pt idx="2">
                  <c:v>104</c:v>
                </c:pt>
                <c:pt idx="3">
                  <c:v>82</c:v>
                </c:pt>
                <c:pt idx="4">
                  <c:v>97</c:v>
                </c:pt>
                <c:pt idx="5">
                  <c:v>105</c:v>
                </c:pt>
                <c:pt idx="6">
                  <c:v>94</c:v>
                </c:pt>
                <c:pt idx="7">
                  <c:v>99</c:v>
                </c:pt>
                <c:pt idx="8">
                  <c:v>98</c:v>
                </c:pt>
                <c:pt idx="9">
                  <c:v>89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59</c:v>
                </c:pt>
                <c:pt idx="1">
                  <c:v>34</c:v>
                </c:pt>
                <c:pt idx="2">
                  <c:v>41</c:v>
                </c:pt>
                <c:pt idx="3">
                  <c:v>50</c:v>
                </c:pt>
                <c:pt idx="4">
                  <c:v>39</c:v>
                </c:pt>
                <c:pt idx="5">
                  <c:v>46</c:v>
                </c:pt>
                <c:pt idx="6">
                  <c:v>42</c:v>
                </c:pt>
                <c:pt idx="7">
                  <c:v>41</c:v>
                </c:pt>
                <c:pt idx="8">
                  <c:v>41</c:v>
                </c:pt>
                <c:pt idx="9">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20.1</c:v>
                </c:pt>
                <c:pt idx="1">
                  <c:v>49.599999999999994</c:v>
                </c:pt>
                <c:pt idx="2">
                  <c:v>147.4</c:v>
                </c:pt>
                <c:pt idx="3">
                  <c:v>174.6</c:v>
                </c:pt>
                <c:pt idx="4">
                  <c:v>108.4</c:v>
                </c:pt>
                <c:pt idx="5">
                  <c:v>170.60000000000002</c:v>
                </c:pt>
                <c:pt idx="6">
                  <c:v>159.29999999999998</c:v>
                </c:pt>
                <c:pt idx="7">
                  <c:v>130.60000000000002</c:v>
                </c:pt>
                <c:pt idx="8">
                  <c:v>126.50000000000003</c:v>
                </c:pt>
                <c:pt idx="9">
                  <c:v>153.79999999999998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73.1</c:v>
                </c:pt>
                <c:pt idx="1">
                  <c:v>73.3</c:v>
                </c:pt>
                <c:pt idx="2">
                  <c:v>101.3</c:v>
                </c:pt>
                <c:pt idx="3">
                  <c:v>87.7</c:v>
                </c:pt>
                <c:pt idx="4">
                  <c:v>128.9</c:v>
                </c:pt>
                <c:pt idx="5">
                  <c:v>171.2</c:v>
                </c:pt>
                <c:pt idx="6">
                  <c:v>151.9</c:v>
                </c:pt>
                <c:pt idx="7">
                  <c:v>151.2</c:v>
                </c:pt>
                <c:pt idx="8">
                  <c:v>156.3</c:v>
                </c:pt>
                <c:pt idx="9">
                  <c:v>155.5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38.1</c:v>
                </c:pt>
                <c:pt idx="1">
                  <c:v>33.6</c:v>
                </c:pt>
                <c:pt idx="2">
                  <c:v>43.5</c:v>
                </c:pt>
                <c:pt idx="3">
                  <c:v>28.5</c:v>
                </c:pt>
                <c:pt idx="4">
                  <c:v>30.6</c:v>
                </c:pt>
                <c:pt idx="5">
                  <c:v>37.8</c:v>
                </c:pt>
                <c:pt idx="6">
                  <c:v>34.6</c:v>
                </c:pt>
                <c:pt idx="7">
                  <c:v>36.1</c:v>
                </c:pt>
                <c:pt idx="8">
                  <c:v>36.1</c:v>
                </c:pt>
                <c:pt idx="9">
                  <c:v>33.8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10.2</c:v>
                </c:pt>
                <c:pt idx="1">
                  <c:v>10.2</c:v>
                </c:pt>
                <c:pt idx="2">
                  <c:v>10.2</c:v>
                </c:pt>
                <c:pt idx="3">
                  <c:v>10.2</c:v>
                </c:pt>
                <c:pt idx="4">
                  <c:v>10.2</c:v>
                </c:pt>
                <c:pt idx="5">
                  <c:v>10.2</c:v>
                </c:pt>
                <c:pt idx="6">
                  <c:v>10.2</c:v>
                </c:pt>
                <c:pt idx="7">
                  <c:v>10.2</c:v>
                </c:pt>
                <c:pt idx="8">
                  <c:v>10.2</c:v>
                </c:pt>
                <c:pt idx="9">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66.4</c:v>
                </c:pt>
                <c:pt idx="1">
                  <c:v>59.9</c:v>
                </c:pt>
                <c:pt idx="2">
                  <c:v>63.2</c:v>
                </c:pt>
                <c:pt idx="3">
                  <c:v>48.8</c:v>
                </c:pt>
                <c:pt idx="4">
                  <c:v>56.7</c:v>
                </c:pt>
                <c:pt idx="5">
                  <c:v>74.5</c:v>
                </c:pt>
                <c:pt idx="6">
                  <c:v>96.2</c:v>
                </c:pt>
                <c:pt idx="7">
                  <c:v>109.8</c:v>
                </c:pt>
                <c:pt idx="8">
                  <c:v>121.8</c:v>
                </c:pt>
                <c:pt idx="9">
                  <c:v>116.3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0.86</c:v>
                </c:pt>
                <c:pt idx="1">
                  <c:v>0.89</c:v>
                </c:pt>
                <c:pt idx="2">
                  <c:v>0.15</c:v>
                </c:pt>
                <c:pt idx="3">
                  <c:v>1.37</c:v>
                </c:pt>
                <c:pt idx="4">
                  <c:v>0.67</c:v>
                </c:pt>
                <c:pt idx="5">
                  <c:v>1.02</c:v>
                </c:pt>
                <c:pt idx="6">
                  <c:v>1.04</c:v>
                </c:pt>
                <c:pt idx="7">
                  <c:v>1.03</c:v>
                </c:pt>
                <c:pt idx="8">
                  <c:v>1.14</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2029</c:v>
                </c:pt>
              </c:strCache>
            </c:strRef>
          </c:cat>
          <c:val>
            <c:numRef>
              <c:f>Hoja1!$B$2</c:f>
              <c:numCache>
                <c:formatCode>#,##0</c:formatCode>
                <c:ptCount val="1"/>
                <c:pt idx="0">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7.5</c:v>
                </c:pt>
                <c:pt idx="1">
                  <c:v>0</c:v>
                </c:pt>
                <c:pt idx="2">
                  <c:v>0</c:v>
                </c:pt>
                <c:pt idx="3">
                  <c:v>0</c:v>
                </c:pt>
                <c:pt idx="4">
                  <c:v>0</c:v>
                </c:pt>
                <c:pt idx="5">
                  <c:v>17.7</c:v>
                </c:pt>
                <c:pt idx="6">
                  <c:v>0</c:v>
                </c:pt>
                <c:pt idx="7">
                  <c:v>0</c:v>
                </c:pt>
                <c:pt idx="8">
                  <c:v>0.5</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51.6</c:v>
                </c:pt>
                <c:pt idx="1">
                  <c:v>53.4</c:v>
                </c:pt>
                <c:pt idx="2">
                  <c:v>54.6</c:v>
                </c:pt>
                <c:pt idx="3">
                  <c:v>106</c:v>
                </c:pt>
                <c:pt idx="4">
                  <c:v>24.3</c:v>
                </c:pt>
                <c:pt idx="5">
                  <c:v>282.1</c:v>
                </c:pt>
                <c:pt idx="6">
                  <c:v>163.3</c:v>
                </c:pt>
                <c:pt idx="7">
                  <c:v>157.6</c:v>
                </c:pt>
                <c:pt idx="8">
                  <c:v>159.4</c:v>
                </c:pt>
                <c:pt idx="9">
                  <c:v>141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c:v>
                </c:pt>
                <c:pt idx="1">
                  <c:v>0</c:v>
                </c:pt>
                <c:pt idx="2">
                  <c:v>0</c:v>
                </c:pt>
                <c:pt idx="3">
                  <c:v>0</c:v>
                </c:pt>
                <c:pt idx="4">
                  <c:v>0</c:v>
                </c:pt>
                <c:pt idx="5">
                  <c:v>28.3</c:v>
                </c:pt>
                <c:pt idx="6">
                  <c:v>7</c:v>
                </c:pt>
                <c:pt idx="7">
                  <c:v>0</c:v>
                </c:pt>
                <c:pt idx="8">
                  <c:v>14.7</c:v>
                </c:pt>
                <c:pt idx="9">
                  <c:v>15.6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Familia Adderley (grupo concertado: Sir Will, Lady Nadine, Jean y Bill Adderley y sus sociedades)</c:v>
                </c:pt>
                <c:pt idx="1">
                  <c:v>Sir Will Adderley (directa, WA Capital/Greenhill y fideicomisos)</c:v>
                </c:pt>
                <c:pt idx="2">
                  <c:v>Lady Nadine Adderley</c:v>
                </c:pt>
                <c:pt idx="3">
                  <c:v>Jean Adderley</c:v>
                </c:pt>
                <c:pt idx="4">
                  <c:v>Jupiter Fund Management</c:v>
                </c:pt>
                <c:pt idx="5">
                  <c:v>Royal London Asset Management</c:v>
                </c:pt>
                <c:pt idx="6">
                  <c:v>abrdn</c:v>
                </c:pt>
                <c:pt idx="7">
                  <c:v>JPMorgan Asset Management</c:v>
                </c:pt>
                <c:pt idx="8">
                  <c:v>Autocartera</c:v>
                </c:pt>
              </c:strCache>
            </c:strRef>
          </c:cat>
          <c:val>
            <c:numRef>
              <c:f>Hoja1!$B$2:$B$10</c:f>
              <c:numCache>
                <c:formatCode>0.0"%"</c:formatCode>
                <c:ptCount val="9"/>
                <c:pt idx="0">
                  <c:v>37.1</c:v>
                </c:pt>
                <c:pt idx="1">
                  <c:v>27.38</c:v>
                </c:pt>
                <c:pt idx="2">
                  <c:v>5.41</c:v>
                </c:pt>
                <c:pt idx="3">
                  <c:v>4.92</c:v>
                </c:pt>
                <c:pt idx="4">
                  <c:v>4.95</c:v>
                </c:pt>
                <c:pt idx="5">
                  <c:v>4.91</c:v>
                </c:pt>
                <c:pt idx="6">
                  <c:v>4.74</c:v>
                </c:pt>
                <c:pt idx="8">
                  <c:v>0.94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-14.7</c:v>
                </c:pt>
                <c:pt idx="1">
                  <c:v>-13.9</c:v>
                </c:pt>
                <c:pt idx="2">
                  <c:v>-21.9</c:v>
                </c:pt>
                <c:pt idx="3">
                  <c:v>113.7</c:v>
                </c:pt>
                <c:pt idx="4">
                  <c:v>4.9</c:v>
                </c:pt>
                <c:pt idx="5">
                  <c:v>13.8</c:v>
                </c:pt>
                <c:pt idx="6">
                  <c:v>-29.1</c:v>
                </c:pt>
                <c:pt idx="7">
                  <c:v>12.1</c:v>
                </c:pt>
                <c:pt idx="8">
                  <c:v>-2.6</c:v>
                </c:pt>
                <c:pt idx="9">
                  <c:v>5.8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3.7</c:v>
                </c:pt>
                <c:pt idx="1">
                  <c:v>14.7</c:v>
                </c:pt>
                <c:pt idx="2">
                  <c:v>-15.6</c:v>
                </c:pt>
                <c:pt idx="3">
                  <c:v>25</c:v>
                </c:pt>
                <c:pt idx="4">
                  <c:v>-6.4</c:v>
                </c:pt>
                <c:pt idx="5">
                  <c:v>14.6</c:v>
                </c:pt>
                <c:pt idx="6">
                  <c:v>-19.7</c:v>
                </c:pt>
                <c:pt idx="7">
                  <c:v>4.4</c:v>
                </c:pt>
                <c:pt idx="8">
                  <c:v>4.7</c:v>
                </c:pt>
                <c:pt idx="9">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9.4</c:v>
                </c:pt>
                <c:pt idx="1">
                  <c:v>8.2</c:v>
                </c:pt>
                <c:pt idx="2">
                  <c:v>11.4</c:v>
                </c:pt>
                <c:pt idx="3">
                  <c:v>13.8</c:v>
                </c:pt>
                <c:pt idx="4">
                  <c:v>12.4</c:v>
                </c:pt>
                <c:pt idx="5">
                  <c:v>6.7</c:v>
                </c:pt>
                <c:pt idx="6">
                  <c:v>9.2</c:v>
                </c:pt>
                <c:pt idx="7">
                  <c:v>8.4</c:v>
                </c:pt>
                <c:pt idx="8">
                  <c:v>9</c:v>
                </c:pt>
                <c:pt idx="9">
                  <c:v>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9</c:v>
                </c:pt>
                <c:pt idx="1">
                  <c:v>9</c:v>
                </c:pt>
                <c:pt idx="2">
                  <c:v>9</c:v>
                </c:pt>
                <c:pt idx="3">
                  <c:v>9</c:v>
                </c:pt>
                <c:pt idx="4">
                  <c:v>9</c:v>
                </c:pt>
                <c:pt idx="5">
                  <c:v>9</c:v>
                </c:pt>
                <c:pt idx="6">
                  <c:v>9</c:v>
                </c:pt>
                <c:pt idx="7">
                  <c:v>9</c:v>
                </c:pt>
                <c:pt idx="8">
                  <c:v>9</c:v>
                </c:pt>
                <c:pt idx="9">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Dunelm</c:v>
                </c:pt>
                <c:pt idx="1">
                  <c:v>Next</c:v>
                </c:pt>
                <c:pt idx="2">
                  <c:v>Kingfisher</c:v>
                </c:pt>
                <c:pt idx="3">
                  <c:v>B&amp;M European Value Retail</c:v>
                </c:pt>
                <c:pt idx="4">
                  <c:v>Card Factory</c:v>
                </c:pt>
                <c:pt idx="5">
                  <c:v>Wickes</c:v>
                </c:pt>
                <c:pt idx="6">
                  <c:v>DFS Furniture</c:v>
                </c:pt>
                <c:pt idx="7">
                  <c:v>Howden Joinery</c:v>
                </c:pt>
              </c:strCache>
            </c:strRef>
          </c:cat>
          <c:val>
            <c:numRef>
              <c:f>Hoja1!$B$2:$B$9</c:f>
              <c:numCache>
                <c:formatCode>0.0"x"</c:formatCode>
                <c:ptCount val="8"/>
                <c:pt idx="0">
                  <c:v>6.2</c:v>
                </c:pt>
                <c:pt idx="1">
                  <c:v>10.9</c:v>
                </c:pt>
                <c:pt idx="2">
                  <c:v>5</c:v>
                </c:pt>
                <c:pt idx="3">
                  <c:v>6.2</c:v>
                </c:pt>
                <c:pt idx="4">
                  <c:v>3.6</c:v>
                </c:pt>
                <c:pt idx="5">
                  <c:v>5.5</c:v>
                </c:pt>
                <c:pt idx="6">
                  <c:v>4.2</c:v>
                </c:pt>
                <c:pt idx="7">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Dunelm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6.2</c:v>
                </c:pt>
              </c:numCache>
            </c:numRef>
          </c:yVal>
          <c:smooth val="0"/>
        </c:ser>
        <c:ser>
          <c:idx val="1"/>
          <c:order val="1"/>
          <c:tx>
            <c:strRef>
              <c:f>Hoja1!$A$3</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5.5</c:v>
                </c:pt>
              </c:numCache>
            </c:numRef>
          </c:xVal>
          <c:yVal>
            <c:numRef>
              <c:f>Hoja1!$C$3</c:f>
              <c:numCache>
                <c:formatCode>0.0"x"</c:formatCode>
                <c:ptCount val="1"/>
                <c:pt idx="0">
                  <c:v>10.9</c:v>
                </c:pt>
              </c:numCache>
            </c:numRef>
          </c:yVal>
          <c:smooth val="0"/>
        </c:ser>
        <c:ser>
          <c:idx val="2"/>
          <c:order val="2"/>
          <c:tx>
            <c:strRef>
              <c:f>Hoja1!$A$4</c:f>
              <c:strCache>
                <c:ptCount val="1"/>
                <c:pt idx="0">
                  <c:v>Kingfisher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c:v>
                </c:pt>
              </c:numCache>
            </c:numRef>
          </c:xVal>
          <c:yVal>
            <c:numRef>
              <c:f>Hoja1!$C$4</c:f>
              <c:numCache>
                <c:formatCode>0.0"x"</c:formatCode>
                <c:ptCount val="1"/>
                <c:pt idx="0">
                  <c:v>5</c:v>
                </c:pt>
              </c:numCache>
            </c:numRef>
          </c:yVal>
          <c:smooth val="0"/>
        </c:ser>
        <c:ser>
          <c:idx val="3"/>
          <c:order val="3"/>
          <c:tx>
            <c:strRef>
              <c:f>Hoja1!$A$5</c:f>
              <c:strCache>
                <c:ptCount val="1"/>
                <c:pt idx="0">
                  <c:v>B&amp;M European Value Retail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3.6</c:v>
                </c:pt>
              </c:numCache>
            </c:numRef>
          </c:xVal>
          <c:yVal>
            <c:numRef>
              <c:f>Hoja1!$C$5</c:f>
              <c:numCache>
                <c:formatCode>0.0"x"</c:formatCode>
                <c:ptCount val="1"/>
                <c:pt idx="0">
                  <c:v>6.2</c:v>
                </c:pt>
              </c:numCache>
            </c:numRef>
          </c:yVal>
          <c:smooth val="0"/>
        </c:ser>
        <c:ser>
          <c:idx val="4"/>
          <c:order val="4"/>
          <c:tx>
            <c:strRef>
              <c:f>Hoja1!$A$6</c:f>
              <c:strCache>
                <c:ptCount val="1"/>
                <c:pt idx="0">
                  <c:v>Card Factory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4.1</c:v>
                </c:pt>
              </c:numCache>
            </c:numRef>
          </c:xVal>
          <c:yVal>
            <c:numRef>
              <c:f>Hoja1!$C$6</c:f>
              <c:numCache>
                <c:formatCode>0.0"x"</c:formatCode>
                <c:ptCount val="1"/>
                <c:pt idx="0">
                  <c:v>3.6</c:v>
                </c:pt>
              </c:numCache>
            </c:numRef>
          </c:yVal>
          <c:smooth val="0"/>
        </c:ser>
        <c:ser>
          <c:idx val="5"/>
          <c:order val="5"/>
          <c:tx>
            <c:strRef>
              <c:f>Hoja1!$A$7</c:f>
              <c:strCache>
                <c:ptCount val="1"/>
                <c:pt idx="0">
                  <c:v>Wickes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c:v>
                </c:pt>
              </c:numCache>
            </c:numRef>
          </c:xVal>
          <c:yVal>
            <c:numRef>
              <c:f>Hoja1!$C$7</c:f>
              <c:numCache>
                <c:formatCode>0.0"x"</c:formatCode>
                <c:ptCount val="1"/>
                <c:pt idx="0">
                  <c:v>5.5</c:v>
                </c:pt>
              </c:numCache>
            </c:numRef>
          </c:yVal>
          <c:smooth val="0"/>
        </c:ser>
        <c:ser>
          <c:idx val="6"/>
          <c:order val="6"/>
          <c:tx>
            <c:strRef>
              <c:f>Hoja1!$A$8</c:f>
              <c:strCache>
                <c:ptCount val="1"/>
                <c:pt idx="0">
                  <c:v>DFS Furniture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4.2</c:v>
                </c:pt>
              </c:numCache>
            </c:numRef>
          </c:yVal>
          <c:smooth val="0"/>
        </c:ser>
        <c:ser>
          <c:idx val="7"/>
          <c:order val="7"/>
          <c:tx>
            <c:strRef>
              <c:f>Hoja1!$A$9</c:f>
              <c:strCache>
                <c:ptCount val="1"/>
                <c:pt idx="0">
                  <c:v>Howden Joinery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7.9</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Fnac Darty</c:v>
                </c:pt>
                <c:pt idx="1">
                  <c:v>Ceconomy</c:v>
                </c:pt>
                <c:pt idx="2">
                  <c:v>Unieuro</c:v>
                </c:pt>
                <c:pt idx="3">
                  <c:v>ScS Group</c:v>
                </c:pt>
                <c:pt idx="4">
                  <c:v>Mattress Firm</c:v>
                </c:pt>
                <c:pt idx="5">
                  <c:v>Dreams</c:v>
                </c:pt>
              </c:strCache>
            </c:strRef>
          </c:cat>
          <c:val>
            <c:numRef>
              <c:f>Hoja1!$B$2:$B$7</c:f>
              <c:numCache>
                <c:formatCode>0.0"x"</c:formatCode>
                <c:ptCount val="6"/>
                <c:pt idx="0">
                  <c:v>5.7</c:v>
                </c:pt>
                <c:pt idx="1">
                  <c:v>4.6</c:v>
                </c:pt>
                <c:pt idx="2">
                  <c:v>5</c:v>
                </c:pt>
                <c:pt idx="4">
                  <c:v>9.3</c:v>
                </c:pt>
                <c:pt idx="5">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100</c:v>
                </c:pt>
                <c:pt idx="1">
                  <c:v>122</c:v>
                </c:pt>
                <c:pt idx="2">
                  <c:v>145</c:v>
                </c:pt>
                <c:pt idx="3">
                  <c:v>172</c:v>
                </c:pt>
                <c:pt idx="4">
                  <c:v>189</c:v>
                </c:pt>
                <c:pt idx="5">
                  <c:v>201</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784</c:v>
                </c:pt>
                <c:pt idx="1">
                  <c:v>1477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8,00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5.51</c:v>
                </c:pt>
                <c:pt idx="1">
                  <c:v>9.38</c:v>
                </c:pt>
                <c:pt idx="2">
                  <c:v>11.86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Hoja1!$B$2:$B$10</c:f>
              <c:numCache>
                <c:formatCode>#,##0.0</c:formatCode>
                <c:ptCount val="9"/>
                <c:pt idx="0">
                  <c:v>7.07</c:v>
                </c:pt>
                <c:pt idx="1">
                  <c:v>5.9</c:v>
                </c:pt>
                <c:pt idx="2">
                  <c:v>5.52</c:v>
                </c:pt>
                <c:pt idx="3">
                  <c:v>7.31</c:v>
                </c:pt>
                <c:pt idx="4">
                  <c:v>5.95</c:v>
                </c:pt>
                <c:pt idx="5">
                  <c:v>8.26</c:v>
                </c:pt>
                <c:pt idx="6">
                  <c:v>5.51</c:v>
                </c:pt>
                <c:pt idx="7">
                  <c:v>10.5</c:v>
                </c:pt>
                <c:pt idx="8">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(7,07 – 11,74)</c:v>
                </c:pt>
                <c:pt idx="1">
                  <c:v>Precio objetivo de los analistas (5,90 – 12,00)</c:v>
                </c:pt>
                <c:pt idx="2">
                  <c:v>Comparables: EV/EBITDA NTM (5,52 – 9,42)</c:v>
                </c:pt>
                <c:pt idx="3">
                  <c:v>Comparables: PER NTM (7,31 – 9,60)</c:v>
                </c:pt>
                <c:pt idx="4">
                  <c:v>Transacciones precedentes (EV/EBITDA) (5,95 – 7,04)</c:v>
                </c:pt>
                <c:pt idx="5">
                  <c:v>DCF (WACC y g ± 0,5) (8,26 – 10,84)</c:v>
                </c:pt>
                <c:pt idx="6">
                  <c:v>Escenarios (bajista – alcista) (5,51 – 11,86)</c:v>
                </c:pt>
                <c:pt idx="7">
                  <c:v>DCF con la prima implícita del mercado (4,2 %)</c:v>
                </c:pt>
                <c:pt idx="8">
                  <c:v>Precio actual (8,00)</c:v>
                </c:pt>
              </c:strCache>
            </c:strRef>
          </c:cat>
          <c:val>
            <c:numRef>
              <c:f>Hoja1!$C$2:$C$10</c:f>
              <c:numCache>
                <c:formatCode>#,##0.0</c:formatCode>
                <c:ptCount val="9"/>
                <c:pt idx="0">
                  <c:v>4.67</c:v>
                </c:pt>
                <c:pt idx="1">
                  <c:v>6.1</c:v>
                </c:pt>
                <c:pt idx="2">
                  <c:v>3.9000000000000004</c:v>
                </c:pt>
                <c:pt idx="3">
                  <c:v>2.29</c:v>
                </c:pt>
                <c:pt idx="4">
                  <c:v>1.0899999999999999</c:v>
                </c:pt>
                <c:pt idx="5">
                  <c:v>2.58</c:v>
                </c:pt>
                <c:pt idx="6">
                  <c:v>6.35</c:v>
                </c:pt>
                <c:pt idx="7">
                  <c:v>2.130000000000001</c:v>
                </c:pt>
                <c:pt idx="8">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