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Edwards Lifesciences Corporation</w:t>
      </w:r>
    </w:p>
    <w:p>
      <w:pPr>
        <w:spacing w:after="60"/>
        <w:rPr>
          <w:color w:val="52514E"/>
          <w:sz w:val="22"/>
          <w:szCs w:val="22"/>
        </w:rPr>
      </w:pPr>
      <w:r>
        <w:rPr>
          <w:color w:val="52514E"/>
          <w:sz w:val="22"/>
          <w:szCs w:val="22"/>
        </w:rPr>
        <w:t xml:space="preserve">EW · NYSE · ISIN US28176E1082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85,76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97,61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+13,8 % (base +16,0 %)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57,69 USD · mercado 63,67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49.432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Edwards Lifesciences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EW / US28176E1082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médicos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Irvine (California) · 1958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https://www.edwards.com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85,76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72,30 – 96,29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576,4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49.432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45.778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97,61 USD</w:t>
      </w:r>
      <w:r>
        <w:t xml:space="preserve"> frente a 85,76 · Rentabilidad a 12 meses </w:t>
      </w:r>
      <w:r>
        <w:rPr>
          <w:b/>
          <w:bCs/>
        </w:rPr>
        <w:t xml:space="preserve">+13,8 % (base +16,0 %)</w:t>
      </w:r>
      <w:r>
        <w:t xml:space="preserve"> · Valor intrínseco 57,69 USD · con la prima implícita del mercado: 63,67 (-25,8 %) · Alcista / bajista -22,5 % / -46,9 %</w:t>
      </w:r>
    </w:p>
    <w:p>
      <w:pPr>
        <w:spacing w:after="100"/>
      </w:pPr>
      <w:r>
        <w:rPr>
          <w:b/>
        </w:rPr>
        <w:t xml:space="preserve">La recomendación y por qué.</w:t>
      </w:r>
      <w:r>
        <w:t xml:space="preserve"> Mantener, con convicción baja. Con nuestro BPA y la regla de múltiplos v3, el objetivo a 12 meses es de 97,61 USD frente a 85,76 USD de cierre del 13 de octubre: +13,8 % ponderado y +16,0 % en el caso base, con una asimetría favorable (2,32x). El objetivo medio de los analistas (101,59 USD) queda dentro de nuestro rango. No es Comprar por dos razones: la ponderada no llega al 15 % y el valor intrínseco del DCF (57,69 USD en la síntesis) está un 33 % por debajo del precio. La convicción es baja porque las cifras de núcleo salen de extractos de búsqueda y no de los documentos completos, y porque el valor intrínseco y el objetivo a 12 meses dan señales opuestas; subiría si el 3T26 (4 de noviembre) eleva la guía y si el precio baja de ≈80 USD.</w:t>
      </w:r>
    </w:p>
    <w:p>
      <w:pPr>
        <w:spacing w:after="100"/>
      </w:pPr>
      <w:r>
        <w:rPr>
          <w:b/>
        </w:rPr>
        <w:t xml:space="preserve">El negocio.</w:t>
      </w:r>
      <w:r>
        <w:t xml:space="preserve"> Líder mundial de la válvula aórtica percutánea (TAVR), con más del 55 % del mercado y tres cuartas partes de sus 6.067,6 M USD de ventas de 2025 [3, 17]. Su ROIC contable (15,7 % en 2025, ≈22 % con el beneficio ajustado) supera al WACC del 10,15 % en 5,6 puntos. La sostenibilidad del crecimiento es «Sí»: proyectamos un 9,5 % anual en 2027-28 sin subir precios y con una cuota de TAVR estable, apoyado en la nueva cobertura de Medicare (10-sep-2026), la indicación en asintomáticos y TMTT creciendo un 45-60 % [5, 19, 23].</w:t>
      </w:r>
    </w:p>
    <w:p>
      <w:pPr>
        <w:spacing w:after="100"/>
      </w:pPr>
      <w:r>
        <w:rPr>
          <w:b/>
        </w:rPr>
        <w:t xml:space="preserve">Finanzas.</w:t>
      </w:r>
      <w:r>
        <w:t xml:space="preserve"> Las ventas aceleran (+11,5 % en 2025 y ≈15 % en el 1S26) y el BPA ajustado vuelve a crecer a dos dígitos tras un 2025 plano (2,56 USD, +5,3 %; guía de 2026 de 2,95-3,05) [4, 5]. Caja neta de ≈3.650 M a junio de 2026 y caja libre de ≈1.335 M en 2025 [10, 12]. El margen contable lleva cada año cargos (litigios, I+D comprada, JenaValve) que la empresa excluye: el contable de 2025 (1,80 USD por acción) queda lejos del ajustado.</w:t>
      </w:r>
    </w:p>
    <w:p>
      <w:pPr>
        <w:spacing w:after="100"/>
      </w:pPr>
      <w:r>
        <w:rPr>
          <w:b/>
        </w:rPr>
        <w:t xml:space="preserve">Valoración.</w:t>
      </w:r>
      <w:r>
        <w:t xml:space="preserve"> El DCF da 58,18 USD y el inverso dice que el precio descuenta un crecimiento del 14,8 % anual en 2027-35, el doble de nuestro 7,1 %, o una rentabilidad del 7,7 % frente a nuestro WACC del 10,15 %. Frente a los comparables (17,5x) Edwards cotiza con una prima del ≈50 % (26,0x), pero frente a su propia historia está barata: 26,5x nuestro BPA de 2027e frente a una mediana de 29,1x en cinco años. La regla a 12 meses recoge esto último (base 27,7x × 3,59 USD de BPA de 2028e); el DCF, lo primero. Nuestra tesis es la de 12 meses, pero la diferencia con el DCF es de tasa de descuento: si el mercado exigiera el 10 %, la acción valdría ≈58 USD.</w:t>
      </w:r>
    </w:p>
    <w:p>
      <w:pPr>
        <w:spacing w:after="100"/>
      </w:pPr>
      <w:r>
        <w:rPr>
          <w:b/>
        </w:rPr>
        <w:t xml:space="preserve">Riesgos y catalizadores.</w:t>
      </w:r>
      <w:r>
        <w:t xml:space="preserve"> El mayor riesgo es perder cuota en los hospitales nuevos que abre la cobertura de Medicare (bajista −17,7 % a 12 meses). Catalizadores con fecha: PROGRESS en TCT (3-nov), resultados del 3T26 (4-nov) y guía de 2027 en diciembre. El sentimiento de los foros es dividido y no contradice a la tesis; algunos leen la cobertura de asintomáticos como inmediata cuando aún faltan estudios aprobados [19, 46].</w:t>
      </w:r>
    </w:p>
    <w:p>
      <w:pPr>
        <w:spacing w:after="100"/>
      </w:pPr>
      <w:r>
        <w:rPr>
          <w:b/>
        </w:rPr>
        <w:t xml:space="preserve">Qué cambiaría la decisión.</w:t>
      </w:r>
      <w:r>
        <w:t xml:space="preserve"> Comprar por debajo de 57,69 USD (donde se cumplen ponderada, base y valor intrínseco) o, con confirmación de las cifras en el 10-Q y una guía de 2027 de ventas ≥ 10 %, revisar el DCF; Vender por encima de 108,46 USD. Bajaríamos el base si TAVR crece menos del 6 % a divisa constante dos trimestres seguidos.</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97,61 USD</w:t>
      </w:r>
      <w:r>
        <w:t xml:space="preserve"> (rentabilidad +13,8 % (base +16,0 %)) · Valor intrínseco: 57,69 USD (-32,7 % sobre 85,76) · con la prima implícita del mercado: 63,67 (-25,8 %)</w:t>
      </w:r>
    </w:p>
    <w:p>
      <w:pPr>
        <w:spacing w:after="100"/>
      </w:pPr>
      <w:r>
        <w:t xml:space="preserve">Edwards es el líder de la sustitución percutánea de la válvula aórtica, con más del 55 % del mercado mundial, un margen bruto ajustado del ≈78 % y caja neta de ≈3.650 M USD [3, 12, 17]. Tras vender Critical Care en 2024 es una empresa pura de corazón estructural que crece a dos dígitos: +11,5 % en 2025 y ≈15 % en el 1S26 [4, 5, 6].</w:t>
      </w:r>
    </w:p>
    <w:p>
      <w:pPr>
        <w:spacing w:after="100"/>
      </w:pPr>
      <w:r>
        <w:t xml:space="preserve">El precio (85,76 USD) descuenta, según el DCF inverso, un crecimiento del 14,8 % anual durante nueve años, o una rentabilidad del 7,7 %: exigente frente a nuestro WACC. Pero el PER adelantado (26,5x) está por debajo de la mediana de cinco años de la propia Edwards (29,1x), por primera vez desde 2019.</w:t>
      </w:r>
    </w:p>
    <w:p>
      <w:pPr>
        <w:spacing w:after="100"/>
      </w:pPr>
      <w:r>
        <w:t xml:space="preserve">Para invertir hay que creer que la nueva cobertura de Medicare y la indicación en asintomáticos mantienen a TAVR creciendo al 7-8 % y que TMTT llega a rentabilidad; entonces el BPA crece un 11-12 % anual y el múltiplo vuelve hacia su historia. El riesgo es que la competencia se lleve los hospitales nuevos [19, 24].</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 × 3,18 = 70,60 · 27,7x × 3,59 = 99,44 · 31,5x × 3,84 = 120,96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 / 16,0 %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101,59 (nuestro base -2,1 %)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 / -46,9 %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 frente a 10,2 % y 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 frente a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57,69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57,69 y 108,46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108,46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57,69 USD: Comprar (pasa las tres pruebas).</w:t>
      </w:r>
    </w:p>
    <w:p>
      <w:pPr>
        <w:pStyle w:val="ListParagraph"/>
        <w:numPr>
          <w:ilvl w:val="0"/>
          <w:numId w:val="2"/>
        </w:numPr>
        <w:spacing w:after="60"/>
      </w:pPr>
      <w:r>
        <w:t xml:space="preserve">Precio por encima de 108,46 USD: Vender o reducir.</w:t>
      </w:r>
    </w:p>
    <w:p>
      <w:pPr>
        <w:pStyle w:val="ListParagraph"/>
        <w:numPr>
          <w:ilvl w:val="0"/>
          <w:numId w:val="2"/>
        </w:numPr>
        <w:spacing w:after="60"/>
      </w:pPr>
      <w:r>
        <w:t xml:space="preserve">Crecimiento de TAVR a divisa constante por debajo del 6 % dos trimestres seguidos: rebajaríamos el base y probablemente a Vender.</w:t>
      </w:r>
    </w:p>
    <w:p>
      <w:pPr>
        <w:pStyle w:val="ListParagraph"/>
        <w:numPr>
          <w:ilvl w:val="0"/>
          <w:numId w:val="2"/>
        </w:numPr>
        <w:spacing w:after="60"/>
      </w:pPr>
      <w:r>
        <w:t xml:space="preserve">Guía de ventas de 2027 ≥ 11 % y margen operativo ajustado al alza en diciembre: subiríamos el base y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dos dígitos durante casi una década (DCF inverso: 14,8 % anual) con una rentabilidad exigida del 7,7 %, por la calidad del negocio y la opción de nuevas indicaciones (asintomáticos, estenosis moderada).</w:t>
      </w:r>
    </w:p>
    <w:p>
      <w:pPr>
        <w:keepNext/>
        <w:spacing w:after="100"/>
      </w:pPr>
      <w:r>
        <w:rPr>
          <w:b/>
          <w:bCs/>
        </w:rPr>
        <w:t xml:space="preserve">Lo que creemos nosotros.</w:t>
      </w:r>
    </w:p>
    <w:p>
      <w:pPr>
        <w:spacing w:after="100"/>
      </w:pPr>
      <w:r>
        <w:t xml:space="preserve">El crecimiento financiable es menor (9,5 % hasta 2028 y bajando), así que a nuestra tasa la acción está cara; pero a 12 meses el BPA crece un 11-12 % y el múltiplo está por debajo de su historia, lo que da un +13,8 % ponderado.</w:t>
      </w:r>
    </w:p>
    <w:p>
      <w:pPr>
        <w:keepNext/>
        <w:spacing w:after="100"/>
      </w:pPr>
      <w:r>
        <w:rPr>
          <w:b/>
          <w:bCs/>
        </w:rPr>
        <w:t xml:space="preserve">Por qué podemos tener razón.</w:t>
      </w:r>
    </w:p>
    <w:p>
      <w:pPr>
        <w:spacing w:after="100"/>
      </w:pPr>
      <w:r>
        <w:t xml:space="preserve">No tenemos una visión distinta del mercado sobre el negocio: coincidimos con el consenso en el BPA (−4 %) y en el objetivo (−2 %). Discrepamos en la tasa de descuento, y eso no es una ventaja informativa.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85,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Liderazgo en TAVR</w:t>
      </w:r>
      <w:r>
        <w:t xml:space="preserve">: más del 55 % del mercado y salida de Boston Scientific en 2025 [17, 24].</w:t>
      </w:r>
    </w:p>
    <w:p>
      <w:pPr>
        <w:pStyle w:val="ListParagraph"/>
        <w:numPr>
          <w:ilvl w:val="0"/>
          <w:numId w:val="2"/>
        </w:numPr>
        <w:spacing w:after="60"/>
      </w:pPr>
      <w:r>
        <w:rPr>
          <w:b/>
        </w:rPr>
        <w:t xml:space="preserve">Aceleración</w:t>
      </w:r>
      <w:r>
        <w:t xml:space="preserve">: ventas +15 % en el 1S26 y guía elevada tres veces en 2026 [5, 6].</w:t>
      </w:r>
    </w:p>
    <w:p>
      <w:pPr>
        <w:pStyle w:val="ListParagraph"/>
        <w:numPr>
          <w:ilvl w:val="0"/>
          <w:numId w:val="2"/>
        </w:numPr>
        <w:spacing w:after="60"/>
      </w:pPr>
      <w:r>
        <w:rPr>
          <w:b/>
        </w:rPr>
        <w:t xml:space="preserve">Catalizadores con fecha</w:t>
      </w:r>
      <w:r>
        <w:t xml:space="preserve">: cobertura de Medicare (10-sep), PROGRESS (3-nov) y 3T26 (4-nov) [19].</w:t>
      </w:r>
    </w:p>
    <w:p>
      <w:pPr>
        <w:pStyle w:val="ListParagraph"/>
        <w:numPr>
          <w:ilvl w:val="0"/>
          <w:numId w:val="2"/>
        </w:numPr>
        <w:spacing w:after="60"/>
      </w:pPr>
      <w:r>
        <w:rPr>
          <w:b/>
        </w:rPr>
        <w:t xml:space="preserve">Balance</w:t>
      </w:r>
      <w:r>
        <w:t xml:space="preserve">: caja neta de ≈3.650 M, el 7 % de la capitalización [12].</w:t>
      </w:r>
    </w:p>
    <w:p>
      <w:pPr>
        <w:pStyle w:val="ListParagraph"/>
        <w:numPr>
          <w:ilvl w:val="0"/>
          <w:numId w:val="2"/>
        </w:numPr>
        <w:spacing w:after="60"/>
      </w:pPr>
      <w:r>
        <w:rPr>
          <w:b/>
        </w:rPr>
        <w:t xml:space="preserve">Múltiplo bajo su historia</w:t>
      </w:r>
      <w:r>
        <w:t xml:space="preserve">: 26,5x frente a 29,1x de mediana en cinco años.</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DCF de 58,18 USD (−32 %).</w:t>
      </w:r>
    </w:p>
    <w:p>
      <w:pPr>
        <w:pStyle w:val="ListParagraph"/>
        <w:numPr>
          <w:ilvl w:val="0"/>
          <w:numId w:val="2"/>
        </w:numPr>
        <w:spacing w:after="60"/>
      </w:pPr>
      <w:r>
        <w:rPr>
          <w:b/>
        </w:rPr>
        <w:t xml:space="preserve">Prima frente a comparables</w:t>
      </w:r>
      <w:r>
        <w:t xml:space="preserve">: 26,0x frente a 17,5x de mediana [36].</w:t>
      </w:r>
    </w:p>
    <w:p>
      <w:pPr>
        <w:pStyle w:val="ListParagraph"/>
        <w:numPr>
          <w:ilvl w:val="0"/>
          <w:numId w:val="2"/>
        </w:numPr>
        <w:spacing w:after="60"/>
      </w:pPr>
      <w:r>
        <w:rPr>
          <w:b/>
        </w:rPr>
        <w:t xml:space="preserve">Cargos recurrentes</w:t>
      </w:r>
      <w:r>
        <w:t xml:space="preserve">: el BPA contable (1,80 USD en 2025) queda lejos del ajustado (2,56) [4].</w:t>
      </w:r>
    </w:p>
    <w:p>
      <w:pPr>
        <w:pStyle w:val="ListParagraph"/>
        <w:numPr>
          <w:ilvl w:val="0"/>
          <w:numId w:val="2"/>
        </w:numPr>
        <w:spacing w:after="60"/>
      </w:pPr>
      <w:r>
        <w:rPr>
          <w:b/>
        </w:rPr>
        <w:t xml:space="preserve">Concentración</w:t>
      </w:r>
      <w:r>
        <w:t xml:space="preserve">: TAVR es el 74 % de las ventas y la FTC cierra la vía de compras [16].</w:t>
      </w:r>
    </w:p>
    <w:p>
      <w:pPr>
        <w:pStyle w:val="ListParagraph"/>
        <w:numPr>
          <w:ilvl w:val="0"/>
          <w:numId w:val="2"/>
        </w:numPr>
        <w:spacing w:after="60"/>
      </w:pPr>
      <w:r>
        <w:rPr>
          <w:b/>
        </w:rPr>
        <w:t xml:space="preserve">Datos de núcleo de baja confianza</w:t>
      </w:r>
      <w:r>
        <w:t xml:space="preserve">: cifras de extractos de búsqueda, sin el 10-K abierto.</w:t>
      </w:r>
    </w:p>
    <w:p>
      <w:pPr>
        <w:pStyle w:val="Heading2"/>
      </w:pPr>
      <w:r>
        <w:t xml:space="preserve">Qué tiene que pasar para que la tesis funcione</w:t>
      </w:r>
    </w:p>
    <w:p>
      <w:pPr>
        <w:spacing w:after="100"/>
      </w:pPr>
      <w:r>
        <w:t xml:space="preserve">La tesis depende de que TAVR siga creciendo al 7-8 % a divisa constante con la nueva cobertura de Medicare. La señal de que no se cumple: crecimiento de TAVR por debajo del 6 % dos trimestres seguidos o una guía de ventas de 2027 por debajo del 9 % en la conferencia de diciembre.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TAVR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74 %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TMTT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 M (2T26, +44,8 %)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motor y palanca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2,95-3,05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Recorte de la guía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22x o &gt; 32x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de múltiplos supone que vuelve hacia 29x.</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47,6x / 26,0x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(2023-2025)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Edwards nace en 1958 de la colaboración entre el ingeniero Miles «Lowell» Edwards y el cirujano Albert Starr, que crearon la primera válvula cardiaca artificial de éxito comercial. Fue parte de Baxter hasta su escisión y salida a bolsa en el año 2000. Con Mike Mussallem (primer ejecutivo 2000-2023) apostó por la válvula aórtica percutánea (SAPIEN, aprobada en EE. UU. en 2011), que hoy es tres cuartas partes de las ventas. En 2023 tomó el relevo Bernard Zovighian y en 2024 vendió Critical Care a Becton Dickinson para quedarse solo con el corazón estructural [17,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primera válvula mitral Starr-Edwards (1960).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Baxter y salida a bolsa en NYSE.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SAPIEN en EE. UU. para pacientes inoperables.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SAPIEN 3 aprobada en pacientes de bajo riesgo quirúrgico: TAVR pasa a ser la opción general.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Critical Care a Becton Dickinson por ≈4.200 M USD; empresa pura de corazón estructural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FTC bloquea la compra de JenaValve (enero); la FDA aprueba SAPIEN 3 en estenosis aórtica grave asintomática y CMS amplía la cobertura de Medicare (10-sep) [19, 20, 23].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Edwards Lifesciences diseña y fabrica válvulas cardiacas y sistemas de reparación para enfermedades estructurales del corazón. Tres líneas: TAVR (sustitución percutánea de la válvula aórtica, familia SAPIEN), TMTT (terapias percutáneas mitral y tricúspide: PASCAL, EVOQUE, SAPIEN M3) y Surgical (válvulas quirúrgicas). Vende a hospitales y centros de cardiología intervencionista de EE. UU., Europa, Japón y el resto del mundo. Desde la venta de Critical Care a Becton Dickinson (sep-2024, ≈4.200 M USD) es una empresa pura de corazón estructural [1, 2, 3].</w:t>
      </w:r>
    </w:p>
    <w:p>
      <w:pPr>
        <w:pStyle w:val="Heading2"/>
      </w:pPr>
      <w:r>
        <w:t xml:space="preserve">Cómo gana dinero</w:t>
      </w:r>
    </w:p>
    <w:p>
      <w:pPr>
        <w:spacing w:after="100"/>
      </w:pPr>
      <w:r>
        <w:t xml:space="preserve">Cobra por válvula implantada: cada procedimiento consume un dispositivo de un solo uso, con precios medios estables en el mundo según la dirección [5]. TAVR pesa ≈74 % de las ventas de 2025 (≈4.500 M USD), TMTT ≈9 % (≈545 M, estimación por la guía 2026) y Surgical ≈17 % [3, 4]. El margen bruto ajustado ronda el 78 % y la empresa gasta ≈17 % de las ventas en I+D (268 M en el 4T25) y ≈38 % en gastos comerciales y generales [3]. El crecimiento depende del número de pacientes tratados (indicaciones nuevas, cobertura de Medicare, capacidad de los hospitales), no del precio. TMTT aún pierde dinero o apenas gana: su escala es la palanca del margen a medio plazo.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TAVR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TMTT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Surgical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TAVR</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TMTT</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Surgical</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r>
    </w:tbl>
    <w:p>
      <w:pPr>
        <w:spacing w:after="160" w:before="0"/>
      </w:pPr>
    </w:p>
    <w:p>
      <w:pPr>
        <w:pStyle w:val="Heading2"/>
      </w:pPr>
      <w:r>
        <w:t xml:space="preserve">Clientes, recurrencia y poder de precios</w:t>
      </w:r>
    </w:p>
    <w:p>
      <w:pPr>
        <w:spacing w:after="100"/>
      </w:pPr>
      <w:r>
        <w:t xml:space="preserve">Clientes hospitalarios muy repartidos; la demanda la decide el equipo cardiaco (cardiólogo y cirujano) y el reembolso público (Medicare en EE. UU.). El poder de precios es de mantenimiento: la dirección dice que el precio medio de TAVR fue estable en el 2T26 pese a la entrada de competidores [5]. La salida de un competidor de TAVR en el 2T25 ayudó al volumen de 2025-26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TAVR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(+10,5 %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 TAVR: 4.750-5.000 M, +8-9 % a divisa constante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TMTT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elevada a 760-780 M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2026: 2,95-3,05 USD (+17 % en el punto medio) [4, 5, 7].</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la sustitución percutánea de la válvula aórtica (TAVR/TAVI), que supone el 74 % de las ventas de Edwards, más el mercado naciente de la reparación y sustitución percutánea mitral y tricúspide (TMTT) y el de válvulas quirúrgicas, maduro. Usamos el tamaño mundial de TAVR de las firmas de estudios de mercado, que divergen: GMI da una cuota de Edwards superior al 55 % en 2025 y otra fuente prevé ≈10.000 M USD en 2029 con un crecimiento del 9,9 % anual [17, 18]. Con las ventas de TAVR de Edwards (≈4.500 M en 2025) y una cuota del 55-60 %, el mercado ronda los 7.500-8.000 M USD.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≈7.500-8.000 M USD en 2025 (estimación propia a partir de la cuota de Edwards de más del 55 % [17] y de sus ventas de TAVR); ≈10.000 M en 2029 según otra fuente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estenosis aórtica infratratada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de los pacientes con estenosis grave no se trata; el ensayo PROGRESS (estenosis moderada) tenía una edad media de 78 años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Indicaciones y cobertura nuevas (asintomáticos)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FDA aprueba SAPIEN 3 en estenosis grave asintomática (EARLY TAVR) y CMS finaliza el 10-sep-2026 la nueva cobertura: quita el registro obligatorio para los sintomáticos y cubre a los asintomáticos con evidencia en desarrollo [19, 20,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los hospitales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nueva cobertura elimina los requisitos de volumen de hospital y operador, lo que permite abrir más centros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y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(Evolut) y Abbott (Navitor) compiten; Boston Scientific salió de TAVR en 2025; precio medio estable [21, 24].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en EE. UU. (Edwards y Medtronic), con Abbott como tercero; Boston salió en 2025 [21,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Hospitales y Medicare fijan el reembolso; precios medios estables pero sin subidas.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Tejido pericárdico bovino y metales; fabricación propia.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Ensayos de miles de pacientes y años de datos de durabilidad; la FTC además bloquea la concentración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cirugía abierta pierde peso frente a TAVR; no hay fármaco que frene la estenosis.</w:t>
            </w:r>
          </w:p>
        </w:tc>
      </w:tr>
    </w:tbl>
    <w:p>
      <w:pPr>
        <w:spacing w:after="160" w:before="0"/>
      </w:pPr>
    </w:p>
    <w:p>
      <w:pPr>
        <w:pStyle w:val="Heading2"/>
      </w:pPr>
      <w:r>
        <w:t xml:space="preserve">Ciclo</w:t>
      </w:r>
    </w:p>
    <w:p>
      <w:pPr>
        <w:spacing w:after="100"/>
      </w:pPr>
      <w:r>
        <w:t xml:space="preserve">El volumen de TAVR depende de la demografía y de la cobertura, no del ciclo económico: en 2020 cayó por el aplazamiento de cirugías y se recuperó en 2021. En 2023-24 se frenó por la capacidad de los hospitales y la competencia; en 2025-26 acelera de nuevo (+8,6 % a divisa constante en 2025 y +10,5 % en el 2T26).</w:t>
      </w:r>
    </w:p>
    <w:p>
      <w:pPr>
        <w:pStyle w:val="Heading2"/>
      </w:pPr>
      <w:r>
        <w:t xml:space="preserve">Regulación</w:t>
      </w:r>
    </w:p>
    <w:p>
      <w:pPr>
        <w:spacing w:after="100"/>
      </w:pPr>
      <w:r>
        <w:t xml:space="preserve">La decisión nacional de cobertura de Medicare (NCD) finalizada el 10-sep-2026 quita la cobertura con evidencia en desarrollo (CED) a los pacientes sintomáticos, elimina los requisitos de volumen de los hospitales y cubre a los asintomáticos solo dentro de estudios CED aprobados, que aún no existen según el Colegio Americano de Cardiología [19, 20]. La FTC vigila la concentración en válvulas cardiacas (JenaValve) [16].</w:t>
      </w:r>
    </w:p>
    <w:p>
      <w:pPr>
        <w:pStyle w:val="Heading2"/>
      </w:pPr>
      <w:r>
        <w:t xml:space="preserve">Tendencias y disrupción</w:t>
      </w:r>
    </w:p>
    <w:p>
      <w:pPr>
        <w:spacing w:after="100"/>
      </w:pPr>
      <w:r>
        <w:t xml:space="preserve">Tratar antes: pacientes asintomáticos (EARLY TAVR) y estenosis moderada (PROGRESS, resultados en TCT el 3-nov-2026) [22, 23]. Mitral y tricúspide percutáneas (EVOQUE, PASCAL, SAPIEN M3) con crecimiento del 45-60 %. Edwards gana con las dos: lidera en evidencia clínica.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TAVR (más del 55 % del mercado en 2025, según GMI) [17]; líder en tricúspide percutánea (EVOQUE) y en válvulas quirúrgicas.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 (Evolut)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MDT</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TAVR con válvula autoexpandible; competidor directo en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Abbott (Navitor)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ABT</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Tercero en TAVR y líder en reparación mitral (MitraClip), rival de PASCAL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BSX</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Salió de TAVR en 2025 (ACURATE): la salida ayudó al volumen de Edwards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Meril Life Sciences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Válvulas de bajo coste en India y mercados emergentes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Formación de equipos cardiacos y datos de registro: efecto débil.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equipos cardiacos se forman en un sistema (balón expandible) y cambian poco.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Evidencia clínica de 10 años de durabilidad de SAPIEN y ensayos que abren indicaciones (EARLY TAVR, PROGRESS); litigios de patentes ganados [6,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ajustado ≈78 %, pero sin ventaja de costes clara frente a Medtronic.</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Duopolio de hecho; un tercer entrante (Boston) se retiró tras años de pérdidas [8].</w:t>
            </w:r>
          </w:p>
        </w:tc>
      </w:tr>
    </w:tbl>
    <w:p>
      <w:pPr>
        <w:spacing w:after="160" w:before="0"/>
      </w:pPr>
    </w:p>
    <w:p>
      <w:pPr>
        <w:pStyle w:val="Heading2"/>
      </w:pPr>
      <w:r>
        <w:t xml:space="preserve">Amenazas</w:t>
      </w:r>
    </w:p>
    <w:p>
      <w:pPr>
        <w:spacing w:after="100"/>
      </w:pPr>
      <w:r>
        <w:t xml:space="preserve">La amenaza principal es que Medtronic o Abbott ganen cuota con datos clínicos mejores en anillos pequeños o con precio en los centros nuevos que abre la cobertura de Medicare. Probabilidad media a cinco años. La regulación antimonopolio cierra a Edwards la vía de comprar tecnologías adyacentes (JenaValve)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2023-2025: ingresos </w:t>
      </w:r>
      <w:r>
        <w:rPr>
          <w:b/>
          <w:bCs/>
        </w:rPr>
        <w:t xml:space="preserve">10,0 %</w:t>
      </w:r>
      <w:r>
        <w:t xml:space="preserve">, EBITDA </w:t>
      </w:r>
      <w:r>
        <w:rPr>
          <w:b/>
          <w:bCs/>
        </w:rPr>
        <w:t xml:space="preserve">-0,6 %</w:t>
      </w:r>
      <w:r>
        <w:t xml:space="preserve">, BPA </w:t>
      </w:r>
      <w:r>
        <w:rPr>
          <w:b/>
          <w:bCs/>
        </w:rPr>
        <w:t xml:space="preserve">-5,1 %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Ventas de operaciones continuadas de 5.010 M en 2023, 5.439,5 M en 2024 (+8,6 %) y 6.067,6 M en 2025 (+11,5 %; +10,7 % a divisa constante), todo orgánico [2, 3, 4, 7]. TAVR crece un 8,6 % a divisa constante en 2025 y TMTT más de un 40 % [3]. El margen operativo contable cae del 26,1 % en 2023 al 20,8 % en 2025 por cargos que la empresa excluye de su cifra ajustada (litigios, I+D en curso comprada, valor de participaciones, JenaValve) [1, 16]; en ajustado, el BPA pasa de 2,43 USD a 2,56 (+5,3 %), por debajo de las ventas por más gasto comercial y de I+D [4, 7]. En el 1S26 las ventas crecen ≈15 % y el BPA ajustado es de 0,78 USD en cada trimestre (frente a 0,64-0,67 en 2025) [5, 6].</w:t>
      </w:r>
    </w:p>
    <w:p>
      <w:pPr>
        <w:pStyle w:val="Heading2"/>
      </w:pPr>
      <w:r>
        <w:t xml:space="preserve">Ajustes y partidas no recurrentes</w:t>
      </w:r>
    </w:p>
    <w:p>
      <w:pPr>
        <w:spacing w:after="100"/>
      </w:pPr>
      <w:r>
        <w:t xml:space="preserve">Usamos cifras contables de operaciones continuadas en la cuenta y el BPA ajustado de la empresa para el objetivo a 12 meses y el PER histórico (2,43 USD en 2024 y 2,56 en 2025) [4, 7]. La diferencia entre los dos (≈0,75 USD por acción en 2025) son cargos de litigios, amortización de intangibles comprados, I+D en curso adquirida y ajustes de valor de participaciones; se repiten casi todos los años, así que no son del todo extraordinarios. Las amortizaciones de 2023-2025 son estimación propia (≈2,6 % de las ventas, con 166 M en los 12 meses a jun-26 según MarketScreener). El BPA continuado y las acciones diluidas se derivan del beneficio y del BPA total publicados (2,30, 6,97 y 1,83 USD) [13].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2T26 (23-jul) la dirección subió la guía de ventas a divisa constante al 10-11 % (antes 9-11 %), la de TAVR al 8-9 % (4.750-5.000 M) y la de TMTT a 760-780 M, y mantuvo el BPA ajustado en 2,95-3,05 USD pese a un tipo impositivo más alto (16-19 %) por el cambio del crédito fiscal de I+D de California [5, 14]. Atribuyó parte del crecimiento de TAVR a la salida de un competidor en el 2T25 y a los datos de durabilidad a largo plazo de SAPIEN, y dijo que los precios medios siguen estables [5]. Frente al 1T26 (23-abr), cuando ya subió la guía tras un trimestre del +16,7 %, el discurso pasó de «aceleración» a «cobertura y capacidad»: las preguntas de los analistas se centraron en el calendario de la nueva cobertura de Medicare (decisión final el 10-sep), en cuánto volumen añade en 2027 y en si el margen de TMTT mejora [6, 14]. La dirección no dio cifras de 2027. El 4T25 había fallado en BPA (0,58 frente a 0,62 de consenso) por gasto en I+D y comercial [4]. Ventas de 1T-3T25 calculadas por diferencia con el crecimiento publicado (estimación propia).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Venta de Critical Care a Becton Dickinson (cerrada el 3-sep-2024, ≈4.200 M USD): la cuenta se presenta como operaciones continuadas desde 2022; el balance de 2023 todavía la incluye.).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Balance con caja neta de ≈3.650 M a junio de 2026 (≈6,3 USD por acción) tras cobrar los ≈4.200 M de Critical Care en 2024 y recomprar ≈885 M de acciones en 2025 (11,7 M de acciones, 750 M en recompra acelerada) [1, 12]. El circulante pesa: existencias de 1.126 M y clientes de 660 M a cierre de 2025, ≈29 % de las ventas, propio de un fabricante de dispositivos con inventario en consigna en los hospitales [8]. Los balances de 2023 y 2024 vienen del 10-K 2024 y del informe anual; el de 2025, de un agregador (Capital IQ vía Fintel) salvo caja, clientes y existencias [8, 9, 15].</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2023-2025: FCF </w:t>
      </w:r>
      <w:r>
        <w:rPr>
          <w:b/>
          <w:bCs/>
        </w:rPr>
        <w:t xml:space="preserve">2.268</w:t>
      </w:r>
      <w:r>
        <w:t xml:space="preserve">, conversión </w:t>
      </w:r>
      <w:r>
        <w:rPr>
          <w:b/>
          <w:bCs/>
        </w:rPr>
        <w:t xml:space="preserve">62 %</w:t>
      </w:r>
      <w:r>
        <w:t xml:space="preserve"> del beneficio neto; adquisiciones 0, dividendos 0, recompras 885.</w:t>
      </w:r>
    </w:p>
    <w:p>
      <w:pPr>
        <w:spacing w:after="100"/>
      </w:pPr>
      <w:r>
        <w:t xml:space="preserve">El flujo operativo de 2024 (542 M) está deprimido por los impuestos de la plusvalía de Critical Care, que se cobró en desinversiones (≈4.200 M, cifra de la operación) [10, 11]. 2025 es el primer año limpio: 1.595 M de flujo operativo y 260 M de capex dejan ≈1.335 M de caja libre, el 22 % de las ventas y ≈126 % del beneficio contable continuado (1.056 M) [10, 11]. El capex (4,3 % de las ventas) es sobre todo de capacidad de fabricación de válvulas (Irvine, Singapur, Costa Rica, Irlanda): estimamos que la mitad es de mantenimiento (≈amortizaciones). La empresa no paga dividendo; las recompras absorben la caja (884,7 M en 2025 y autorización pendiente de 2.000 M) [1]. Las recompras de 2023-2024 no aparecieron en la búsqueda (hueco).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ajustadas de la empresa excluyen cada año cargos que se repiten (litigios de patentes, I+D en curso adquirida, cambios de valor de contraprestaciones contingentes y de participaciones en start-ups): en 2025 la distancia entre BPA ajustado (2,56) y contable continuado (≈1,80) fue de ≈0,75 USD [4, 13]. Tratamos parte de esos cargos como recurrentes: por eso el margen EBITDA del DCF queda por debajo del margen operativo ajustado más amortizaciones. La remuneración en acciones (168 M en los 12 meses a jun-26, ≈2,6 % de las ventas) se trata como gasto. El I+D se lleva a gastos (no se capitaliza), lo que deprime el ROIC contable frente al económico. Los indicadores del motor (Altman, Piotroski, Beneish) salen incompletos porque faltan partidas del balance (circulante, reservas); no se interpretan. El auditor (PwC) es nombre de memoria del analista, sin proxy abierto: a confirmar.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recurrentes al BPA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de litigios e I+D comprada casi todos los años; el ajustado sobrestima el beneficio recurrente en ≈5-10 %.</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2024 distorsionado por la venta de Critical Care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Impuestos de la plusvalía en el flujo operativo y el cobro en inversión: no comparar 2024 con otros años.</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-11,4 % · </w:t>
      </w:r>
      <w:r>
        <w:rPr>
          <w:b/>
          <w:bCs/>
        </w:rPr>
        <w:t xml:space="preserve">WACC</w:t>
      </w:r>
      <w:r>
        <w:t xml:space="preserve">: 10,2 %.</w:t>
      </w:r>
    </w:p>
    <w:p>
      <w:pPr>
        <w:spacing w:after="100"/>
      </w:pPr>
      <w:r>
        <w:t xml:space="preserve">El ROIC (NOPAT contable sobre capital invertido sin la caja) fue del 20,5 % en 2023, del 20,1 % en 2024 y del 15,7 % en 2025, por encima del WACC del 10,15 % en 5,6 puntos en el último año. La caída de 2025 es contable: cargos de litigios y de JenaValve que la empresa excluye de su cifra ajustada; con el beneficio ajustado el ROIC ronda el 22 %. El ROIC incremental de 2025 sale negativo y no se interpreta: el capital invertido cambió con la venta de Critical Care. El I+D (≈17 % de las ventas) va a gastos, lo que infravalora el capital y sobrevalora el ROIC frente a una empresa que lo capitaliza. Frente a los comparables (mediana de ROIC del 16,9 %), Edwards está en la media con el beneficio contable y por encima con el ajustado [36].</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2.907 M e inversiones a corto plazo de 1.346 M a 30-jun-2026 (4.253 M), frente a 598,7 M de deuda a largo plazo [12].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La deuda es un único bono de ≈600 M al 4,3 % con vencimiento en 2028 (cupón y vencimiento de memoria del analista, sin documento abierto: dato a confirmar en la nota de deuda del 10-K) [1]. Los pasivos relevantes son contingencias: litigios de patentes (la empresa registra cargos casi cada año), y la ruptura del acuerdo de JenaValve tras la orden judicial que pidió la FTC (enero de 2026) [16]. No hay pensiones relevantes.</w:t>
      </w:r>
    </w:p>
    <w:p>
      <w:pPr>
        <w:pStyle w:val="Heading1"/>
      </w:pPr>
      <w:r>
        <w:t xml:space="preserve">12. Asignación de capital</w:t>
      </w:r>
    </w:p>
    <w:p>
      <w:pPr>
        <w:pStyle w:val="Confianza"/>
        <w:spacing w:after="100"/>
      </w:pPr>
      <w:r>
        <w:t xml:space="preserve">Confianza: Media</w:t>
      </w:r>
    </w:p>
    <w:p>
      <w:pPr>
        <w:spacing w:after="100"/>
      </w:pPr>
      <w:r>
        <w:t xml:space="preserve">Sin dividendo. Prioridades declaradas: inversión en I+D (≈17 % de las ventas), compras pequeñas de tecnología estructural cardiaca y recompras. En 2025 recompró 11,7 M de acciones por 884,7 M (750 M en recompra acelerada) y le quedan 2.000 M de autorización [1]. La venta de Critical Care (≈4.200 M, 2024) financió la estrategia de empresa pura de corazón estructural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JenaValve (acuerdo de compra; válvula aórtica para insuficiencia)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Bloqueada: la FTC demandó en agosto de 2025 y el juez concedió la medida cautelar en enero de 2026; Edwards renunció a la compra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Critical Care a Becton Dickinson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3-sep-2024; la caja financió recompras y deja ≈3.650 M de caja neta [2, 12].</w:t>
            </w:r>
          </w:p>
        </w:tc>
      </w:tr>
    </w:tbl>
    <w:p>
      <w:pPr>
        <w:spacing w:after="160" w:before="0"/>
      </w:pPr>
    </w:p>
    <w:p>
      <w:pPr>
        <w:spacing w:after="100"/>
      </w:pPr>
      <w:r>
        <w:t xml:space="preserve">Asignación de capital prudente pero poco eficiente: la caja neta (≈7 % de la capitalización) rinde menos que el negocio, y las recompras de 2025 se hicieron a precios de 70-85 USD, por debajo de nuestro valor a 12 meses. La compra de JenaValve, que habría dado a Edwards la primera válvula percutánea aprobada para insuficiencia aórtica, la bloqueó la FTC por concentración [16]: la vía de crecer comprando dentro de TAVR está cerrada, y queda la orgánica (TMTT, indicaciones nuevas).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Zovighian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antes el negocio de TMTT de Edwards, que pasó de casi nada a más de 500 M USD de ventas. Desde que es primer ejecutivo ha vendido Critical Care, acelerado TMTT y llevado el crecimiento de las ventas del 8,6 % (2024) al 11,5 % (2025)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Scott Ullem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desde 2014; un directorio de directivos menciona una transición prevista en 2026, sin sucesor confirmado en las fuentes leídas [26].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operaciones continuadas guiado en el rango alto tras la venta de Critical Care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2,43 USD; ventas +8,6 %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TAVR 4.300-4.500 M (guía de mitad de año); TMTT 500-530 M (guía inicial)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TAVR ≈4.500 M; TMTT ≈545 M (estimación); BPA ajustado 2,56 USD, 1,2 % bajo el consenso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2,80-2,95 USD (dic-2025), elevado a 2,90-3,05 (ene) y 2,95-3,05 (abr); ventas +8-10 % elevadas a +10-11 %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con BPA ajustado de 1,56 USD y ventas +15 %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Dirección creíble en ventas: ha subido la guía de 2026 tres veces. En beneficio, falló el 4T25 por gasto. El relevo del director financiero, si se confirma, es el principal punto a vigilar. No pudimos leer el proxy de 2026 (sin red) para las participaciones de los directivos.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Daniel Lippis (vicepresidente)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proxy de 2026 (DEF 14A, 26-mar-2026) describe una política de pago por resultados ligada a la estrategia a largo plazo y somete la remuneración a voto consultivo en la junta de mayo [25]. No pudimos leer las tablas de remuneración ni el resultado del voto (sin acceso a sec.gov).</w:t>
      </w:r>
    </w:p>
    <w:p>
      <w:pPr>
        <w:pStyle w:val="Heading2"/>
      </w:pPr>
      <w:r>
        <w:t xml:space="preserve">Operaciones vinculadas, estructura de control y defensas</w:t>
      </w:r>
    </w:p>
    <w:p>
      <w:pPr>
        <w:spacing w:after="100"/>
      </w:pPr>
      <w:r>
        <w:t xml:space="preserve">Capital disperso sin accionista de control, una sola clase de acciones. Según la prensa, Mike Mussallem dejó la presidencia en 2024 y le sucedió un consejero independiente (Nicholas Valeriani); no está confirmado con el proxy de 2026 [27].</w:t>
      </w:r>
    </w:p>
    <w:p>
      <w:pPr>
        <w:pStyle w:val="Heading2"/>
      </w:pPr>
      <w:r>
        <w:t xml:space="preserve">Señales de alerta</w:t>
      </w:r>
    </w:p>
    <w:p>
      <w:pPr>
        <w:pStyle w:val="ListParagraph"/>
        <w:numPr>
          <w:ilvl w:val="0"/>
          <w:numId w:val="2"/>
        </w:numPr>
        <w:spacing w:after="60"/>
      </w:pPr>
      <w:r>
        <w:t xml:space="preserve">Posible relevo del director financiero en 2026, sin sucesor confirmado en las fuentes leídas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(confirmada y subida el 23-jul-2026): ventas +10-11 % a divisa constante (antes 9-11 %), 6.600-6.900 M; TAVR 4.750-5.000 M (+8-9 % a divisa constante); TMTT 760-780 M; BPA ajustado 2,95-3,05 USD (+17 % en el punto medio) con un tipo impositivo del 16-19 % [5, 33]. No hay guía pública de 2027; la empresa la suele dar en su conferencia de inversores de diciembre. Resultados del 3T26 el 4-nov-2026 y acto con inversores en TCT el 2-nov, con los datos del ensayo PROGRESS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28 analistas, 6-oct-2026 [38]; ventas: punto medio aproximado de la guía</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(BPA, 6-oct) [38]; Yahoo Finance (ventas, 30 analistas, feb-2026)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81,00 – 110,00</w:t>
            </w:r>
          </w:p>
        </w:tc>
      </w:tr>
    </w:tbl>
    <w:p>
      <w:pPr>
        <w:spacing w:after="160" w:before="0"/>
      </w:pPr>
    </w:p>
    <w:p>
      <w:pPr>
        <w:pStyle w:val="Heading2"/>
      </w:pPr>
      <w:r>
        <w:t xml:space="preserve">Revisiones de estimaciones</w:t>
      </w:r>
    </w:p>
    <w:p>
      <w:pPr>
        <w:spacing w:after="100"/>
      </w:pPr>
      <w:r>
        <w:t xml:space="preserve">El BPA de 2027e subió de 3,30 USD (Yahoo, febrero) a 3,38 (Stock Analysis, octubre) tras dos trimestres por encima de lo esperado [32, 38]. Los objetivos subieron en julio-octubre: UBS inició en Comprar con 110 USD (28-jul) y lo reiteró en octubre, Leerink subió a Outperform con 101 USD y Bernstein subió a 99 USD manteniendo Market Perform [30, 31, 43]. El objetivo medio pasa de ≈96,5 USD en febrero a 101,6 USD en octubre. Solo encontramos una fuente con estimaciones completas; el objetivo y las recomendaciones se contrastan con Benzinga y StreetInsider.</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El PER adelantado (cierre del año ÷ BPA ajustado del siguiente) pasó de 41x en 2020 y 52x en 2021 a 28,5-29,7x en 2022-2025 [34, 35, 42]: el mercado dejó de pagar la prima de crecimiento cuando TAVR se frenó en 2023-24 (un dígito medio) y no la ha devuelto con la aceleración de 2025-26. Hoy cotiza a 26,5x nuestro BPA de 2027e, un 9 % por debajo de su mediana de cinco años (29,1x): es la primera vez desde 2019 que está por debajo de su rango reciente. Los PER de los últimos 12 meses que calcula el motor sobre el BPA contable (con cargos) no son comparables y no se usan.</w:t>
      </w:r>
    </w:p>
    <w:p>
      <w:pPr>
        <w:pStyle w:val="Heading1"/>
      </w:pPr>
      <w:r>
        <w:t xml:space="preserve">18. Comparables cotizados</w:t>
      </w:r>
    </w:p>
    <w:p>
      <w:pPr>
        <w:pStyle w:val="Confianza"/>
        <w:spacing w:after="100"/>
      </w:pPr>
      <w:r>
        <w:t xml:space="preserve">Confianza: Media</w:t>
      </w:r>
    </w:p>
    <w:p>
      <w:pPr>
        <w:spacing w:after="100"/>
      </w:pPr>
      <w:r>
        <w:t xml:space="preserve">Fabricantes estadounidenses de tecnología médica de gran capitalización con los que compite por el capital de los mismos fondos: Medtronic, Abbott y Boston Scientific (también rivales en corazón estructural), Stryker y Zimmer, Intuitive (crecedor de calidad), Dexcom, Insulet, IDEXX y ResMed (consumible recurrente). Cifras del informe de Intuitive del repo a 6-oct-2026 (MarketScreener y Stock Analysis), sin cambios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Abbott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Dexcom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Insulet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ResMed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Zimmer Biomet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Intuitive Surgical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 / 14,8x / 16,3x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17,5x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 / 4,2x / 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Edwards cotiza a 26,0x el BPA de los próximos 12 meses frente a una mediana de 17,5x de los grandes de tecnología médica, con un crecimiento parecido (11,7 % frente a 11,5 % de mediana) y un margen EBITDA similar [36]. La prima (≈50 %) no la explican el crecimiento ni el margen: es la duración del crecimiento de TAVR y la caja neta. Solo Intuitive (39,2x), IDEXX (31,6x) y Dexcom (27,7x) cotizan más caros. Los comparables (57,56 USD por acción en la mediana del PER) dicen cuánto valdría Edwards como un líder maduro; por eso pesan solo un 10 % en la síntesis. Las cifras son del 6-oct (informe de Intuitive) y no se han actualizado al 13-oct.</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Penumbra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Trombectomía y vascular. 374 USD por acción (73 % en efectivo, 27 % en acciones de BSX); EV ≈ 14.500 M; ventas 2025 ≈ 1.400 M (+17,3 %-17,5 %). Prima frente al cierre del 14-ene-2026 (313,43 USD). Cierre previsto en 2026.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Exact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Abbott Laboratories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oncológico. 105 USD por acción en efectivo; precio de las acciones 21.000 M y EV ≈ 23.000 M; ventas 2025 estimadas 3.220-3.235 M (punto medio). Cierre previsto en el 2T26.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Monogram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Zimmer Biomet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Robótica ortopédica semiautónoma (rodilla). 4,04 USD por acción en efectivo, EV ≈ 168 M, más CVR de hasta 12,37 USD por acción; sin ventas significativas.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Paragon 28</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Zimmer Biomet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 y tobillo. 13,00 USD por acción en efectivo más CVR de hasta 1,00 USD; precio de las acciones ≈ 1.100 M y EV ≈ 1.200 M; ventas 2024 de 255,9-256,2 M (+18 %).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Inari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Trombectomía venosa. 80 USD por acción en efectivo; valor de las acciones totalmente diluido ≈ 4.900 M. EV y ventas de 12 meses a sep-2024 calculados con las cuentas de Inari: caja e inversiones 111,5 M, sin deuda; ventas 574,5 M (estimación propia).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Silk Road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Revascularización carotídea (TCAR). 27,50 USD por acción en efectivo; valor de las acciones ≈ 1.260 M; prima del 38 % sobre la media ponderada de 60 días. EV y ventas de 12 meses a mar-2024 con las cuentas de Silk Road: caja e inversiones 174,4 M, deuda 75,9 M, ventas 185,5 M (estimación propia).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Shockwave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Litotricia intravascular. 335 USD por acción en efectivo; EV ≈ 13.100 M incluida la caja; ventas 2023 de 730,2 M.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Neuromodulación sacra (urología). 71 USD por acción en efectivo; valor de las acciones ≈ 3.700 M y EV ≈ 3.400 M; ventas 2023 ≈ 366 M (+34 %).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Abiomed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Asistencia cardiaca (Impella). 380 USD por acción en efectivo más CVR de hasta 35 USD; EV ≈ 16.600 M incluida la caja; ventas del ejercicio a mar-2022 de 1.031,8 M.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JenaValve (y Endotronix)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Bloqueada por la FTC (medida cautelar de enero de 2026); importe no publicado en las fuentes leídas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84,45 – 139,59</w:t>
            </w:r>
          </w:p>
        </w:tc>
      </w:tr>
    </w:tbl>
    <w:p>
      <w:pPr>
        <w:spacing w:after="160" w:before="0"/>
      </w:pPr>
    </w:p>
    <w:p>
      <w:pPr>
        <w:spacing w:after="100"/>
      </w:pPr>
      <w:r>
        <w:t xml:space="preserve">Las compras de tecnología médica de crecimiento se pagan a 6-18 veces las ventas (Shockwave 17,9x, Abiomed 16,1x, Penumbra 10,4x) [36]. Edwards no es objetivo plausible: capitalización de ≈50.000 M y un comprador natural (Medtronic, Abbott, Boston) chocaría con la FTC, que ya bloqueó la compra de JenaValve por la propia Edwards [37]. Las transacciones no pesan en la valoración.</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+12,0 % (fijo): 1S26 +15 % y guía de +10-11 % a divisa constante con la divisa a favor [5, 6]. 2027-28e +9,5 % anual: TAVR +7-8 % (nueva cobertura de Medicare sin requisitos de volumen de los hospitales, más el efecto de EARLY TAVR) y TMTT +30-40 % sobre una base de ≈770 M [5, 19]. El consenso da 7.320 M en 2027e (+8 %); nosotros 7.441 M (+1,7 %) [32]. Después baja de forma lineal hasta el 3,5 % en 2035e, cerca del terminal: TAVR madura y TMTT pasa a crecer al ritmo del mercado.</w:t>
      </w:r>
    </w:p>
    <w:p>
      <w:pPr>
        <w:keepNext/>
        <w:spacing w:after="100"/>
      </w:pPr>
      <w:r>
        <w:rPr>
          <w:b/>
          <w:bCs/>
        </w:rPr>
        <w:t xml:space="preserve">Márgenes.</w:t>
      </w:r>
    </w:p>
    <w:p>
      <w:pPr>
        <w:spacing w:after="100"/>
      </w:pPr>
      <w:r>
        <w:t xml:space="preserve">Margen EBITDA contable (con remuneración en acciones y con parte de los cargos de litigios y de I+D comprada, que se repiten): 23,4 % en 2025 con los cargos de JenaValve y litigios y 30,7 % en los 12 meses a junio de 2026 [3, 36]. Proyectamos el 31 % en 2026e (BPA de 2,92 USD frente a la guía ajustada de 2,95-3,05) y una subida hasta el 33 % en 2030e por la escala de TMTT, hoy con margen bajo. El margen operativo ajustado del 4T25 fue del 23,7 % y el de la guía de 2026, mayor [3].</w:t>
      </w:r>
    </w:p>
    <w:p>
      <w:pPr>
        <w:keepNext/>
        <w:spacing w:after="100"/>
      </w:pPr>
      <w:r>
        <w:rPr>
          <w:b/>
          <w:bCs/>
        </w:rPr>
        <w:t xml:space="preserve">Inversión y circulante.</w:t>
      </w:r>
    </w:p>
    <w:p>
      <w:pPr>
        <w:spacing w:after="100"/>
      </w:pPr>
      <w:r>
        <w:t xml:space="preserve">Capex del 4,3 % de las ventas hasta 2028e (260 M en 2025, ampliación de fábricas) y 3,8 % después; amortización del 2,6 % (estimación). Circulante del 29 % de las ventas: existencias (1.126 M) y clientes (660 M) a cierre de 2025 sobre ventas de 6.068 M [8]. El I+D (≈17 % de las ventas) va dentro del margen como gasto.</w:t>
      </w:r>
    </w:p>
    <w:p>
      <w:pPr>
        <w:keepNext/>
        <w:spacing w:after="100"/>
      </w:pPr>
      <w:r>
        <w:rPr>
          <w:b/>
          <w:bCs/>
        </w:rPr>
        <w:t xml:space="preserve">Coste del capital.</w:t>
      </w:r>
    </w:p>
    <w:p>
      <w:pPr>
        <w:spacing w:after="100"/>
      </w:pPr>
      <w:r>
        <w:t xml:space="preserve">Tasa libre del 5,22 % (bono del Tesoro a 10 años del 13-oct) [41], beta de 1,0 (ninguna beta de fuente primaria disponible; la de los grandes de tecnología médica ronda 0,8-1,1), prima de mercado del 5,0 % y sin prima adicional. Deuda testimonial (598,7 M frente a 49.432 M de capitalización): coste del 4,3 % y peso del 1 %. WACC del 10,15 %. Con la prima implícita del mercado (4,20 %) [40], el WACC baja al 9,4 %. La recomendación depende poco de la beta porque la manda la regla a 12 meses.</w:t>
      </w:r>
    </w:p>
    <w:p>
      <w:pPr>
        <w:keepNext/>
        <w:spacing w:after="100"/>
      </w:pPr>
      <w:r>
        <w:rPr>
          <w:b/>
          <w:bCs/>
        </w:rPr>
        <w:t xml:space="preserve">Valor terminal.</w:t>
      </w:r>
    </w:p>
    <w:p>
      <w:pPr>
        <w:spacing w:after="100"/>
      </w:pPr>
      <w:r>
        <w:t xml:space="preserve">Crecimiento a perpetuidad del 3,0 %: inflación en USD (≈2,5 %) y algo de volumen por envejecimiento; por debajo de la tasa libre menos medio punto. El valor terminal pesa un 57 % del valor. El múltiplo de salida de contraste (18x EBITDA) es el de los grandes de tecnología médica con crecimiento parecido.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3.159 M (13 % del NOPAT)</w:t>
            </w:r>
          </w:p>
        </w:tc>
      </w:tr>
    </w:tbl>
    <w:p>
      <w:pPr>
        <w:spacing w:after="160" w:before="0"/>
      </w:pPr>
    </w:p>
    <w:p>
      <w:pPr>
        <w:spacing w:after="100"/>
      </w:pPr>
      <w:r>
        <w:t xml:space="preserve">La proyección apenas necesita inversión neta de la amortización (reinversión acumulada de 3.159 M, el 13 % del NOPAT, con un capex bruto medio del 3,9 % de las ventas). En un negocio de activos ligeros, el crecimiento medio del 7,6 %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procedimientos de TAVR (+8-9 % a divisa constante en la guía) y TMTT (+40 %); precio medio estable según la dirección; 1,5 puntos de divisa a favor en el 1S26 [5,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primer año completo de la nueva cobertura de Medicare (sin requisitos de volumen de hospital ni registro obligatorio en sintomáticos) y de la indicación en asintomáticos [19, 20]; TMTT +30-35 %.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TAVR +7 % y TMTT +30 %; sin subidas de precio (el reembolso de Medicare limita el precio).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estenosis moderada si PROGRESS es positivo (resultados el 3-nov-2026), que no está en el caso base más allá de un punto.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TAVR madura hacia el crecimiento del mercado (≈7-8 %) y TMTT hacia el 20 %.</w:t>
            </w:r>
          </w:p>
        </w:tc>
      </w:tr>
    </w:tbl>
    <w:p>
      <w:pPr>
        <w:spacing w:after="160" w:before="0"/>
      </w:pPr>
    </w:p>
    <w:p>
      <w:pPr>
        <w:spacing w:after="100"/>
      </w:pPr>
      <w:r>
        <w:t xml:space="preserve">La proyección no necesita capital nuevo relevante: la reinversión neta es el 13 % del NOPAT (circulante y algo de capacidad) y el motor no puede hacer la prueba de financiación, así que la hacemos con la cuota. TAVR crece en nuestro base un 7-8 % al año en 2027-30, por debajo del 9,9 % previsto para el mercado [18]: la cuota de Edwards (más del 55 %) [17] se mantiene o baja ligeramente. El precio no aporta crecimiento (estable), así que todo depende del volumen, que tiene tres palancas con fecha y evidencia: cobertura de Medicare finalizada el 10-sep-2026 [19], indicación en asintomáticos [23] y TMTT con crecimientos del 45-60 % [5, 6]. El crecimiento lo financia el I+D, que ya va en gastos. Veredicto: Sí, sin rebajar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 (base: 7,1 %)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 (WACC: 10,2 %)</w:t>
            </w:r>
          </w:p>
        </w:tc>
      </w:tr>
    </w:tbl>
    <w:p>
      <w:pPr>
        <w:spacing w:after="160" w:before="0"/>
      </w:pPr>
    </w:p>
    <w:p>
      <w:pPr>
        <w:spacing w:after="100"/>
      </w:pPr>
      <w:r>
        <w:t xml:space="preserve">El DCF da 58,18 USD por acción, un 32,2 % por debajo del precio, con un valor terminal del 57 %. El DCF inverso dice que el precio de 85,76 USD descuenta un crecimiento medio del 14,8 % anual en 2027-35, el doble de nuestro 7,1 %, o una rentabilidad implícita del 7,7 % frente a nuestro WACC del 10,15 %. Es exigente: Edwards no crece al 15 % desde antes de 2020. La diferencia es sobre todo de tasa: con la prima implícita del mercado el valor sube, pero tampoco llega al precio. El mercado paga a Edwards como empresa de crecimiento largo (TAVR en nuevas indicaciones y TMTT), con un descuento implícito del 7-8 %, típico de los grandes de tecnología médica de calidad. Por eso el valor intrínseco queda por debajo del precio y del objetivo a 12 meses: la acción no está barata en términos absolutos, aunque sí frente a su propia historia de múltiplos.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Medtronic y Abbott ganan cuota en los hospitales nuevos que abre la cobertura de Medicare y la indicación en asintomáticos tarda en llegar al reembolso: TAVR crece un 4-5 % y el margen se queda en el 30 %, como en 2023-24 cuando TAVR se frenó por capacidad.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TAVR crece un 7-8 % con la nueva cobertura y TMTT un 30-40 %; el margen sube un punto por año hasta el 33 % con la escala de TMTT.</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PROGRESS sale positivo en TCT y los asintomáticos se cubren pronto: TAVR crece a dos dígitos y TMTT llega a rentabilidad antes, con el margen un punto por encima del base.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USD) · precio actual 85,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57,10 USD (-33,4 %).</w:t>
      </w:r>
    </w:p>
    <w:p>
      <w:pPr>
        <w:spacing w:after="100"/>
      </w:pPr>
      <w:r>
        <w:t xml:space="preserve">En el DCF los tres escenarios quedan por debajo del precio (45,58, 58,18 y 66,46 USD): con una tasa del 10,15 % ni el alcista justifica la cotización. A 12 meses, con nuestro BPA y la regla de múltiplos v3, la asimetría es favorable (2,32x): el bajista pierde un 17,7 % y el alcista gana un 41 %. Las dos lecturas no se contradicen: el mercado aplica a Edwards una tasa más baja que la nuestra, y mientras la mantenga, el beneficio que crece al 11-12 % anual empuja el precio.</w:t>
      </w:r>
    </w:p>
    <w:p>
      <w:pPr>
        <w:pStyle w:val="Heading1"/>
      </w:pPr>
      <w:r>
        <w:t xml:space="preserve">22. Suma de partes</w:t>
      </w:r>
    </w:p>
    <w:p>
      <w:pPr>
        <w:pStyle w:val="Confianza"/>
        <w:spacing w:after="100"/>
      </w:pPr>
      <w:r>
        <w:t xml:space="preserve">Confianza: Media</w:t>
      </w:r>
    </w:p>
    <w:p>
      <w:pPr>
        <w:spacing w:after="100"/>
      </w:pPr>
      <w:r>
        <w:t xml:space="preserve">No aplica: TAVR, TMTT y Surgical comparten clientes, canal y fábricas, y la empresa no publica el resultado de cada línea.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USD) · precio actual 85,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57,69 USD (-32,7 % sobre 85,76).</w:t>
      </w:r>
    </w:p>
    <w:p>
      <w:pPr>
        <w:spacing w:after="100"/>
      </w:pPr>
      <w:r>
        <w:t xml:space="preserve">Pesos: DCF 50 %, escenarios 40 % y comparables 10 %. El DCF es el método que mejor recoge un crecimiento de diez años, pero a nuestra tasa (10,15 %) castiga a una empresa que el mercado descuenta al 7,7 %. Los comparables (PER de 17,5x) valoran a Edwards como un líder maduro y quedan lejos; las transacciones (105,94 USD de mediana) incluyen prima de control y una compra de Edwards es poco probable por la competencia, así que pesan cero. La dispersión entre métodos (de 57,56 a 105,94 USD) muestra que el valor depende de la tasa de descuento más que de las cifras: el valor objetivo de la síntesis (57,69 USD) es el de una empresa de calidad a precio exigente.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(26.5x) a mitad de camino hacia la mediana de 5 años (29.1x)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r>
    </w:tbl>
    <w:p>
      <w:pPr>
        <w:spacing w:after="160" w:before="0"/>
      </w:pPr>
    </w:p>
    <w:p>
      <w:pPr>
        <w:spacing w:after="100"/>
      </w:pPr>
      <w:r>
        <w:rPr>
          <w:b/>
          <w:bCs/>
        </w:rPr>
        <w:t xml:space="preserve">Objetivo a 12 meses (ponderado):</w:t>
      </w:r>
      <w:r>
        <w:t xml:space="preserve"> 97,61 USD · rentabilidad +13,8 % (base +16,0 %) · señal Mantener.</w:t>
      </w:r>
    </w:p>
    <w:p>
      <w:pPr>
        <w:keepNext/>
        <w:spacing w:after="100"/>
      </w:pPr>
      <w:r>
        <w:rPr>
          <w:b/>
          <w:bCs/>
        </w:rPr>
        <w:t xml:space="preserve">Frente al consenso (solo contraste).</w:t>
      </w:r>
    </w:p>
    <w:p>
      <w:pPr>
        <w:spacing w:after="100"/>
      </w:pPr>
      <w:r>
        <w:t xml:space="preserve">Nuestro BPA de 2027e (3,24 USD) queda un 4 % por debajo del consenso (3,38) [38] porque contamos como recurrentes parte de los cargos que la empresa excluye (≈0,10 USD por acción). En 2028e no hay consenso fiable gratis. Nuestro precio base (99,44 USD) queda un 2,1 % por debajo del objetivo medio de los analistas (101,59 USD; 81-110) [29, 31]: el múltiplo que aplica la regla (27,7x) es parecido al que implican los objetivos (≈28-30x el BPA de 2027e).</w:t>
      </w:r>
    </w:p>
    <w:p>
      <w:pPr>
        <w:keepNext/>
        <w:spacing w:after="100"/>
      </w:pPr>
      <w:r>
        <w:rPr>
          <w:b/>
          <w:bCs/>
        </w:rPr>
        <w:t xml:space="preserve">Del valor intrínseco al objetivo a 12 meses.</w:t>
      </w:r>
    </w:p>
    <w:p>
      <w:pPr>
        <w:spacing w:after="100"/>
      </w:pPr>
      <w:r>
        <w:t xml:space="preserve">El objetivo a 12 meses (97,61 USD ponderado) queda un 69 % por encima del valor intrínseco del DCF (57,69 USD de la síntesis). La distancia es de tasa de descuento: el mercado lleva cuatro años pagando 28-30 veces el BPA del año siguiente por Edwards, que equivale a una rentabilidad implícita del 7-8 %, y nuestra regla supone que eso sigue un año más (con el PER subiendo a mitad de camino de su mediana). Para cerrar la distancia con el DCF haría falta que el mercado exigiera nuestra rentabilidad del 10 % (caída del múltiplo a ≈17-18x, el de los comparables) o que el crecimiento durara mucho más que en nuestro base. La tesis a 12 meses es de beneficio y de múltiplo, no de valor intrínseco.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TCT: resultados del ensayo PROGRESS (TAVR en estenosis moderada) y acto con inversores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Positivo abriría un mercado nuevo a varios años; negativo quitaría parte de la prima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tras la cobertura de Medicare; la guía de 2026 (BPA 2,95-3,05) podría subir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anual de inversores: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ventas de 2027 es ≥10 %, confirma nuestro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2027-1S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estudios CED para asintomáticos (Medicare)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Activa la cobertura de los asintomáticos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del año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del margen con TMTT a escala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TAVR frente a Medtronic y Abbott en los hospitales nuevos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Evidencia clínica de durabilidad y salida de Boston Scientific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TAVR a divisa constante por debajo del 6 %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 de la cobertura de los asintomáticos (no hay estudios CED aprobados)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cobertura de sintomáticos sin requisitos ya está en vigor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estudios CED aprobados a mediados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PROGRESS negativo o ambiguo en TCT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Clínico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(la prima de opción)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está en nuestro caso base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primario no alcanzado el 3-nov-2026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los comparables (17-18x)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(el DCF está en 58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dos dígitos del BPA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22x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de patentes y cargos recurrentes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acuerdos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fuera del BPA ajustado por encima de 0,15 USD por acción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TMTT no llega a rentabilidad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−8 % (margen 2 puntos por debajo)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del 45-60 % que diluye costes fijos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ajustado del grupo sin mejora en 2027</w:t>
            </w:r>
          </w:p>
        </w:tc>
      </w:tr>
    </w:tbl>
    <w:p>
      <w:pPr>
        <w:spacing w:after="160" w:before="0"/>
      </w:pPr>
    </w:p>
    <w:p>
      <w:pPr>
        <w:pStyle w:val="Heading2"/>
      </w:pPr>
      <w:r>
        <w:t xml:space="preserve">Pre-mortem</w:t>
      </w:r>
    </w:p>
    <w:p>
      <w:pPr>
        <w:spacing w:after="100"/>
      </w:pPr>
      <w:r>
        <w:t xml:space="preserve">Octubre de 2029: la acción ha caído un 40 %, a ≈52 USD. Lo que pasó: la nueva cobertura de Medicare abrió decenas de hospitales pequeños en 2027, y Medtronic y Abbott, con precios más bajos y su válvula autoexpandible, se llevaron la mayoría. TAVR de Edwards creció un 4 % en 2027 y un 3 % en 2028 mientras el mercado crecía al 9 %. PROGRESS dio un resultado ambiguo y los asintomáticos tardaron dos años en entrar en un estudio CED. TMTT siguió creciendo, pero su margen no compensó el frenazo de TAVR. Con el BPA creciendo al 5 %, el mercado dejó de pagar 28x y pasó a 18x, el múltiplo de los comparables. La señal temprana habría sido el crecimiento de TAVR a divisa constante por debajo del 6 % en el 2T27, con la dirección hablando de «presión competitiva en cuentas nuevas».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seguridad del paciente y la calidad del producto (retiradas, durabilidad de las válvulas) y el acceso al tratamiento (reembolso). La empresa publica datos de durabilidad a largo plazo de SAPIEN, su principal argumento comercial [22].</w:t>
      </w:r>
    </w:p>
    <w:p>
      <w:pPr>
        <w:pStyle w:val="Heading2"/>
      </w:pPr>
      <w:r>
        <w:t xml:space="preserve">Controversias</w:t>
      </w:r>
    </w:p>
    <w:p>
      <w:pPr>
        <w:spacing w:after="100"/>
      </w:pPr>
      <w:r>
        <w:t xml:space="preserve">Litigios de patentes recurrentes con competidores (cargos casi todos los años) y la demanda de la FTC contra la compra de JenaValve, perdida por Edwards en enero de 2026 [16]. No encontramos sanciones de producto relevantes en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Cobertura de Medicare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hospitales nuevos esperan que abran programas de TAVR en 2027 y qué cuota esperan en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del crecimiento de 2027-28 y el riesgo de cuota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Asintomáticos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estudios CED están en preparación y cuándo esperan la aprobación de CMS?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ellos la cobertura de asintomáticos no se activa.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TMTT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año alcanza TMTT el margen operativo del grupo?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margen del caso base del 31 % al 33 %.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Cargos recurrentes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litigios y la I+D comprada se excluyen del BPA ajustado si se repiten cada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Distancia de ≈0,75 USD por acción entre contable y ajustado en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uso darán a los ≈3.650 M de caja neta tras el bloqueo de JenaValve?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al precio actual crearían poco valor según 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Director financiero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¿Está confirmado el relevo del director financiero y quién lo sucede?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la cúpula financiera en un año de guía nueva.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sitúa el valor razonable en ≈97 USD con la acción cerca de 85 y apoya la tesis en las ganancias de cuota en TAVR, el crecimiento de dos dígitos y la mejora del margen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Webull (noticias y comentarios sobre la cobertura de Medicare)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si la nueva cobertura de TAVR cambia la tesis: unos ven más volumen en 2027 y otros recuerdan que los asintomáticos solo se cubren dentro de estudios que aún no existen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Quiver Quant (resúmenes de movimientos diarios)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caída del día se lee como «vender con la noticia» tras la cobertura de Medicare y recogida de beneficios antes de resultados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(blogs de inversores con modelos propios)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Modelos con objetivos de 103 USD a un año y ≈149 USD a cinco años, apoyados en TMTT: dicen que el mercado valora a Edwards como empresa de un solo producto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(alertas, resumen de la conferencia del 2T26 y ventas de directivos)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lectores destacan la subida de la guía y la salida de un competidor de TAVR; ventas pequeñas de directivos en octubre sin lectura clara [21].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Cobertura de Medicare y pacientes asintomáticos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los prudentes: el ACC dice que los asintomáticos aún no están cubiertos fuera de estudios CED; el efecto en volumen llegará en 2027 o después y no está en nuestro caso base más allá de un 9-10 % de crecimiento.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Ensayo PROGRESS (estenosis moderada) en TCT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Catalizador binario con fecha (3-nov-2026); un resultado positivo abre un mercado nuevo a varios años, no al de 12 meses.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TMTT como segundo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45-60 % confirmado en 2026; pesa ≈11 % de las ventas y aún no aporta margen: mueve el valor a largo plazo más que el BPA de 2028.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PER adelantado de ≈26x está por debajo de la mediana de 28-30x de 2022-2025 pero muy por encima de los comparables (≈18x): las dos lecturas son correctas.</w:t>
            </w:r>
          </w:p>
        </w:tc>
      </w:tr>
    </w:tbl>
    <w:p>
      <w:pPr>
        <w:spacing w:after="160" w:before="0"/>
      </w:pPr>
    </w:p>
    <w:p>
      <w:pPr>
        <w:spacing w:after="100"/>
      </w:pPr>
      <w:r>
        <w:t xml:space="preserve">El inversor particular ha pasado de negativo (2023-24) a dividido: la aceleración de TAVR y la cobertura de Medicare han mejorado el tono, pero los foros debaten si el catalizador ya está en el precio [45, 46, 47]. No hay euforia ni capitulación. El sentimiento no contradice a los analistas (mayoría Comprar, objetivo medio de 101,59 USD) ni añade un riesgo que el informe no recoja. El punto de alerta es que algunas narrativas leen la cobertura de los asintomáticos como inmediata, cuando el Colegio Americano de Cardiología dice que hoy no hay estudios aprobados que la activen [19].</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48 (11 primarias); citas distintas en el texto: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11,1 %: explica la causa (créditos fiscales, regularizaciones, mezcla de países) y no lo proyectes en el DCF. Explicación: Tipo del 11,1 %: créditos fiscales de I+D y beneficios de fabricación en Singapur, Irlanda y Puerto Rico con tipos bajos. No se proyecta: el DCF usa el 17 %, dentro de la guía de 2026 (16-19 %) [5].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9,8 %: explica la causa (créditos fiscales, regularizaciones, mezcla de países) y no lo proyectes en el DCF. Explicación: Tipo del 9,8 % por regularizaciones fiscales y la mezcla de países; el DCF usa el 17 % [5].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29,0 % frente a 29,4 % real: genera una variación de circulante de 185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28, 39,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de 2019-2022 de operaciones continuadas y desglose de costes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en sec.gov (sin red); 2) búsqueda de la cuenta XBRL y de agregadores (Stock Analysis, FN2, Finboard); 3) reconstrucción desde el 10-K 2024: solo 2022-2024 en base continuada, sin el resultado operativo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fondo de comercio, proveedores y reservas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(extracto parcial); 2) Stock Analysis y Fintel; 3) 10-Q del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2023-2024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2) agregadores de flujos; 3) prensa de la recompra acelerada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del tamaño del mercado de TAVR y segunda fuente independiente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la empresa (sin red); 2) GMI y Life Science Market Research vía búsqueda; 3) estimación propia desde la cuota de Edwards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los competidores en TAVR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Medtronic y Abbott (no desglosan TAVR con margen); 2) prensa sectorial;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remuneración del primer ejecutivo, voto de remuneración y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DEF 14A 2026 en sec.gov (sin red); 2) búsqueda de la tabla de remuneración y del 8-K de la junta; 3) prensa y directorios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a Yahoo bloqueado; 3) búsqueda web: solo cotizaciones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2028e y 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(sin red); 2) Yahoo y Stock Analysis vía búsqueda; 3) TIKR y Barchart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comentarios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Stocktwits y RSS de Seeking Alpha (sin red); 2) búsqueda web de hilos de Reddit y Stocktwits; 3) agregadores de noticias con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la acción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Stock Analysis vía búsqueda; 3) Damodaran sectorial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(extractos de búsqueda: ventas, recompras, discontinuadas)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Edwards Lifesciences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https://www.sec.gov/Archives/edgar/data/1099800/000109980026000009/ew-20251231.htm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2024 (cuenta de operaciones continuadas 2022-2024, extracto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Edwards Lifesciences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https://www.sec.gov/Archives/edgar/data/1099800/000109980025000005/ew-20241231.htm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Reports Fourth Quarter Results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https://www.businesswire.com/news/home/20260210513744/en/Edwards-Lifesciences-Reports-Fourth-Quarter-Results/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EW's Q4 Earnings Miss Estimates, Revenues Up Y/Y (BPA ajustado 2025: 2,56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https://www.zacks.com/stock/news/2853826/ews-q4-earnings-miss-estimates-revenues-up-yy-stock-climbs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https://www.sec.gov/Archives/edgar/data/0001099800/000109980026000038/ex-991q22026.htm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Reports First Quarter Results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https://www.businesswire.com/news/home/20260423207342/en/Edwards-Lifesciences-Reports-First-Quarter-Results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EW Stock Up on Q4 Earnings and Revenue Beat (2024: ventas 5.440 M, BPA ajustado 2,43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https://www.zacks.com/stock/news/2414283/ew-stock-up-on-q4-earnings-and-revenue-beat-margins-crash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2025 (ARS): balance consolidado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https://www.sec.gov/Archives/edgar/data/1099800/000109980026000017/arwrap.htm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2024 (ARS): balance consolidado a 31-dic-2024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https://www.sec.gov/Archives/edgar/data/1099800/000109980025000016/a2024ar.htm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resultado antes de impuestos, impuestos, flujo operativo y capex 2023-2025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 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EW operating cash flow and capex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Tickerleague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https://tickerleague.com/companies/EW/financials/operating-cash-flow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balance sheet (jun-2026)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EW financials: ventas, beneficio neto y BPA diluido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https://fn2.ai/earnings/ew/financials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Q2 2026: sales growth and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MassDevice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https://www.massdevice.com/edwards-q2-2026-sales-growth-guidance/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balance sheet (annual, Capital IQ)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https://fintel.io/bs/us/ew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Comments on JenaValve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https://www.businesswire.com/news/home/20260109944511/en/Edwards-Comments-on-JenaValve-Acquisition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Transcatheter Aortic Valve Replacement (TAVR) Market report (cuota de Edwards de más del 55 % en 2025; cinco primeros ≈80 %)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https://www.gminsights.com/industry-analysis/tavr-transcatheter-aortic-valve-replacement-market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TAVR market 2025: growth, innovation and competition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Life Science Market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https://www.lifesciencemarketresearch.com/insights/tavr-market-2025-growth-innovation-and-competition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Finalizes Updated TAVR National Coverage Determination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College of Cardiology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https://www.acc.org/latest-in-cardiology/articles/2026/09/15/18/42/cms-finalizes-updated-tavr-national-coverage-determination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expands TAVR Medicare coverage to asymptomatic patients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MedTech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https://www.medtechdive.com/news/cms-expands-tavr-medicare-coverage-to-asymptomatic-patients/830186/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https://www.marketbeat.com/instant-alerts/edwards-lifesciences-q2-earnings-call-highlights-2026-07-23/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Structural Heart Leadership Demonstrated Through Expanding Body of Scientific Evidence at New York Valves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https://www.edwards.com/newsroom/news/2026-06-26-edwards--structural-heart-leadership-demonstrated-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clears new indication for Edwards SAPIEN 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County Business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https://www.ocbj.com/healthcare/fda-clears-new-indication-for-edwards-sapien-3/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Abbott Succeed Where Boston Sci Has Failed?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MDDI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https://www.mddionline.com/cardiovascular/can-abbott-succeed-where-boston-sci-has-failed-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portada y orden del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https://www.sec.gov/Archives/edgar/data/1099800/000109980026000015/ew-20260326.htm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leadership directory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https://komo.ai/directory/edwards-lifesciences-leadership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says Mussallem to retire as chairman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County Business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https://www.ocbj.com/healthcare/edwards-says-mussallem-to-retire-as-chairman/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(NYSE:EW) VP Daniel Lippis Sells 619 Shares of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https://www.marketbeat.com/instant-alerts/insider-edwards-lifesciences-nyse-ew-vp-daniel-lippis-sells-619-shares-of-stock-2026-10-08/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Edwards Lifesciences (NYSE:EW) Entering A Stronger Phase? (cotización del 13-oct-2026, calendario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https://kalkinemedia.com/us/stocks/healthcare/is-edwards-lifesciences-nyseew-entering-a-stronger-phase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reiterates Edwards Lifesciences stock rating on endpoint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https://www.investing.com/news/analyst-ratings/ubs-reiterates-edwards-lifesciences-stock-rating-on-endpoint-expectations-93CH-4939318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analyst ratings and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https://www.benzinga.com/quote/EW/sentiment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EW analysis: earnings and revenue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https://uk.finance.yahoo.com/quote/EW/analysis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2Q26 TAVR sales top consensus ahead of key Medicare decision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MDDI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https://www.mddionline.com/cardiovascular/edwards-lifesciences-2q26-tavr-sales-top-consensus-ahead-of-key-medicare-decision-clinical-trial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- 25 Year Stock Price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https://www.macrotrends.net/stocks/charts/EW/edwards-lifesciences/stock-price-history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price history, monthly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https://www.digrin.com/stocks/detail/EW/price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Intuitive Surgical del repo (corte 6-oct-2026): comparables y transacciones con datos de MarketScreener, Stock Analysis y comunicados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https://www.marketscreener.com/quote/stock/EDWARDS-LIFESCIENCES-CORP-12521/finances/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Comments on FTC Action to Block Proposed Acquisition of JenaValve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https://secure.businesswire.com/news/home/20250806182521/en/Edwards-Lifesciences-Comments-on-FTCs-Action-to-Block-Proposed-Acquisition-of-JenaValve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Stock Forecast (BPA no GAAP de S&amp;P Global) y estadísticas, vía informe de Intuitive del 6-oct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cotización y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(DGS10), 5,22 % (tomado del informe de Group 1 Automotive del repo, mismo corte)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EW earnings history (BPA ajustado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AlphaQuery /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https://www.alphaquery.com/stock/EW/earnings-history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 Ratings for Edwards Lifesciences (EW)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StreetInsider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https://www.streetinsider.com/rating_history.php?q=EW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Stock Forecast: Where Analysts See the Stock Going by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https://www.tikr.com/blog/edwards-lifesciences-stock-forecast-where-analysts-see-the-stock-going-by-2027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early TAVR and EVOQUE launches will expand access (narrativa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https://www.simplywall.st/narratives/x2d7or7d-early-tavr-and-evoque-launches-will-expand-access-nur2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Did Broader TAVR Coverage Just Shift Edwards Lifesciences Stock Investment Narrative?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https://www.webull.com/news/15573141563130880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Edwards Lifesciences (EW) Stock Is Down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https://www.quiverquant.com/news/Why+Edwards+Lifesciences+(EW)+Stock+Is+Down+Today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Here's Why Edwards Lifesciences Stock Could Reach $150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https://www.tikr.com/blog/heres-why-edwards-lifesciences-stock-could-reach-150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80,6 %</w:t>
      </w:r>
      <w:r>
        <w:t xml:space="preserve"> · Secciones con menos del 60 % de campos cubiertos: </w:t>
      </w:r>
      <w:r>
        <w:rPr>
          <w:b/>
          <w:bCs/>
        </w:rPr>
        <w:t xml:space="preserve">gobierno, bolsa</w:t>
      </w:r>
      <w:r>
        <w:t xml:space="preserve"> · Generado el 14 oct 2026.</w:t>
      </w:r>
    </w:p>
    <w:p>
      <w:pPr>
        <w:pStyle w:val="Nota"/>
        <w:spacing w:after="100"/>
      </w:pPr>
      <w:r>
        <w:t xml:space="preserve">Análisis hecho desde la nube con la red limitada a la búsqueda web: sec.gov, la web de la empresa y los proveedores de datos no se pudieron abrir, así que las cifras salen de extractos de búsqueda de los 10-K, de los comunicados 8-K y de agregadores (Stock Analysis, EDGAR Tools, Fintel), cruzadas cuando fue posible; la confianza es menor que en un análisis normal y lo que no cuadró está en null y en los huecos. Cuentas en USD con US GAAP; ejercicio natural. La cuenta es de operaciones continuadas (sin Critical Care, vendida en 2024) y solo cubre 2023-2025: los años anteriores mezclan perímetros. Las amortizaciones son estimación propia (≈2,6 % de las ventas). El precio (85,76 USD) es el cierre del 13-oct-2026 citado por la prensa [29]. Comparables y transacciones reutilizados del informe de Intuitive del repo (6-oct-2026) [36]. El BPA del objetivo a 12 meses es el nuestro, cercano al ajustado de la empresa (≈3 % por debajo porque contamos parte de los cargos recurrentes); el PER histórico usa el BPA ajustado publicado.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Edwards Lifesciences Corporation (EW)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85,76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(72,30 – 96,29)</c:v>
                </c:pt>
                <c:pt idx="1">
                  <c:v>Precio objetivo de los analistas (81,00 – 110,00)</c:v>
                </c:pt>
                <c:pt idx="2">
                  <c:v>Comparables: PER NTM (48,49 – 83,46)</c:v>
                </c:pt>
                <c:pt idx="3">
                  <c:v>Transacciones precedentes (EV/ventas) (84,45 – 139,59)</c:v>
                </c:pt>
                <c:pt idx="4">
                  <c:v>DCF (WACC y g ± 0,5) (52,90 – 65,14)</c:v>
                </c:pt>
                <c:pt idx="5">
                  <c:v>Escenarios (bajista – alcista) (45,58 – 66,46)</c:v>
                </c:pt>
                <c:pt idx="6">
                  <c:v>DCF con la prima implícita del mercado (4,2 %)</c:v>
                </c:pt>
                <c:pt idx="7">
                  <c:v>Precio actual (85,76)</c:v>
                </c:pt>
              </c:strCache>
            </c:strRef>
          </c:cat>
          <c:val>
            <c:numRef>
              <c:f>Hoja1!$B$2:$B$9</c:f>
              <c:numCache>
                <c:formatCode>#,##0</c:formatCode>
                <c:ptCount val="8"/>
                <c:pt idx="0">
                  <c:v>72.3</c:v>
                </c:pt>
                <c:pt idx="1">
                  <c:v>81</c:v>
                </c:pt>
                <c:pt idx="2">
                  <c:v>48.49</c:v>
                </c:pt>
                <c:pt idx="3">
                  <c:v>84.45</c:v>
                </c:pt>
                <c:pt idx="4">
                  <c:v>52.9</c:v>
                </c:pt>
                <c:pt idx="5">
                  <c:v>45.58</c:v>
                </c:pt>
                <c:pt idx="6">
                  <c:v>60.49</c:v>
                </c:pt>
                <c:pt idx="7">
                  <c:v>85.33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(72,30 – 96,29)</c:v>
                </c:pt>
                <c:pt idx="1">
                  <c:v>Precio objetivo de los analistas (81,00 – 110,00)</c:v>
                </c:pt>
                <c:pt idx="2">
                  <c:v>Comparables: PER NTM (48,49 – 83,46)</c:v>
                </c:pt>
                <c:pt idx="3">
                  <c:v>Transacciones precedentes (EV/ventas) (84,45 – 139,59)</c:v>
                </c:pt>
                <c:pt idx="4">
                  <c:v>DCF (WACC y g ± 0,5) (52,90 – 65,14)</c:v>
                </c:pt>
                <c:pt idx="5">
                  <c:v>Escenarios (bajista – alcista) (45,58 – 66,46)</c:v>
                </c:pt>
                <c:pt idx="6">
                  <c:v>DCF con la prima implícita del mercado (4,2 %)</c:v>
                </c:pt>
                <c:pt idx="7">
                  <c:v>Precio actual (85,76)</c:v>
                </c:pt>
              </c:strCache>
            </c:strRef>
          </c:cat>
          <c:val>
            <c:numRef>
              <c:f>Hoja1!$C$2:$C$9</c:f>
              <c:numCache>
                <c:formatCode>#,##0</c:formatCode>
                <c:ptCount val="8"/>
                <c:pt idx="0">
                  <c:v>23.99000000000001</c:v>
                </c:pt>
                <c:pt idx="1">
                  <c:v>29</c:v>
                </c:pt>
                <c:pt idx="2">
                  <c:v>34.96999999999999</c:v>
                </c:pt>
                <c:pt idx="3">
                  <c:v>55.14</c:v>
                </c:pt>
                <c:pt idx="4">
                  <c:v>12.240000000000002</c:v>
                </c:pt>
                <c:pt idx="5">
                  <c:v>20.879999999999995</c:v>
                </c:pt>
                <c:pt idx="6">
                  <c:v>9.649999999999999</c:v>
                </c:pt>
                <c:pt idx="7">
                  <c:v>0.8599999999999994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TAVR</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4500</c:v>
                </c:pt>
              </c:numCache>
            </c:numRef>
          </c:val>
        </c:ser>
        <c:ser>
          <c:idx val="1"/>
          <c:order val="1"/>
          <c:tx>
            <c:strRef>
              <c:f>Hoja1!$C$1</c:f>
              <c:strCache>
                <c:ptCount val="1"/>
                <c:pt idx="0">
                  <c:v>TMTT</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545</c:v>
                </c:pt>
              </c:numCache>
            </c:numRef>
          </c:val>
        </c:ser>
        <c:ser>
          <c:idx val="2"/>
          <c:order val="2"/>
          <c:tx>
            <c:strRef>
              <c:f>Hoja1!$D$1</c:f>
              <c:strCache>
                <c:ptCount val="1"/>
                <c:pt idx="0">
                  <c:v>Surgical</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1022.6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TAVR</c:v>
                </c:pt>
                <c:pt idx="1">
                  <c:v>TMTT</c:v>
                </c:pt>
                <c:pt idx="2">
                  <c:v>Surgical</c:v>
                </c:pt>
              </c:strCache>
            </c:strRef>
          </c:cat>
          <c:val>
            <c:numRef>
              <c:f>Hoja1!$B$2:$B$4</c:f>
              <c:numCache>
                <c:formatCode>General</c:formatCode>
                <c:ptCount val="3"/>
                <c:pt idx="0">
                  <c:v>74.2</c:v>
                </c:pt>
                <c:pt idx="1">
                  <c:v>9</c:v>
                </c:pt>
                <c:pt idx="2">
                  <c:v>16.9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Edwards</c:v>
                </c:pt>
                <c:pt idx="1">
                  <c:v>Medtronic (Evolut)</c:v>
                </c:pt>
                <c:pt idx="2">
                  <c:v>Abbott (Navitor)</c:v>
                </c:pt>
                <c:pt idx="3">
                  <c:v>Boston Scientific</c:v>
                </c:pt>
                <c:pt idx="4">
                  <c:v>Meril Life Sciences</c:v>
                </c:pt>
              </c:strCache>
            </c:strRef>
          </c:cat>
          <c:val>
            <c:numRef>
              <c:f>Hoja1!$B$2:$B$6</c:f>
              <c:numCache>
                <c:formatCode>0.0"%"</c:formatCode>
                <c:ptCount val="5"/>
                <c:pt idx="0">
                  <c:v>20.8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5</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2023</c:v>
                </c:pt>
                <c:pt idx="1">
                  <c:v>2024</c:v>
                </c:pt>
                <c:pt idx="2">
                  <c:v>2025</c:v>
                </c:pt>
                <c:pt idx="3">
                  <c:v>2026e</c:v>
                </c:pt>
                <c:pt idx="4">
                  <c:v>2027e</c:v>
                </c:pt>
                <c:pt idx="5">
                  <c:v>2028e</c:v>
                </c:pt>
                <c:pt idx="6">
                  <c:v>2029e</c:v>
                </c:pt>
                <c:pt idx="7">
                  <c:v>2030e</c:v>
                </c:pt>
                <c:pt idx="8">
                  <c:v>2031e</c:v>
                </c:pt>
                <c:pt idx="9">
                  <c:v>2032e</c:v>
                </c:pt>
                <c:pt idx="10">
                  <c:v>2033e</c:v>
                </c:pt>
                <c:pt idx="11">
                  <c:v>2034e</c:v>
                </c:pt>
                <c:pt idx="12">
                  <c:v>2035e</c:v>
                </c:pt>
              </c:strCache>
            </c:strRef>
          </c:cat>
          <c:val>
            <c:numRef>
              <c:f>Hoja1!$B$2:$B$14</c:f>
              <c:numCache>
                <c:formatCode>#,##0</c:formatCode>
                <c:ptCount val="13"/>
                <c:pt idx="0">
                  <c:v>5010</c:v>
                </c:pt>
                <c:pt idx="1">
                  <c:v>5439.5</c:v>
                </c:pt>
                <c:pt idx="2">
                  <c:v>6067.6</c:v>
                </c:pt>
                <c:pt idx="3">
                  <c:v>6796</c:v>
                </c:pt>
                <c:pt idx="4">
                  <c:v>7441</c:v>
                </c:pt>
                <c:pt idx="5">
                  <c:v>8148</c:v>
                </c:pt>
                <c:pt idx="6">
                  <c:v>8882</c:v>
                </c:pt>
                <c:pt idx="7">
                  <c:v>9637</c:v>
                </c:pt>
                <c:pt idx="8">
                  <c:v>10359</c:v>
                </c:pt>
                <c:pt idx="9">
                  <c:v>11033</c:v>
                </c:pt>
                <c:pt idx="10">
                  <c:v>11639</c:v>
                </c:pt>
                <c:pt idx="11">
                  <c:v>12163</c:v>
                </c:pt>
                <c:pt idx="12">
                  <c:v>12589</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2023</c:v>
                </c:pt>
                <c:pt idx="1">
                  <c:v>2024</c:v>
                </c:pt>
                <c:pt idx="2">
                  <c:v>2025</c:v>
                </c:pt>
                <c:pt idx="3">
                  <c:v>2026e</c:v>
                </c:pt>
                <c:pt idx="4">
                  <c:v>2027e</c:v>
                </c:pt>
                <c:pt idx="5">
                  <c:v>2028e</c:v>
                </c:pt>
                <c:pt idx="6">
                  <c:v>2029e</c:v>
                </c:pt>
                <c:pt idx="7">
                  <c:v>2030e</c:v>
                </c:pt>
                <c:pt idx="8">
                  <c:v>2031e</c:v>
                </c:pt>
                <c:pt idx="9">
                  <c:v>2032e</c:v>
                </c:pt>
                <c:pt idx="10">
                  <c:v>2033e</c:v>
                </c:pt>
                <c:pt idx="11">
                  <c:v>2034e</c:v>
                </c:pt>
                <c:pt idx="12">
                  <c:v>2035e</c:v>
                </c:pt>
              </c:strCache>
            </c:strRef>
          </c:cat>
          <c:val>
            <c:numRef>
              <c:f>Hoja1!$C$2:$C$14</c:f>
              <c:numCache>
                <c:formatCode>#,##0</c:formatCode>
                <c:ptCount val="13"/>
                <c:pt idx="0">
                  <c:v>1438.9</c:v>
                </c:pt>
                <c:pt idx="1">
                  <c:v>1519.7</c:v>
                </c:pt>
                <c:pt idx="2">
                  <c:v>1422.2</c:v>
                </c:pt>
                <c:pt idx="3">
                  <c:v>2107</c:v>
                </c:pt>
                <c:pt idx="4">
                  <c:v>2344</c:v>
                </c:pt>
                <c:pt idx="5">
                  <c:v>2607</c:v>
                </c:pt>
                <c:pt idx="6">
                  <c:v>2887</c:v>
                </c:pt>
                <c:pt idx="7">
                  <c:v>3180</c:v>
                </c:pt>
                <c:pt idx="8">
                  <c:v>3419</c:v>
                </c:pt>
                <c:pt idx="9">
                  <c:v>3641</c:v>
                </c:pt>
                <c:pt idx="10">
                  <c:v>3841</c:v>
                </c:pt>
                <c:pt idx="11">
                  <c:v>4014</c:v>
                </c:pt>
                <c:pt idx="12">
                  <c:v>4154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c:formatCode>
                <c:ptCount val="3"/>
                <c:pt idx="0">
                  <c:v>80.5</c:v>
                </c:pt>
                <c:pt idx="1">
                  <c:v>79.5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Hoja1!$A$2:$A$4</c:f>
              <c:strCache>
                <c:ptCount val="3"/>
                <c:pt idx="0">
                  <c:v>2023</c:v>
                </c:pt>
                <c:pt idx="1">
                  <c:v>2024</c:v>
                </c:pt>
                <c:pt idx="2">
                  <c:v>2025</c:v>
                </c:pt>
              </c:strCache>
            </c:strRef>
          </c:cat>
          <c:val>
            <c:numRef>
              <c:f>Hoja1!$C$2:$C$4</c:f>
              <c:numCache>
                <c:formatCode>0"%"</c:formatCode>
                <c:ptCount val="3"/>
                <c:pt idx="0">
                  <c:v>28.7</c:v>
                </c:pt>
                <c:pt idx="1">
                  <c:v>27.9</c:v>
                </c:pt>
                <c:pt idx="2">
                  <c:v>23.4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Hoja1!$A$2:$A$4</c:f>
              <c:strCache>
                <c:ptCount val="3"/>
                <c:pt idx="0">
                  <c:v>2023</c:v>
                </c:pt>
                <c:pt idx="1">
                  <c:v>2024</c:v>
                </c:pt>
                <c:pt idx="2">
                  <c:v>2025</c:v>
                </c:pt>
              </c:strCache>
            </c:strRef>
          </c:cat>
          <c:val>
            <c:numRef>
              <c:f>Hoja1!$D$2:$D$4</c:f>
              <c:numCache>
                <c:formatCode>0"%"</c:formatCode>
                <c:ptCount val="3"/>
                <c:pt idx="0">
                  <c:v>26.1</c:v>
                </c:pt>
                <c:pt idx="1">
                  <c:v>25.3</c:v>
                </c:pt>
                <c:pt idx="2">
                  <c:v>20.8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Hoja1!$A$2:$A$4</c:f>
              <c:strCache>
                <c:ptCount val="3"/>
                <c:pt idx="0">
                  <c:v>2023</c:v>
                </c:pt>
                <c:pt idx="1">
                  <c:v>2024</c:v>
                </c:pt>
                <c:pt idx="2">
                  <c:v>2025</c:v>
                </c:pt>
              </c:strCache>
            </c:strRef>
          </c:cat>
          <c:val>
            <c:numRef>
              <c:f>Hoja1!$E$2:$E$4</c:f>
              <c:numCache>
                <c:formatCode>0"%"</c:formatCode>
                <c:ptCount val="3"/>
                <c:pt idx="0">
                  <c:v>24.4</c:v>
                </c:pt>
                <c:pt idx="1">
                  <c:v>25.7</c:v>
                </c:pt>
                <c:pt idx="2">
                  <c:v>17.4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0">
                  <c:v>9</c:v>
                </c:pt>
                <c:pt idx="4">
                  <c:v>13.3</c:v>
                </c:pt>
                <c:pt idx="5">
                  <c:v>16.7</c:v>
                </c:pt>
                <c:pt idx="6">
                  <c:v>13.6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4">
                  <c:v>11.6</c:v>
                </c:pt>
                <c:pt idx="5">
                  <c:v>12.7</c:v>
                </c:pt>
                <c:pt idx="6">
                  <c:v>12.5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c:formatCode>
                <c:ptCount val="3"/>
                <c:pt idx="2">
                  <c:v>40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642.8</c:v>
                </c:pt>
                <c:pt idx="1">
                  <c:v>289.9</c:v>
                </c:pt>
                <c:pt idx="2">
                  <c:v>1334.8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1220</c:v>
                </c:pt>
                <c:pt idx="1">
                  <c:v>1396</c:v>
                </c:pt>
                <c:pt idx="2">
                  <c:v>1056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c:formatCode>
                <c:ptCount val="3"/>
                <c:pt idx="0">
                  <c:v>20.5</c:v>
                </c:pt>
                <c:pt idx="1">
                  <c:v>20.1</c:v>
                </c:pt>
                <c:pt idx="2">
                  <c:v>15.7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Hoja1!$A$2:$A$4</c:f>
              <c:strCache>
                <c:ptCount val="3"/>
                <c:pt idx="0">
                  <c:v>2023</c:v>
                </c:pt>
                <c:pt idx="1">
                  <c:v>2024</c:v>
                </c:pt>
                <c:pt idx="2">
                  <c:v>2025</c:v>
                </c:pt>
              </c:strCache>
            </c:strRef>
          </c:cat>
          <c:val>
            <c:numRef>
              <c:f>Hoja1!$C$2:$C$4</c:f>
              <c:numCache>
                <c:formatCode>0"%"</c:formatCode>
                <c:ptCount val="3"/>
                <c:pt idx="0">
                  <c:v>10.2</c:v>
                </c:pt>
                <c:pt idx="1">
                  <c:v>10.2</c:v>
                </c:pt>
                <c:pt idx="2">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Hoja1!$A$2:$A$4</c:f>
              <c:strCache>
                <c:ptCount val="3"/>
                <c:pt idx="0">
                  <c:v>2023</c:v>
                </c:pt>
                <c:pt idx="1">
                  <c:v>2024</c:v>
                </c:pt>
                <c:pt idx="2">
                  <c:v>2025</c:v>
                </c:pt>
              </c:strCache>
            </c:strRef>
          </c:cat>
          <c:val>
            <c:numRef>
              <c:f>Hoja1!$D$2:$D$4</c:f>
              <c:numCache>
                <c:formatCode>0"%"</c:formatCode>
                <c:ptCount val="3"/>
                <c:pt idx="0">
                  <c:v>18.2</c:v>
                </c:pt>
                <c:pt idx="1">
                  <c:v>16.7</c:v>
                </c:pt>
                <c:pt idx="2">
                  <c:v>10.4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0.0"x"</c:formatCode>
                <c:ptCount val="3"/>
                <c:pt idx="0">
                  <c:v>-0.72</c:v>
                </c:pt>
                <c:pt idx="1">
                  <c:v>-2.22</c:v>
                </c:pt>
                <c:pt idx="2">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2028</c:v>
                </c:pt>
              </c:strCache>
            </c:strRef>
          </c:cat>
          <c:val>
            <c:numRef>
              <c:f>Hoja1!$B$2</c:f>
              <c:numCache>
                <c:formatCode>#,##0</c:formatCode>
                <c:ptCount val="1"/>
                <c:pt idx="0">
                  <c:v>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0</c:v>
                </c:pt>
                <c:pt idx="1">
                  <c:v>0</c:v>
                </c:pt>
                <c:pt idx="2">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0</c:v>
                </c:pt>
                <c:pt idx="1">
                  <c:v>0</c:v>
                </c:pt>
                <c:pt idx="2">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2">
                  <c:v>884.7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0.0"x"</c:formatCode>
                <c:ptCount val="3"/>
                <c:pt idx="0">
                  <c:v>31.6</c:v>
                </c:pt>
                <c:pt idx="1">
                  <c:v>27</c:v>
                </c:pt>
                <c:pt idx="2">
                  <c:v>32.6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Hoja1!$A$2:$A$4</c:f>
              <c:strCache>
                <c:ptCount val="3"/>
                <c:pt idx="0">
                  <c:v>2023</c:v>
                </c:pt>
                <c:pt idx="1">
                  <c:v>2024</c:v>
                </c:pt>
                <c:pt idx="2">
                  <c:v>2025</c:v>
                </c:pt>
              </c:strCache>
            </c:strRef>
          </c:cat>
          <c:val>
            <c:numRef>
              <c:f>Hoja1!$C$2:$C$4</c:f>
              <c:numCache>
                <c:formatCode>0.0"x"</c:formatCode>
                <c:ptCount val="3"/>
                <c:pt idx="0">
                  <c:v>31.6</c:v>
                </c:pt>
                <c:pt idx="1">
                  <c:v>31.6</c:v>
                </c:pt>
                <c:pt idx="2">
                  <c:v>31.6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Edwards</c:v>
                </c:pt>
                <c:pt idx="1">
                  <c:v>Stryker</c:v>
                </c:pt>
                <c:pt idx="2">
                  <c:v>Boston Scientific</c:v>
                </c:pt>
                <c:pt idx="3">
                  <c:v>Medtronic</c:v>
                </c:pt>
                <c:pt idx="4">
                  <c:v>Abbott Laboratories</c:v>
                </c:pt>
                <c:pt idx="5">
                  <c:v>Dexcom</c:v>
                </c:pt>
                <c:pt idx="6">
                  <c:v>Insulet</c:v>
                </c:pt>
                <c:pt idx="7">
                  <c:v>IDEXX Laboratories</c:v>
                </c:pt>
                <c:pt idx="8">
                  <c:v>ResMed</c:v>
                </c:pt>
                <c:pt idx="9">
                  <c:v>Zimmer Biomet</c:v>
                </c:pt>
                <c:pt idx="10">
                  <c:v>Intuitive Surgical</c:v>
                </c:pt>
              </c:strCache>
            </c:strRef>
          </c:cat>
          <c:val>
            <c:numRef>
              <c:f>Hoja1!$B$2:$B$12</c:f>
              <c:numCache>
                <c:formatCode>0.0"x"</c:formatCode>
                <c:ptCount val="11"/>
                <c:pt idx="1">
                  <c:v>14.2</c:v>
                </c:pt>
                <c:pt idx="2">
                  <c:v>10.9</c:v>
                </c:pt>
                <c:pt idx="3">
                  <c:v>11.7</c:v>
                </c:pt>
                <c:pt idx="4">
                  <c:v>14</c:v>
                </c:pt>
                <c:pt idx="5">
                  <c:v>18.5</c:v>
                </c:pt>
                <c:pt idx="6">
                  <c:v>12.1</c:v>
                </c:pt>
                <c:pt idx="7">
                  <c:v>22.9</c:v>
                </c:pt>
                <c:pt idx="8">
                  <c:v>13.3</c:v>
                </c:pt>
                <c:pt idx="9">
                  <c:v>8.4</c:v>
                </c:pt>
                <c:pt idx="10">
                  <c:v>28.6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Stryker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12.3</c:v>
                </c:pt>
              </c:numCache>
            </c:numRef>
          </c:xVal>
          <c:yVal>
            <c:numRef>
              <c:f>Hoja1!$C$2</c:f>
              <c:numCache>
                <c:formatCode>0.0"x"</c:formatCode>
                <c:ptCount val="1"/>
                <c:pt idx="0">
                  <c:v>14.2</c:v>
                </c:pt>
              </c:numCache>
            </c:numRef>
          </c:yVal>
          <c:smooth val="0"/>
        </c:ser>
        <c:ser>
          <c:idx val="1"/>
          <c:order val="1"/>
          <c:tx>
            <c:strRef>
              <c:f>Hoja1!$A$3</c:f>
              <c:strCache>
                <c:ptCount val="1"/>
                <c:pt idx="0">
                  <c:v>Boston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4.9</c:v>
                </c:pt>
              </c:numCache>
            </c:numRef>
          </c:xVal>
          <c:yVal>
            <c:numRef>
              <c:f>Hoja1!$C$3</c:f>
              <c:numCache>
                <c:formatCode>0.0"x"</c:formatCode>
                <c:ptCount val="1"/>
                <c:pt idx="0">
                  <c:v>10.9</c:v>
                </c:pt>
              </c:numCache>
            </c:numRef>
          </c:yVal>
          <c:smooth val="0"/>
        </c:ser>
        <c:ser>
          <c:idx val="2"/>
          <c:order val="2"/>
          <c:tx>
            <c:strRef>
              <c:f>Hoja1!$A$4</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5.5</c:v>
                </c:pt>
              </c:numCache>
            </c:numRef>
          </c:xVal>
          <c:yVal>
            <c:numRef>
              <c:f>Hoja1!$C$4</c:f>
              <c:numCache>
                <c:formatCode>0.0"x"</c:formatCode>
                <c:ptCount val="1"/>
                <c:pt idx="0">
                  <c:v>11.7</c:v>
                </c:pt>
              </c:numCache>
            </c:numRef>
          </c:yVal>
          <c:smooth val="0"/>
        </c:ser>
        <c:ser>
          <c:idx val="3"/>
          <c:order val="3"/>
          <c:tx>
            <c:strRef>
              <c:f>Hoja1!$A$5</c:f>
              <c:strCache>
                <c:ptCount val="1"/>
                <c:pt idx="0">
                  <c:v>Abbott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14.9</c:v>
                </c:pt>
              </c:numCache>
            </c:numRef>
          </c:xVal>
          <c:yVal>
            <c:numRef>
              <c:f>Hoja1!$C$5</c:f>
              <c:numCache>
                <c:formatCode>0.0"x"</c:formatCode>
                <c:ptCount val="1"/>
                <c:pt idx="0">
                  <c:v>14</c:v>
                </c:pt>
              </c:numCache>
            </c:numRef>
          </c:yVal>
          <c:smooth val="0"/>
        </c:ser>
        <c:ser>
          <c:idx val="4"/>
          <c:order val="4"/>
          <c:tx>
            <c:strRef>
              <c:f>Hoja1!$A$6</c:f>
              <c:strCache>
                <c:ptCount val="1"/>
                <c:pt idx="0">
                  <c:v>Dexcom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c:v>
                </c:pt>
              </c:numCache>
            </c:numRef>
          </c:xVal>
          <c:yVal>
            <c:numRef>
              <c:f>Hoja1!$C$6</c:f>
              <c:numCache>
                <c:formatCode>0.0"x"</c:formatCode>
                <c:ptCount val="1"/>
                <c:pt idx="0">
                  <c:v>18.5</c:v>
                </c:pt>
              </c:numCache>
            </c:numRef>
          </c:yVal>
          <c:smooth val="0"/>
        </c:ser>
        <c:ser>
          <c:idx val="5"/>
          <c:order val="5"/>
          <c:tx>
            <c:strRef>
              <c:f>Hoja1!$A$7</c:f>
              <c:strCache>
                <c:ptCount val="1"/>
                <c:pt idx="0">
                  <c:v>Insulet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18.9</c:v>
                </c:pt>
              </c:numCache>
            </c:numRef>
          </c:xVal>
          <c:yVal>
            <c:numRef>
              <c:f>Hoja1!$C$7</c:f>
              <c:numCache>
                <c:formatCode>0.0"x"</c:formatCode>
                <c:ptCount val="1"/>
                <c:pt idx="0">
                  <c:v>12.1</c:v>
                </c:pt>
              </c:numCache>
            </c:numRef>
          </c:yVal>
          <c:smooth val="0"/>
        </c:ser>
        <c:ser>
          <c:idx val="6"/>
          <c:order val="6"/>
          <c:tx>
            <c:strRef>
              <c:f>Hoja1!$A$8</c:f>
              <c:strCache>
                <c:ptCount val="1"/>
                <c:pt idx="0">
                  <c:v>IDEXX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10.7</c:v>
                </c:pt>
              </c:numCache>
            </c:numRef>
          </c:xVal>
          <c:yVal>
            <c:numRef>
              <c:f>Hoja1!$C$8</c:f>
              <c:numCache>
                <c:formatCode>0.0"x"</c:formatCode>
                <c:ptCount val="1"/>
                <c:pt idx="0">
                  <c:v>22.9</c:v>
                </c:pt>
              </c:numCache>
            </c:numRef>
          </c:yVal>
          <c:smooth val="0"/>
        </c:ser>
        <c:ser>
          <c:idx val="7"/>
          <c:order val="7"/>
          <c:tx>
            <c:strRef>
              <c:f>Hoja1!$A$9</c:f>
              <c:strCache>
                <c:ptCount val="1"/>
                <c:pt idx="0">
                  <c:v>ResMed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4.4</c:v>
                </c:pt>
              </c:numCache>
            </c:numRef>
          </c:xVal>
          <c:yVal>
            <c:numRef>
              <c:f>Hoja1!$C$9</c:f>
              <c:numCache>
                <c:formatCode>0.0"x"</c:formatCode>
                <c:ptCount val="1"/>
                <c:pt idx="0">
                  <c:v>13.3</c:v>
                </c:pt>
              </c:numCache>
            </c:numRef>
          </c:yVal>
          <c:smooth val="0"/>
        </c:ser>
        <c:ser>
          <c:idx val="8"/>
          <c:order val="8"/>
          <c:tx>
            <c:strRef>
              <c:f>Hoja1!$A$10</c:f>
              <c:strCache>
                <c:ptCount val="1"/>
                <c:pt idx="0">
                  <c:v>Zimmer Biomet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3.8</c:v>
                </c:pt>
              </c:numCache>
            </c:numRef>
          </c:xVal>
          <c:yVal>
            <c:numRef>
              <c:f>Hoja1!$C$10</c:f>
              <c:numCache>
                <c:formatCode>0.0"x"</c:formatCode>
                <c:ptCount val="1"/>
                <c:pt idx="0">
                  <c:v>8.4</c:v>
                </c:pt>
              </c:numCache>
            </c:numRef>
          </c:yVal>
          <c:smooth val="0"/>
        </c:ser>
        <c:ser>
          <c:idx val="9"/>
          <c:order val="9"/>
          <c:tx>
            <c:strRef>
              <c:f>Hoja1!$A$11</c:f>
              <c:strCache>
                <c:ptCount val="1"/>
                <c:pt idx="0">
                  <c:v>Intuitive Surgical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13.2</c:v>
                </c:pt>
              </c:numCache>
            </c:numRef>
          </c:xVal>
          <c:yVal>
            <c:numRef>
              <c:f>Hoja1!$C$11</c:f>
              <c:numCache>
                <c:formatCode>0.0"x"</c:formatCode>
                <c:ptCount val="1"/>
                <c:pt idx="0">
                  <c:v>28.6</c:v>
                </c:pt>
              </c:numCache>
            </c:numRef>
          </c:yVal>
          <c:smooth val="0"/>
        </c:ser>
        <c:axId val="10"/>
        <c:axId val="20"/>
      </c:scatterChart>
      <c:valAx>
        <c:axId val="10"/>
        <c:scaling>
          <c:orientation val="minMax"/>
          <c:max val="2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1301</c:v>
                </c:pt>
                <c:pt idx="1">
                  <c:v>1471</c:v>
                </c:pt>
                <c:pt idx="2">
                  <c:v>1645</c:v>
                </c:pt>
                <c:pt idx="3">
                  <c:v>1885</c:v>
                </c:pt>
                <c:pt idx="4">
                  <c:v>2097</c:v>
                </c:pt>
                <c:pt idx="5">
                  <c:v>2280</c:v>
                </c:pt>
                <c:pt idx="6">
                  <c:v>2456</c:v>
                </c:pt>
                <c:pt idx="7">
                  <c:v>2621</c:v>
                </c:pt>
                <c:pt idx="8">
                  <c:v>2771</c:v>
                </c:pt>
                <c:pt idx="9">
                  <c:v>2902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12741</c:v>
                </c:pt>
                <c:pt idx="1">
                  <c:v>17143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85,76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45.58</c:v>
                </c:pt>
                <c:pt idx="1">
                  <c:v>58.18</c:v>
                </c:pt>
                <c:pt idx="2">
                  <c:v>66.46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85,76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(72,30 – 96,29)</c:v>
                </c:pt>
                <c:pt idx="1">
                  <c:v>Precio objetivo de los analistas (81,00 – 110,00)</c:v>
                </c:pt>
                <c:pt idx="2">
                  <c:v>Comparables: PER NTM (48,49 – 83,46)</c:v>
                </c:pt>
                <c:pt idx="3">
                  <c:v>Transacciones precedentes (EV/ventas) (84,45 – 139,59)</c:v>
                </c:pt>
                <c:pt idx="4">
                  <c:v>DCF (WACC y g ± 0,5) (52,90 – 65,14)</c:v>
                </c:pt>
                <c:pt idx="5">
                  <c:v>Escenarios (bajista – alcista) (45,58 – 66,46)</c:v>
                </c:pt>
                <c:pt idx="6">
                  <c:v>DCF con la prima implícita del mercado (4,2 %)</c:v>
                </c:pt>
                <c:pt idx="7">
                  <c:v>Precio actual (85,76)</c:v>
                </c:pt>
              </c:strCache>
            </c:strRef>
          </c:cat>
          <c:val>
            <c:numRef>
              <c:f>Hoja1!$B$2:$B$9</c:f>
              <c:numCache>
                <c:formatCode>#,##0</c:formatCode>
                <c:ptCount val="8"/>
                <c:pt idx="0">
                  <c:v>72.3</c:v>
                </c:pt>
                <c:pt idx="1">
                  <c:v>81</c:v>
                </c:pt>
                <c:pt idx="2">
                  <c:v>48.49</c:v>
                </c:pt>
                <c:pt idx="3">
                  <c:v>84.45</c:v>
                </c:pt>
                <c:pt idx="4">
                  <c:v>52.9</c:v>
                </c:pt>
                <c:pt idx="5">
                  <c:v>45.58</c:v>
                </c:pt>
                <c:pt idx="6">
                  <c:v>60.49</c:v>
                </c:pt>
                <c:pt idx="7">
                  <c:v>85.33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(72,30 – 96,29)</c:v>
                </c:pt>
                <c:pt idx="1">
                  <c:v>Precio objetivo de los analistas (81,00 – 110,00)</c:v>
                </c:pt>
                <c:pt idx="2">
                  <c:v>Comparables: PER NTM (48,49 – 83,46)</c:v>
                </c:pt>
                <c:pt idx="3">
                  <c:v>Transacciones precedentes (EV/ventas) (84,45 – 139,59)</c:v>
                </c:pt>
                <c:pt idx="4">
                  <c:v>DCF (WACC y g ± 0,5) (52,90 – 65,14)</c:v>
                </c:pt>
                <c:pt idx="5">
                  <c:v>Escenarios (bajista – alcista) (45,58 – 66,46)</c:v>
                </c:pt>
                <c:pt idx="6">
                  <c:v>DCF con la prima implícita del mercado (4,2 %)</c:v>
                </c:pt>
                <c:pt idx="7">
                  <c:v>Precio actual (85,76)</c:v>
                </c:pt>
              </c:strCache>
            </c:strRef>
          </c:cat>
          <c:val>
            <c:numRef>
              <c:f>Hoja1!$C$2:$C$9</c:f>
              <c:numCache>
                <c:formatCode>#,##0</c:formatCode>
                <c:ptCount val="8"/>
                <c:pt idx="0">
                  <c:v>23.99000000000001</c:v>
                </c:pt>
                <c:pt idx="1">
                  <c:v>29</c:v>
                </c:pt>
                <c:pt idx="2">
                  <c:v>34.96999999999999</c:v>
                </c:pt>
                <c:pt idx="3">
                  <c:v>55.14</c:v>
                </c:pt>
                <c:pt idx="4">
                  <c:v>12.240000000000002</c:v>
                </c:pt>
                <c:pt idx="5">
                  <c:v>20.879999999999995</c:v>
                </c:pt>
                <c:pt idx="6">
                  <c:v>9.649999999999999</c:v>
                </c:pt>
                <c:pt idx="7">
                  <c:v>0.8599999999999994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