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Elevance Health, Inc.</w:t>
      </w:r>
    </w:p>
    <w:p>
      <w:pPr>
        <w:spacing w:after="60"/>
        <w:rPr>
          <w:color w:val="52514E"/>
          <w:sz w:val="22"/>
          <w:szCs w:val="22"/>
        </w:rPr>
      </w:pPr>
      <w:r>
        <w:rPr>
          <w:color w:val="52514E"/>
          <w:sz w:val="22"/>
          <w:szCs w:val="22"/>
        </w:rPr>
        <w:t xml:space="preserve">ELV · NYSE · ISIN US0367521038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425,27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512,10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+22,0 % (base +23,1 %)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444,43 USD · mercado 498,84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94.623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Elevance Health,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ELV / US0367521038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Managed Health Care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Indianápolis (Indiana) · 2004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elevancehealth.com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425,27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274,84 – 436,24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94.623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123.598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512,10 USD</w:t>
      </w:r>
      <w:r>
        <w:t xml:space="preserve"> frente a 425,27 · Rentabilidad a 12 meses </w:t>
      </w:r>
      <w:r>
        <w:rPr>
          <w:b/>
          <w:bCs/>
        </w:rPr>
        <w:t xml:space="preserve">+22,0 % (base +23,1 %)</w:t>
      </w:r>
      <w:r>
        <w:t xml:space="preserve"> · Valor intrínseco 444,43 USD · con la prima implícita del mercado: 498,84 (+17,3 %) · Alcista / bajista +28,3 % / -30,1 %</w:t>
      </w:r>
    </w:p>
    <w:p>
      <w:pPr>
        <w:spacing w:after="100"/>
      </w:pPr>
      <w:r>
        <w:rPr>
          <w:b/>
        </w:rPr>
        <w:t xml:space="preserve">La recomendación y por qué.</w:t>
      </w:r>
      <w:r>
        <w:t xml:space="preserve"> Mantener, con convicción baja. A 425,27 USD (cierre del 13-oct-2026) [43], nuestro objetivo a 12 meses es de 446,86 USD (PER × BPA ajustado de 2028e, ponderado 25/50/25): una rentabilidad del 6,7 % con el dividendo, y del 12,1 % en el caso base (469,70). El valor intrínseco, 444,43 USD, coincide casi con el objetivo, y el objetivo medio de los analistas (451,38, 22 analistas) [44] queda dentro de nuestro rango (296,13-551,89). La razón principal: la subida desde ≈ 373 USD en julio ya paga la recuperación del margen que promete la dirección, y la asimetría a 12 meses es de 0,98 veces. La convicción es baja porque las reglas discrepan: con nuestro WACC sale Mantener; con la prima implícita del mercado, el valor sube a 498,84 USD (Comprar). La subiría un 3T26 (21-oct) con el ratio de prestaciones por debajo del 89 % y una base de 2027 confirmada, o un precio por debajo de 394,53 USD.</w:t>
      </w:r>
    </w:p>
    <w:p>
      <w:pPr>
        <w:spacing w:after="100"/>
      </w:pPr>
      <w:r>
        <w:rPr>
          <w:b/>
        </w:rPr>
        <w:t xml:space="preserve">El negocio.</w:t>
      </w:r>
      <w:r>
        <w:t xml:space="preserve"> Franquicia Blue Cross Blue Shield en 14 estados, 2.º en seguro comercial (12 %) con 45,2 M de afiliados [1, 35], pero con el margen hundido: el ratio de prestaciones subió del 87,0 % (2023) al 90,0 % (2025) por Medicaid, Medicare Advantage y el ACA [1]. El ROIC (10,5 %) supera al WACC (8,40 %) por solo 2,1 puntos. La calidad sostiene el crecimiento proyectado solo en parte: tiene poder de precios con un año de retraso y no necesita capital, pero no gana cuota y el margen depende de tarifas públicas.</w:t>
      </w:r>
    </w:p>
    <w:p>
      <w:pPr>
        <w:spacing w:after="100"/>
      </w:pPr>
      <w:r>
        <w:rPr>
          <w:b/>
        </w:rPr>
        <w:t xml:space="preserve">Finanzas.</w:t>
      </w:r>
      <w:r>
        <w:t xml:space="preserve"> El FCF cayó de 7.277 M (2021) a 3.174 M (2025) y la matriz solo tiene ≈ 2.100 M de caja libre [3]: siguiendo la lección de UnitedHealth, el puente no cuenta los 9.491 M de caja consolidada, que respaldan las reservas, y el capital estatutario se descuenta como inversión.</w:t>
      </w:r>
    </w:p>
    <w:p>
      <w:pPr>
        <w:spacing w:after="100"/>
      </w:pPr>
      <w:r>
        <w:rPr>
          <w:b/>
        </w:rPr>
        <w:t xml:space="preserve">Equipo y gobierno.</w:t>
      </w:r>
      <w:r>
        <w:t xml:space="preserve"> Resta algo: dos guías incumplidas (2024 y 2025) [14, 42], aunque la de 2026 se ha subido dos veces y la consejera delegada compró ≈ 1 M USD en acciones [40].</w:t>
      </w:r>
    </w:p>
    <w:p>
      <w:pPr>
        <w:spacing w:after="100"/>
      </w:pPr>
      <w:r>
        <w:rPr>
          <w:b/>
        </w:rPr>
        <w:t xml:space="preserve">Valoración.</w:t>
      </w:r>
      <w:r>
        <w:t xml:space="preserve"> El DCF da 465,14 USD (WACC 8,40 %, valor terminal del 71 %), los escenarios ponderados 444,43 de síntesis y el PER de los comparables 405,40. El DCF inverso dice que el precio descuenta un crecimiento del 2,8 % anual (frente a nuestro 4,2 %) o un margen EBITDA final del 5,7 % (frente a nuestro 6,0 %): casi toda la normalización. A 14,0 veces nuestro BPA ajustado de 2027e, el PER ya está en su mediana de cinco años (14,2x). Nuestro BPA de 2028e (33,55) supera en un 3,3 % al consenso.</w:t>
      </w:r>
    </w:p>
    <w:p>
      <w:pPr>
        <w:spacing w:after="100"/>
      </w:pPr>
      <w:r>
        <w:rPr>
          <w:b/>
        </w:rPr>
        <w:t xml:space="preserve">Riesgos y catalizadores.</w:t>
      </w:r>
      <w:r>
        <w:t xml:space="preserve"> El coste médico de los negocios públicos es el riesgo dominante: el bajista (margen de 2025 prolongado) lleva a 296,13 USD a 12 meses, y cada punto de margen EBITDA vale ≈ 118 USD por acción. Catalizadores: 3T26 el 21-oct, inscripción de Medicare y del ACA hasta el 7-dic y guía de 2027 a finales de enero [49]. Los foros están divididos: los particulares de Reddit siguen bajistas mientras los analistas compran [45, 79].</w:t>
      </w:r>
    </w:p>
    <w:p>
      <w:pPr>
        <w:spacing w:after="100"/>
      </w:pPr>
      <w:r>
        <w:rPr>
          <w:b/>
        </w:rPr>
        <w:t xml:space="preserve">Qué cambiaría la decisión.</w:t>
      </w:r>
      <w:r>
        <w:t xml:space="preserve"> Compraríamos por debajo de 394,53 USD y venderíamos por encima de 504,13. Pasaríamos a Comprar si la guía de 2027 confirma un BPA ajustado de al menos 30 USD con el margen de Medicaid en positivo, y a Vender si el ratio de prestaciones vuelve por encima del 90 % fuera del cuarto trimestre.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512,10 USD</w:t>
      </w:r>
      <w:r>
        <w:t xml:space="preserve"> (rentabilidad +22,0 % (base +23,1 %)) · Valor intrínseco: 444,43 USD (+4,5 % sobre 425,27) · con la prima implícita del mercado: 498,84 (+17,3 %)</w:t>
      </w:r>
    </w:p>
    <w:p>
      <w:pPr>
        <w:spacing w:after="100"/>
      </w:pPr>
      <w:r>
        <w:t xml:space="preserve">Elevance es la mayor licenciataria de Blue Cross Blue Shield: 197.600 M USD de ingresos en 2025, 45,2 M de afiliados médicos y el 12 % del seguro comercial de EE. UU. [1, 35]. Su valor está en la marca y la red de proveedores en 14 estados, en el ratio de gastos más bajo del sector (10,6 %) y en una caja que crece con las primas. En 2024-2025 perdió margen: el ratio de prestaciones llegó al 90,0 % y el BPA ajustado bajó de 33,14 a 30,29 USD [1, 14].</w:t>
      </w:r>
    </w:p>
    <w:p>
      <w:pPr>
        <w:spacing w:after="100"/>
      </w:pPr>
      <w:r>
        <w:t xml:space="preserve">A 425,27 USD el precio descuenta un margen EBITDA final del 5,7 %, casi el 6,0 % de 2023-2024, o un crecimiento del 2,8 % anual. Cotiza a 14,0 veces nuestro BPA ajustado de 2027e, en la mediana de su historia y de sus comparables (14,2x).</w:t>
      </w:r>
    </w:p>
    <w:p>
      <w:pPr>
        <w:spacing w:after="100"/>
      </w:pPr>
      <w:r>
        <w:t xml:space="preserve">El mercado acierta en lo esencial. Coincidimos con el consenso en la recuperación (nuestro BPA de 2028e, 33,55 USD, está un 3,3 % por encima) y por eso el valor (444,43 USD) apenas supera el precio. Para invertir hay que creer que Medicaid vuelve a margen positivo, que las tarifas de Medicare Advantage de 2028 acompañan y que la promesa de +12 % en 2027 no se apoya en partidas no recurrentes. Es posible, pero ya está pagado.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26,44 = 325,21 · 15,4x × 33,55 = 516,67 · 18,5x × 37,29 = 689,87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 / 23,1 %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451,38 (nuestro base +14,5 %)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444,43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 / -30,1 %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8,4 %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498,84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frente a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444,43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444,43 y 576,63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576,63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cae por debajo de 394,53 USD sin cambio en las cifras, pasaríamos a Comprar.</w:t>
      </w:r>
    </w:p>
    <w:p>
      <w:pPr>
        <w:pStyle w:val="ListParagraph"/>
        <w:numPr>
          <w:ilvl w:val="0"/>
          <w:numId w:val="2"/>
        </w:numPr>
        <w:spacing w:after="60"/>
      </w:pPr>
      <w:r>
        <w:t xml:space="preserve">Si la guía de 2027 (enero) da un BPA ajustado de al menos 30 USD con Medicaid en margen positivo, revisaríamos al alza el caso base.</w:t>
      </w:r>
    </w:p>
    <w:p>
      <w:pPr>
        <w:pStyle w:val="ListParagraph"/>
        <w:numPr>
          <w:ilvl w:val="0"/>
          <w:numId w:val="2"/>
        </w:numPr>
        <w:spacing w:after="60"/>
      </w:pPr>
      <w:r>
        <w:t xml:space="preserve">Si el ratio de prestaciones del 3T26 supera el 91 % o hay desarrollo desfavorable de reservas, pasaríamos a Vender.</w:t>
      </w:r>
    </w:p>
    <w:p>
      <w:pPr>
        <w:pStyle w:val="ListParagraph"/>
        <w:numPr>
          <w:ilvl w:val="0"/>
          <w:numId w:val="2"/>
        </w:numPr>
        <w:spacing w:after="60"/>
      </w:pPr>
      <w:r>
        <w:t xml:space="preserve">Si el precio supera 504,13 USD,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final del 5,7 % y un crecimiento del 2,8 % anual en 2027-2032: casi toda la vuelta a los márgenes de 2023-2024. Los analistas van más allá: 15 de 23 recomiendan comprar y el objetivo medio es de 451,38 USD [44, 45].</w:t>
      </w:r>
    </w:p>
    <w:p>
      <w:pPr>
        <w:keepNext/>
        <w:spacing w:after="100"/>
      </w:pPr>
      <w:r>
        <w:rPr>
          <w:b/>
          <w:bCs/>
        </w:rPr>
        <w:t xml:space="preserve">Lo que creemos nosotros.</w:t>
      </w:r>
    </w:p>
    <w:p>
      <w:pPr>
        <w:spacing w:after="100"/>
      </w:pPr>
      <w:r>
        <w:t xml:space="preserve">Coincidimos en la recuperación y no vemos una cifra que el mercado no tenga: con nuestro coste de capital (8,40 %) el valor está un 4,5 % por encima del precio. No tenemos una visión distinta de la del mercado.</w:t>
      </w:r>
    </w:p>
    <w:p>
      <w:pPr>
        <w:keepNext/>
        <w:spacing w:after="100"/>
      </w:pPr>
      <w:r>
        <w:rPr>
          <w:b/>
          <w:bCs/>
        </w:rPr>
        <w:t xml:space="preserve">Por qué podemos tener razón.</w:t>
      </w:r>
    </w:p>
    <w:p>
      <w:pPr>
        <w:spacing w:after="100"/>
      </w:pPr>
      <w:r>
        <w:t xml:space="preserve">La diferencia entre nuestro valor y el de los analistas sale de la tasa de descuento (con la prima implícita del mercado obtenemos 498,84 USD) y del riesgo de los negocios públicos, que pesamos con un bajista del 25 % al PER mínimo de cinco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Guía al alza</w:t>
      </w:r>
      <w:r>
        <w:t xml:space="preserve">: BPA ajustado de 2026 subido dos veces, de ≥ 25,50 a ≥ 27,00 USD [3].</w:t>
      </w:r>
    </w:p>
    <w:p>
      <w:pPr>
        <w:pStyle w:val="ListParagraph"/>
        <w:numPr>
          <w:ilvl w:val="0"/>
          <w:numId w:val="2"/>
        </w:numPr>
        <w:spacing w:after="60"/>
      </w:pPr>
      <w:r>
        <w:rPr>
          <w:b/>
        </w:rPr>
        <w:t xml:space="preserve">Franquicia Blue</w:t>
      </w:r>
      <w:r>
        <w:t xml:space="preserve">: 12 % del seguro comercial y el ratio de gastos más bajo del sector (10,6 %) [1, 35].</w:t>
      </w:r>
    </w:p>
    <w:p>
      <w:pPr>
        <w:pStyle w:val="ListParagraph"/>
        <w:numPr>
          <w:ilvl w:val="0"/>
          <w:numId w:val="2"/>
        </w:numPr>
        <w:spacing w:after="60"/>
      </w:pPr>
      <w:r>
        <w:rPr>
          <w:b/>
        </w:rPr>
        <w:t xml:space="preserve">Disciplina de precios</w:t>
      </w:r>
      <w:r>
        <w:t xml:space="preserve">: sale de mercados de Medicaid con pérdidas (margen −1,75 % en 2026e) [17].</w:t>
      </w:r>
    </w:p>
    <w:p>
      <w:pPr>
        <w:pStyle w:val="ListParagraph"/>
        <w:numPr>
          <w:ilvl w:val="0"/>
          <w:numId w:val="2"/>
        </w:numPr>
        <w:spacing w:after="60"/>
      </w:pPr>
      <w:r>
        <w:rPr>
          <w:b/>
        </w:rPr>
        <w:t xml:space="preserve">Con la prima del mercado</w:t>
      </w:r>
      <w:r>
        <w:t xml:space="preserve"> el valor sube a 498,84 USD (+17,3 %).</w:t>
      </w:r>
    </w:p>
    <w:p>
      <w:pPr>
        <w:pStyle w:val="ListParagraph"/>
        <w:numPr>
          <w:ilvl w:val="0"/>
          <w:numId w:val="2"/>
        </w:numPr>
        <w:spacing w:after="60"/>
      </w:pPr>
      <w:r>
        <w:rPr>
          <w:b/>
        </w:rPr>
        <w:t xml:space="preserve">Compra de la consejera delegada</w:t>
      </w:r>
      <w:r>
        <w:t xml:space="preserve">: ≈ 1 M USD tras la guía de 2026 [40].</w:t>
      </w:r>
    </w:p>
    <w:p>
      <w:pPr>
        <w:pStyle w:val="Heading2"/>
      </w:pPr>
      <w:r>
        <w:t xml:space="preserve">En contra</w:t>
      </w:r>
    </w:p>
    <w:p>
      <w:pPr>
        <w:pStyle w:val="ListParagraph"/>
        <w:numPr>
          <w:ilvl w:val="0"/>
          <w:numId w:val="2"/>
        </w:numPr>
        <w:spacing w:after="60"/>
      </w:pPr>
      <w:r>
        <w:rPr>
          <w:b/>
        </w:rPr>
        <w:t xml:space="preserve">El precio ya paga la recuperación</w:t>
      </w:r>
      <w:r>
        <w:t xml:space="preserve">: rentabilidad a 12 meses ponderada del 6,7 %.</w:t>
      </w:r>
    </w:p>
    <w:p>
      <w:pPr>
        <w:pStyle w:val="ListParagraph"/>
        <w:numPr>
          <w:ilvl w:val="0"/>
          <w:numId w:val="2"/>
        </w:numPr>
        <w:spacing w:after="60"/>
      </w:pPr>
      <w:r>
        <w:rPr>
          <w:b/>
        </w:rPr>
        <w:t xml:space="preserve">Poca creación de valor</w:t>
      </w:r>
      <w:r>
        <w:t xml:space="preserve">: ROIC del 10,5 % frente a un WACC del 8,40 %, y ROIC incremental del 0,7 %.</w:t>
      </w:r>
    </w:p>
    <w:p>
      <w:pPr>
        <w:pStyle w:val="ListParagraph"/>
        <w:numPr>
          <w:ilvl w:val="0"/>
          <w:numId w:val="2"/>
        </w:numPr>
        <w:spacing w:after="60"/>
      </w:pPr>
      <w:r>
        <w:rPr>
          <w:b/>
        </w:rPr>
        <w:t xml:space="preserve">Caja libre escasa</w:t>
      </w:r>
      <w:r>
        <w:t xml:space="preserve">: ≈ 2.100 M en la matriz y FCF de 3.174 M en 2025 [3].</w:t>
      </w:r>
    </w:p>
    <w:p>
      <w:pPr>
        <w:pStyle w:val="ListParagraph"/>
        <w:numPr>
          <w:ilvl w:val="0"/>
          <w:numId w:val="2"/>
        </w:numPr>
        <w:spacing w:after="60"/>
      </w:pPr>
      <w:r>
        <w:rPr>
          <w:b/>
        </w:rPr>
        <w:t xml:space="preserve">Guías incumplidas</w:t>
      </w:r>
      <w:r>
        <w:t xml:space="preserve"> en 2024 y 2025 [14, 42].</w:t>
      </w:r>
    </w:p>
    <w:p>
      <w:pPr>
        <w:pStyle w:val="ListParagraph"/>
        <w:numPr>
          <w:ilvl w:val="0"/>
          <w:numId w:val="2"/>
        </w:numPr>
        <w:spacing w:after="60"/>
      </w:pPr>
      <w:r>
        <w:rPr>
          <w:b/>
        </w:rPr>
        <w:t xml:space="preserve">Bajista profundo</w:t>
      </w:r>
      <w:r>
        <w:t xml:space="preserve">: 296,13 USD a 12 meses (−28,8 %) si el margen se queda en el de 2025.</w:t>
      </w:r>
    </w:p>
    <w:p>
      <w:pPr>
        <w:pStyle w:val="Heading2"/>
      </w:pPr>
      <w:r>
        <w:t xml:space="preserve">Qué tiene que pasar para que la tesis funcione</w:t>
      </w:r>
    </w:p>
    <w:p>
      <w:pPr>
        <w:spacing w:after="100"/>
      </w:pPr>
      <w:r>
        <w:t xml:space="preserve">La tesis depende de que el ratio de prestaciones baje del 90 % de 2025 al ≈ 88 % con las subidas de primas y la salida de Medicaid, no con reservas favorables. La señal de que no se cumple: un ratio trimestral por encima del 90 % fuera del cuarto trimestre o una guía de 2027 por debajo de +12 % de BPA ajustado. La segunda condición es la caja: que las filiales vuelvan a pagar dividendos a la matriz y las recompras superen los 500 M al trimestre.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prestaciones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 (2T26); 90,0 %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90 % fuera del 4T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 118 USD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siniestros pendientes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(30-jun-26)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real de la contable.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de la matriz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2.100 M (30-jun-26)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Limita recompras y dividendos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BPA ajustado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sobre 2026 (≈ 30,2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29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Medicaid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mejora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palanca del margen [17].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 / 14,8x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Elevance Health nace en 2004 de la fusión de Anthem (Indiana) y WellPoint (California), las dos mayores licenciatarias de Blue Cross Blue Shield. Como WellPoint compró Amerigroup en 2012 (Medicaid) y volvió a llamarse Anthem en 2014; su intento de comprar Cigna (2015) lo bloquearon los tribunales en 2017. Desde 2017, con Gail Boudreaux de consejera delegada, ha añadido servicios: gestor de farmacia propio (IngenioRx, hoy CarelonRx, desde 2020), Beacon Health Options (salud conductual, 2020), MMM de Puerto Rico (2021), BioPlus (2023), Paragon y CareBridge (2024-2025). En 2022 cambió el nombre a Elevance Health y agrupó los servicios en Carelon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Anthem y WellPoint.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Amerigroup: entrada en Medicaid gestionado.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tribunales bloquean la compra de Cigna; Gail Boudreaux, consejera delegada.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su propio gestor de farmacia (IngenioRx, hoy CarelonRx) y compra Beacon Health Options.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nombre a Elevance Health; los servicios pasan a Carelon.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 la compra de Blue Cross Blue Shield de Luisiana; compra CareBridge y Paragon.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prestaciones del 90,0 % y recorte de la guía; BPA ajustado de 30,29 USD frente a 33,14 en 2023.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de 342 M a CMS por el caso de Medicare Advantage; salida de mercados de Medicaid y guía subida a ≥ 27 USD .</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Elevance Health es la segunda aseguradora de salud de EE. UU. por afiliados en seguro comercial y la mayor licenciataria de Blue Cross Blue Shield: 45,2 M de afiliados médicos a cierre de 2025 en planes de empresa (asegurados y de autoservicio, ASO), individuales del ACA, Medicare Advantage y Medicaid gestionado [1]. Opera en cuatro negocios: Health Benefits (las primas, ≈ 83 % de los ingresos: 164.639 M de primas sobre 197.600 M de ingresos operativos en 2025) [1], CarelonRx (gestor de farmacia propio desde 2020 y farmacia especializada), y Carelon Services (salud conductual, atención domiciliaria y pacientes complejos tras comprar CareBridge y Paragon) [1]. Sus clientes son empresas, particulares y, sobre todo, el Estado: Medicaid y Medicare pagan la parte pública de las primas.</w:t>
      </w:r>
    </w:p>
    <w:p>
      <w:pPr>
        <w:pStyle w:val="Heading2"/>
      </w:pPr>
      <w:r>
        <w:t xml:space="preserve">Cómo gana dinero</w:t>
      </w:r>
    </w:p>
    <w:p>
      <w:pPr>
        <w:spacing w:after="100"/>
      </w:pPr>
      <w:r>
        <w:t xml:space="preserve">Cobra primas por adelantado y paga la atención médica después: el margen es la diferencia entre la prima y el coste médico (ratio de prestaciones: 90,0 % de las primas en 2025, 88,5 % en 2024 y 87,0 % en 2023) menos los gastos operativos (10,6 % de los ingresos en 2025) [1]. Un punto de ratio de prestaciones sobre ≈ 165.000 M de primas son ≈ 1.650 M de resultado antes de impuestos, unos 5,7 USD por acción (estimación propia). La prima se fija con un año de antelación (comercial) o la fija el Estado (Medicare Advantage, Medicaid), así que un salto del coste médico se come el margen un año y se recupera con retraso. Gana además el rendimiento de la cartera de las filiales reguladas y los márgenes de CarelonRx y Carelon Services sobre los propios afiliados. Estacionalidad: el primer trimestre es el mejor (BPA ajustado de 12,58 USD en el 1T26) y el cuarto el peor (3,33 USD en el 4T25) por los deducibles y Part D [2, 4].</w:t>
      </w:r>
    </w:p>
    <w:p>
      <w:pPr>
        <w:pStyle w:val="Heading2"/>
      </w:pPr>
      <w:r>
        <w:t xml:space="preserve">Clientes, recurrencia y poder de precios</w:t>
      </w:r>
    </w:p>
    <w:p>
      <w:pPr>
        <w:spacing w:after="100"/>
      </w:pPr>
      <w:r>
        <w:t xml:space="preserve">No hay concentración en un cliente privado, pero sí en el pagador público: Medicaid (contratos estatales que se licitan cada 3-5 años) y Medicare Advantage (tarifas fijadas por CMS cada año) pesan mucho en el riesgo. El poder de precios se ve en 2026: la empresa ha subido las primas («premium yields») y ha salido de mercados de Medicaid y de condados del ACA y de Medicare Advantage con pérdidas, aceptando perder afiliados: los ingresos crecen un 1,5 % y un 0,8 % en el 1T y el 2T26 con menos afiliados de riesgo [3, 4, 17]. En Medicaid los estados no han subido las tarifas al ritmo del coste: la dirección prevé un margen operativo de −1,75 % en 2026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prestaciones (benefit expense ratio,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médico por encima de lo previsto en ACA, Medicaid y Medicare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prestaciones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pb interanual en el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médico elevado en los negocios públicos; el ACA compensa en parte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gastos operativos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pb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aceleradas en capacidades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siniestros pendientes de pago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días (30-jun-26)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 la prudencia de las reservas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Afiliados médicos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M (2024,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Caen Medicare Advantage, Medicaid y grupo con riesgo; sube el ACA hasta junio de 2026 [4,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sanitario de EE. UU., donde UnitedHealth cobra primas y servicios: las cuentas nacionales de salud de CMS (National Health Expenditures) lo miden en 5,28 billones de USD en 2024 [22]. Dentro de él, los subsectores de UnitedHealth son el seguro privado (1,64 billones en 2024), Medicare (1,12 billones, del que Medicare Advantage cubre al 55 % de los beneficiarios elegibles en 2026) y Medicaid (0,93 billones), además de los fármacos de receta (467.000 M) que intermedian los gestores de farmacia [22, 25]. Se usa la serie oficial de la Oficina del Actuario de CMS [24]; la segunda fuente, la propia UnitedHealth, sitúa el gasto sanitario en el 19 % del PIB en 2025 [20], frente al 18,0 % de 2024 de CMS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 billones de USD en 2024 (18,0 % del PIB) y 5,66 billones estimados en 2025; CMS proyecta 9,0 billones en 2034 [22, 23,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paso a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crece un 2,8 % en 2025 y un 2,7 % en 2026; CMS prevé que el gasto de Medicare crezca un 7,7 % anual en 2025-34, frente al 5,0 % del seguro privado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Medicare Advantage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55 % de los beneficiarios elegibles (35,2 M) está en Medicare Advantage en 2026, frente al 19 % en 2007; la CBO prevé el 63 % en 2034, aunque el crecimiento se frena (+3 % en 2026)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y coste médico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subió el ratio de siniestralidad de todo el sector: UnitedHealth del 85,5 % al 89,1 %, Elevance del 88,5 % al 90,0 %, Centene del 88,3 % al 91,9 % y Molina del 89,1 % al 91,7 % [1, 20, 29, 30]. CMS prevé que el gasto se modere del 7,3 % en 2025 al 6,3 % en 2026 por menor utilización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y ajuste por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pagos del 5,06 % en 2026 y del 2,48 % en 2027 (4,98 % con la tendencia de puntuaciones de riesgo); la revisión del modelo de riesgo resta un 1,12 % en 2027 y la exclusión de diagnósticos de revisiones de historias no vinculadas, un 1,53 % [31,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Medicaid y fin de los subsidios reforzados del ACA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prevé 3,7 M menos de asegurados en compra directa en 2026 por el fin de los subsidios reforzados y 2,6 M menos en Medicaid en 2027-28 por los requisitos de la ley OBBBA; el seguro de la población baja del 91,8 % en 2024 al 90,4 % en 2028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de especialidad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en fármacos de receta crece un 11,1 % en 2025 (518.700 M) por diabetes y obesidad [23]; más volumen para los gestores de farmacia y más coste para las aseguradoras. Optum Rx gestionó 87.000 M en especialidad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afiliados cambian de aseguradora cada año: en Medicare Advantage Humana ganó 1,3 M de afiliados en 2026 y UnitedHealth perdió 647.000 [25]. Los márgenes operativos de 2025 fueron bajos: del −3,9 % de Centene al 4,2 % de UnitedHealth [1, 20, 26, 27, 28, 29,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fija el precio en Medicare y Medicaid: CMS propuso una subida de solo el 0,09 % para 2027 y es el 44 % de los ingresos de UnitedHealth [20, 32]. Las grandes empresas se autoaseguran: 21,5 M de los 29,7 M de afiliados comerciales de UnitedHealth están en contratos de solo administración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hospitalario creció un 8,9 % en 2024 [22]. UnitedHealth atribuye el coste comercial elevado a precios de los proveedores, servicios agrupados por visita y al arbitraje de la ley No Surprises [21]. Los laboratorios fijan el precio de los fármacos de especialidad.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capital regulado, redes de proveedores y escala: los cinco mayores tienen el 57 % del seguro comercial y en el 97 % de las áreas metropolitanas el mercado está muy concentrado [35]. Hay entrantes en Medicare Advantage: Devoted Health ganó 258.000 afiliados en 2026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de Medicare Advantage es Medicare tradicional (el 45 % de los elegibles sigue en él) [25]; el del seguro con riesgo, el autoaseguramiento de la empresa, que UnitedHealth también administra [20].</w:t>
            </w:r>
          </w:p>
        </w:tc>
      </w:tr>
    </w:tbl>
    <w:p>
      <w:pPr>
        <w:spacing w:after="160" w:before="0"/>
      </w:pPr>
    </w:p>
    <w:p>
      <w:pPr>
        <w:pStyle w:val="Heading2"/>
      </w:pPr>
      <w:r>
        <w:t xml:space="preserve">Ciclo</w:t>
      </w:r>
    </w:p>
    <w:p>
      <w:pPr>
        <w:spacing w:after="100"/>
      </w:pPr>
      <w:r>
        <w:t xml:space="preserve">El sector viene de un ciclo de siniestralidad alta: en 2025 el ratio de siniestralidad subió entre 1,5 y 3,6 puntos en las grandes aseguradoras y Centene registró un deterioro de 6.700 M [1, 20, 29, 30]. En 2026 las primas se han subido y se han recortado prestaciones y afiliados: el MCR de UnitedHealth bajó al 86,7 % en el 2T26 con 860 M de desarrollo favorable de ejercicios anteriores [21, 37]. En 2020 la utilización se hundió (el gasto del seguro privado creció solo un 0,4 %) y repuntó en 2023 (+11,2 %) [24]. La serie de CMS no cubre 2008-09.</w:t>
      </w:r>
    </w:p>
    <w:p>
      <w:pPr>
        <w:pStyle w:val="Heading2"/>
      </w:pPr>
      <w:r>
        <w:t xml:space="preserve">Regulación</w:t>
      </w:r>
    </w:p>
    <w:p>
      <w:pPr>
        <w:spacing w:after="100"/>
      </w:pPr>
      <w:r>
        <w:t xml:space="preserve">Medicare Advantage: CMS subió los pagos un 5,06 % para 2026 (más de 25.000 M) y, tras proponer un 0,09 % el 26-ene-2026, fijó un 2,48 % para 2027 el 6-abr-2026 (más de 13.000 M; 4,98 % con la tendencia de riesgo); renunció al nuevo modelo de riesgo de 2027 y mantiene el de 2024 (V28), pero excluye diagnósticos de revisiones de historias no vinculadas [31, 32, 33]. Farmacia: la ley de presupuestos firmada a principios de febrero de 2026 desvincula la remuneración de los gestores de farmacia del precio de los fármacos en Part D y obliga a trasladar los descuentos [36]. ACA: expiraron los subsidios reforzados (−3,7 M asegurados en 2026) [23]. Medicaid: la ley OBBBA limita impuestos a proveedores y pagos dirigidos y exige requisitos de trabajo [23].</w:t>
      </w:r>
    </w:p>
    <w:p>
      <w:pPr>
        <w:pStyle w:val="Heading2"/>
      </w:pPr>
      <w:r>
        <w:t xml:space="preserve">Tendencias y disrupción</w:t>
      </w:r>
    </w:p>
    <w:p>
      <w:pPr>
        <w:spacing w:after="100"/>
      </w:pPr>
      <w:r>
        <w:t xml:space="preserve">Tres tendencias pesan en las cifras. Primera, la integración vertical: aseguradora, gestor de farmacia y médicos propios en un mismo grupo (UnitedHealth con Optum, CVS con Aetna y Caremark, Cigna con Express Scripts); es la base del modelo de UnitedHealth, pero atrae la regulación de los gestores de farmacia [36]. Segunda, el paso de pago por acto a atención basada en valor, que en 2025 dio pérdidas a Optum Health (−278 M) por la reducción de las tarifas de Medicare [20]. Tercera, la caída de la cuota de los grandes en Medicare Advantage frente a Humana, Kaiser y aseguradoras nuevas (Devoted, SCAN) [25]. La inteligencia artificial y la regulación de datos aparecen como riesgo y oportunidad en el 10-K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en seguro médico comercial en EE. UU. (12 % de los afiliados en 2024, detrás de UnitedHealth con el 16 %) [35]; ≈ 5 % de Medicare Advantage [25]; uno de los mayores en Medicaid gestionado y en el ACA. Sus ingresos de 2025 equivalen al 3,5 % del gasto sanitario nacional estimado (estimación propia: 197.600 M sobre 5,66 billones)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1.º en seguro comercial (16 %) y en Medicare Advantage (26 %), con Optum (servicios, tecnología y farmacia). Ratio de siniestralidad del 89,1 % en 2025 [20, 25,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 (Aetna, CVS Caremark)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integrado como UnitedHealth: aseguradora (26,6 M de afiliados médicos, MBR del 91,2 %), Caremark (1.900,7 M de recetas) y farmacias. Beneficio operativo de 4.660 M en 2025. Cuota en Medicare Advantage [25,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 (Express Scripts, Evernorth)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gestión de farmacia: Express Scripts procesó 2.220 M de recetas en 2025 (≈31 % del mercado, estimación propia) [34]. Vendió Medicare Advantage a HCSC; 18,1 M de clientes médicos y MCR del 84,4 % en Cigna Healthcare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Medicaid gestionado y en el seguro individual del ACA; 27,6 M de afiliados y HBR del 91,9 %. Pérdida operativa de 7.623 M en 2025 por un deterioro de fondo de comercio de 6.700 M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Medicare Advantage y el que más crece (+1,3 M de afiliados en 2026) [25]. Ratio de prestaciones del 90,2 % y 15,0 M de afiliados médicos en 2025; CenterWell (atención primaria y domiciliaria) compite con Optum Health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Molina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Medicare y ACA; 5,5 M de afiliados y MCR del 91,7 % en 2025 (89,1 % en 2024); compite con Community &amp; State en concursos estatales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proveedores de Blue Cross Blue Shield (descuentos negociados en 14 estados) atrae a empresas, pero el afiliado no gana valor con más afiliados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de seguro se renuevan cada año; el grupo de empresa (ASO) es más estable que Medicare Advantage o Medicaid, que se licitan o se eligen cada año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exclusiva de la marca Blue Cross Blue Shield en 14 estados: es la principal barrera y explica el 12 % de cuota en seguro comercial [7,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gastos operativos del 10,6 % en 2025, el más bajo entre las grandes (UnitedHealth 13,3 %, Humana 12,0 %) [1, 7,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45,2 M de afiliados médicos: escala local para negociar con hospitales, pero menor que UnitedHealth (49,8 M) y sin una Optum [7].</w:t>
            </w:r>
          </w:p>
        </w:tc>
      </w:tr>
    </w:tbl>
    <w:p>
      <w:pPr>
        <w:spacing w:after="160" w:before="0"/>
      </w:pPr>
    </w:p>
    <w:p>
      <w:pPr>
        <w:pStyle w:val="Heading2"/>
      </w:pPr>
      <w:r>
        <w:t xml:space="preserve">Amenazas</w:t>
      </w:r>
    </w:p>
    <w:p>
      <w:pPr>
        <w:spacing w:after="100"/>
      </w:pPr>
      <w:r>
        <w:t xml:space="preserve">La regulación es la amenaza principal: Medicaid (recortes de la ley OBBBA y redeterminaciones), ajuste de riesgo de Medicare Advantage (V28 y fuentes de diagnóstico) y el fin de los subsidios reforzados del ACA reducen afiliados e ingresos por miembro justo en los negocios públicos donde Elevance perdió margen en 2025 [31, 32]. En comercial, la presión viene de los hospitales (consolidación) y de los fármacos GLP-1 y de especialidad. Es una erosión de margen, no de la franquicia Blue.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197.600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2021-2025: ingresos </w:t>
      </w:r>
      <w:r>
        <w:rPr>
          <w:b/>
          <w:bCs/>
        </w:rPr>
        <w:t xml:space="preserve">9,6 %</w:t>
      </w:r>
      <w:r>
        <w:t xml:space="preserve">, EBITDA </w:t>
      </w:r>
      <w:r>
        <w:rPr>
          <w:b/>
          <w:bCs/>
        </w:rPr>
        <w:t xml:space="preserve">-1,1 %</w:t>
      </w:r>
      <w:r>
        <w:t xml:space="preserve">, BPA </w:t>
      </w:r>
      <w:r>
        <w:rPr>
          <w:b/>
          <w:bCs/>
        </w:rPr>
        <w:t xml:space="preserve">0,5 %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operativos crecieron de 136.943 M (2021) a 197.600 M (2025), con un salto del 12,8 % en 2025 por las subidas de primas, CarelonRx y las compras de servicios (CareBridge, Paragon) [1, 2]. El beneficio no acompañó: el EBIT (antes de intereses, con la renta de la cartera) se quedó en 8.112 M en 2025 frente a 8.793 M en 2021, y el margen EBITDA pasó del 7,4 % de 2021 al 6,0 % de 2023-2024 y al 4,9 % en 2025. La causa es el coste médico: el ratio de prestaciones subió del 87,0 % (2023) al 90,0 % (2025), con el 4T25 al 93,5 % por el ACA y Part D [1, 2]. El beneficio por acción se sostuvo (25,21 USD en 2025 frente a 24,73 en 2021) por las recompras (de 246,8 a 224,6 M de acciones) y por un tipo impositivo del 15,6 % en 2025, frente al 24,5 % de 2024 [1].</w:t>
      </w:r>
    </w:p>
    <w:p>
      <w:pPr>
        <w:pStyle w:val="Heading2"/>
      </w:pPr>
      <w:r>
        <w:t xml:space="preserve">Ajustes y partidas no recurrentes</w:t>
      </w:r>
    </w:p>
    <w:p>
      <w:pPr>
        <w:spacing w:after="100"/>
      </w:pPr>
      <w:r>
        <w:t xml:space="preserve">Elevance publica un BPA ajustado que excluye la amortización de intangibles comprados (≈ 628 M al año), los costes de reorganización («business optimization»), resultados de inversiones y litigios: 30,29 USD en 2025 frente a 25,21 contables, y una guía de 2026 de al menos 27,00 frente a 20,10 contables [2, 3]. La diferencia de 2026 incluye el pago de 342 M a CMS [12]. Según la dirección, 2025 llevaba ≈ 3,75 USD por acción de partidas favorables no recurrentes [2], y el 1T26 ≈ 1 USD de renta de inversiones no recurrente [4]. La cuenta del informe es la contable; el objetivo a 12 meses usa el BPA ajustado de forma coherente en historia y escenarios.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2T26 (15-jul) la dirección subió por segunda vez la guía de BPA ajustado de 2026, a al menos 27,00 USD (≥ 25,50 en enero, ≥ 26,75 en abril), y el flujo operativo a al menos 6.000 M, con un BPA ajustado de 7,45 USD frente a un consenso de ≈ 6,18 [3]. El mensaje cambió entre conferencias: en abril el tono era de prudencia con un ratio de prestaciones del 86,8 % [10]; en julio, de recuperación con el ratio en el 89,7 % (+80 pb) por los negocios públicos, compensados por el ACA, y con más gasto en capacidades (gastos operativos ajustados del 11,0 %, +100 pb) [3]. Los analistas preguntaron por Medicaid, donde la empresa prevé un margen del −1,75 % y saldrá de más estados en 12-18 meses [17], y por la base de 2027: la dirección reafirmó volver a crecer al menos un 12 % el BPA ajustado sobre 2026 sin aclarar cuánto de 2026 es no recurrente (≈ 0,80 USD de partidas bajo el resultado operativo en el 2T) [3]. El margen operativo ajustado del 2T26 fue del 3,6 % frente al 5,0 % un año antes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4"/>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spacing w:after="100"/>
      </w:pPr>
      <w:r>
        <w:t xml:space="preserve">La deuda financiera pasó de ≈ 23.330 M (2021, estimación) a 32.046 M (2025) por las compras de servicios y las recompras, y se mantiene en ≈ 31.075 M a 30-jun-2026 (30.700 M a largo plazo y 375 M a corto) [1, 7, 11]. La deuda neta del motor (22.555 M a cierre de 2025, 2,34 veces el EBITDA) resta la caja consolidada; con solo la caja de la matriz, la deuda neta del puente es de ≈ 28.975 M, ≈ 3,0 veces el EBITDA de 2025. La cobertura de intereses cae a 5,8 veces. El patrimonio sube a 43.882 M y el ratio deuda sobre capital ronda el 41 % (estimación propia con el patrimonio de ≈ 45.000 M de junio) [11], cerca del 40 % que suele tolerar el rating. El circulante comercial no se ha podido calcular (sin la nota de clientes y proveedores).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29.015</w:t>
      </w:r>
      <w:r>
        <w:t xml:space="preserve">, conversión </w:t>
      </w:r>
      <w:r>
        <w:rPr>
          <w:b/>
          <w:bCs/>
        </w:rPr>
        <w:t xml:space="preserve">98 %</w:t>
      </w:r>
      <w:r>
        <w:t xml:space="preserve"> del beneficio neto; adquisiciones 0, dividendos 6.756, recompras 12.401.</w:t>
      </w:r>
    </w:p>
    <w:p>
      <w:pPr>
        <w:spacing w:after="100"/>
      </w:pPr>
      <w:r>
        <w:t xml:space="preserve">La conversión del beneficio en caja se ha deteriorado: el flujo operativo bajó de 8.364 M (2021) a 5.808 M (2024) y 4.290 M (2025), frente a un beneficio de 5.662 M; el FCF de 2025 (3.174 M) es la mitad del de 2021 (7.277 M) [2, 6]. La causa no es el capex (0,6-0,8 % de las ventas, 1.116 M en 2025) sino el circulante de un asegurador que crece en negocios públicos con cobros de CMS y de los estados más lentos, y el pago de siniestros de años anteriores [6]. La guía de 2026 de al menos 6.000 M de flujo operativo devolvería la conversión al ≈ 130 % del beneficio contable [3]. En 2021-2025 el FCF acumulado (29.015 M) cubrió dividendos (6.756 M) y recompras (12.401 M); el resto, con deuda, fue a compras de servicios (sin la línea anual de adquisiciones en las fuentes). Casi todo el capex es de mantenimiento y tecnología (estimación propia).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en lo básico (auditor Ernst &amp; Young, opinión favorable) [1], pero el beneficio ajustado se aleja del contable: 5,08 USD por acción en 2025 y ≈ 6,90 en la guía de 2026, por amortización de intangibles, reorganizaciones recurrentes y el pago a CMS [2, 3]. Las reorganizaciones se repiten casi todos los años, así que no las tratamos como no recurrentes en el DCF (el margen de 2026e es el contable). Las reservas médicas son la gran estimación: un desarrollo favorable de años anteriores puede maquillar un trimestre; los días de siniestros pendientes (45,4 en junio) son el indicador a vigilar [3]. El Altman Z (2,80, zona gris) no sirve para aseguradoras, cuyo pasivo son reservas; el Piotroski F de 6 señala ROA a la baja y flujo operativo por debajo del beneficio en 2025, coherente con lo anterior. El Beneish M no se calcula (sin clientes ni coste de ventas).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por debajo del beneficio en 2025 (4.290 M frente a 5.662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Cobros públicos más lentos y pago de siniestros; la guía de 2026 (≥ 6.000 M) lo corregiría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creciente entre BPA ajustado y contable (≈ 6,90 USD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costes de reorganización que se repiten y el pago a CMS [3,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del 15,6 % en 2025 frente al 24,5 % de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Partidas fiscales favorables no recurrentes; el DCF usa el 23 %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0,7 % · </w:t>
      </w:r>
      <w:r>
        <w:rPr>
          <w:b/>
          <w:bCs/>
        </w:rPr>
        <w:t xml:space="preserve">WACC</w:t>
      </w:r>
      <w:r>
        <w:t xml:space="preserve">: 8,4 %.</w:t>
      </w:r>
    </w:p>
    <w:p>
      <w:pPr>
        <w:spacing w:after="100"/>
      </w:pPr>
      <w:r>
        <w:t xml:space="preserve">Elevance crea valor, pero poco: el ROIC bajó del 12,4 % (2021) y el 12,1-12,2 % (2022-2023) al 11,2 % (2024) y al 10,5 % (2025), frente a un WACC del 8,40 %: 2,1 puntos de diferencia. La causa es el margen, no la rotación: el margen neto cayó del 4,5 % al 2,9 % mientras la rotación del capital subía de 1,41 a 1,66 veces. El ROIC incremental de 2021-2025 es del 0,7 %: el capital invertido creció 11.927 M (compras de Carelon, fondo de comercio de 24.228 a 28.344 M) y el NOPAT se quedó plano (6.763 frente a 6.844 M). Dos matices: el NOPAT incluye la renta de la cartera regulada y el capital invertido resta la caja consolidada, así que el ROIC económico es algo menor (estimación propia). Frente a UnitedHealth (12,5 %) queda por debajo, y por encima de Centene, Molina y Humana, con márgenes negativos o mínimos en 2025 [28, 29, 30].</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consolidados de 9.491 M a 31-dic-2025, pero solo ≈ 2.600 M de caja e inversiones en la matriz (no regulada); ≈ 2.100 M a 30-jun-2026 [2, 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El pasivo relevante que no es deuda son las reservas médicas (siniestros pendientes de pago, 45,4 días a 30-jun-2026) y los cobros anticipados de primas [3]; respaldan la caja y las inversiones de las filiales reguladas, que no son de libre uso: de los 9.491 M de caja consolidada de cierre de 2025, la matriz solo tenía ≈ 2.600 M de caja e inversiones, y ≈ 2.100 M a 30-jun-2026 [2, 3]. Las filiales deben mantener capital estatutario (capital basado en riesgo) que crece con las primas; esa caja solo sube a la matriz como dividendo autorizado por los reguladores estatales. No hay pensiones relevantes ni arrendamientos financieros significativos (US GAAP: los operativos ya están en el EBITDA). El pago de 342 M a CMS cerró sin sanciones un expediente de Medicare Advantage [12].</w:t>
      </w:r>
    </w:p>
    <w:p>
      <w:pPr>
        <w:pStyle w:val="Heading1"/>
      </w:pPr>
      <w:r>
        <w:t xml:space="preserve">12. Asignación de capital</w:t>
      </w:r>
    </w:p>
    <w:p>
      <w:pPr>
        <w:pStyle w:val="Confianza"/>
        <w:spacing w:after="100"/>
      </w:pPr>
      <w:r>
        <w:t xml:space="preserve">Confianza: Media</w:t>
      </w:r>
    </w:p>
    <w:p>
      <w:pPr>
        <w:spacing w:after="100"/>
      </w:pPr>
      <w:r>
        <w:t xml:space="preserve">Dividendo trimestral de 1,72 USD en 2026 (6,88 USD al año, ≈ 1,6 % de rentabilidad), subido cada año desde 2011, y recompras: 2.605 M en 2025 y solo 234 M en el 2T26 (0,7 M de acciones a 344,62 USD), un ritmo menor que el de 2022-2024 (2.300-2.900 M al año) [3, 13]. La prioridad declarada es invertir en capacidades (Carelon) y mantener la deuda sobre capital en torno al 40 %; la caja de la matriz (≈ 2.100 M) limita las recompras hasta que las filiales vuelvan a pagar dividendos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Beacon Health Options (salud conductual)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Carelon Behavioral Health;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MMM Holdings (Medicare Advantage en Puerto Rico)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negocio de Medicare Advantage es el que más margen ha perdido en 2025-2026.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BioPlus (farmacia especializada)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CarelonRx.</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 Cross Blue Shield de Luisiana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en 2024 por la oposición del regulador estatal.</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CareBridge y Paragon Healthcare (pacientes complejos e infusiones)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25.317 M (2023) a 28.344 M (2025) [7]; resultado aún sin demostrar.</w:t>
            </w:r>
          </w:p>
        </w:tc>
      </w:tr>
    </w:tbl>
    <w:p>
      <w:pPr>
        <w:spacing w:after="160" w:before="0"/>
      </w:pPr>
    </w:p>
    <w:p>
      <w:pPr>
        <w:spacing w:after="100"/>
      </w:pPr>
      <w:r>
        <w:t xml:space="preserve">Asignación de capital correcta pero sin rendimiento visible: en 2021-2025 devolvió 19.157 M (6.756 M en dividendos y 12.401 M en recompras), el 66 % del FCF acumulado (29.015 M), y redujo las acciones un 9 % (de 246,8 a 224,6 M). Pero el ROIC bajó del 12,4 % (2021) al 10,5 % (2025) mientras el capital invertido subía de 54.510 a 66.437 M: el ROIC incremental del periodo es del 0,7 %, porque las compras de servicios y la deuda crecieron mientras el margen del seguro se hundía. Las recompras de 2022-2023 se hicieron a 470-510 USD, por encima del precio actual. Sin pruebas de que Carelon rinda lo pagado, el veredicto es neutro.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Gail K. Boudreaux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dirigir UnitedHealthcare (2008-2014). Con ella el BPA ajustado pasó de 15,87 USD (2018) a 33,14 (2023) y la empresa entró en farmacia y servicios (Carelon); en 2024-2025 incumplió dos guías seguidas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Kaye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financiero de Moody’s. Remuneración de ≈ 7,09 M USD en 2025 [39].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&gt; 32,60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33,14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&gt; 37,10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33,0 USD (recortada en octubre)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 34-34,50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30,29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 25,50 USD (enero), subida a ≥ 26,75 (abril) y ≥ 27,00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(Boudreaux desde 2017, Kaye desde 2023) pero con credibilidad dañada: la guía de 2024 (más de 37,10 USD) acabó en ≈ 33 y la de 2025 en 30,29 frente a ≈ 34, con caídas del 12 % el día de los resultados del 3T24 y fuertes bajadas en julio de 2025 [14, 41, 42]. En 2026 la dirección guió bajo (≥ 25,50) y ha subido dos veces, lo que recupera algo de confianza [3]. Boudreaux compró ≈ 1 M USD en acciones tras la guía de 2026 [40]. No hay plan de sucesión público (Boudreaux tiene 65 años; estimación propia por su trayectoria).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Gail K. Boudreaux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22,58 M USD en 2025 (20,5 M en 2024): 1,6 M de salario, ≈ 13,4 M en acciones y ≈ 4,2 M en opciones [39]. Con ≈ 78 % en variable a largo plazo ligado a la acción, el incentivo está alineado con el accionista; no hemos podido leer las métricas del variable ni el voto de la junta de mayo de 2026 (proxy no accesible desde la nube) [38].</w:t>
      </w:r>
    </w:p>
    <w:p>
      <w:pPr>
        <w:pStyle w:val="Heading2"/>
      </w:pPr>
      <w:r>
        <w:t xml:space="preserve">Operaciones vinculadas, estructura de control y defensas</w:t>
      </w:r>
    </w:p>
    <w:p>
      <w:pPr>
        <w:spacing w:after="100"/>
      </w:pPr>
      <w:r>
        <w:t xml:space="preserve">Sin accionista de control: el capital está repartido entre fondos indexados y gestoras; una acción, un voto [38]. Las licencias de Blue Cross Blue Shield Association limitan quién puede comprar la empresa (la asociación exige que la mayoría del capital no la tenga un tercero sin su aprobación), lo que funciona como una defensa de hecho frente a una OPA (estimación propia sobre los contratos de licencia descritos en el 10-K) [1].</w:t>
      </w:r>
    </w:p>
    <w:p>
      <w:pPr>
        <w:pStyle w:val="Heading2"/>
      </w:pPr>
      <w:r>
        <w:t xml:space="preserve">Señales de alerta</w:t>
      </w:r>
    </w:p>
    <w:p>
      <w:pPr>
        <w:pStyle w:val="ListParagraph"/>
        <w:numPr>
          <w:ilvl w:val="0"/>
          <w:numId w:val="2"/>
        </w:numPr>
        <w:spacing w:after="60"/>
      </w:pPr>
      <w:r>
        <w:t xml:space="preserve">Pago de 342 M a CMS en el 2T26 para cerrar un expediente de Medicare Advantage [3].</w:t>
      </w:r>
    </w:p>
    <w:p>
      <w:pPr>
        <w:pStyle w:val="ListParagraph"/>
        <w:numPr>
          <w:ilvl w:val="0"/>
          <w:numId w:val="2"/>
        </w:numPr>
        <w:spacing w:after="60"/>
      </w:pPr>
      <w:r>
        <w:t xml:space="preserve">Dos guías anuales incumplidas seguidas (2024 y 2025) [14, 41, 42].</w:t>
      </w:r>
    </w:p>
    <w:p>
      <w:pPr>
        <w:pStyle w:val="ListParagraph"/>
        <w:numPr>
          <w:ilvl w:val="0"/>
          <w:numId w:val="2"/>
        </w:numPr>
        <w:spacing w:after="60"/>
      </w:pPr>
      <w:r>
        <w:t xml:space="preserve">Compra de acciones de la consejera delegada por ≈ 1 M USD tras la guía de 2026 (señal positiva)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(15-jul-2026): BPA ajustado de al menos 27,00 USD (≥ 25,50 en enero y ≥ 26,75 en abril), BPA contable de al menos 20,10 USD y flujo operativo de al menos 6.000 M; la dirección reafirma un crecimiento de al menos el 12 % del BPA ajustado en 2027 sobre la base de 2026 [2, 3, 4]. Resultados del 3T26 el 21-oct-2026 antes de la apertura, con conferencia a las 8:30 [49,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tras el 2T26)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[47]; Zacks 28,83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214.773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360,00 – 498,00</w:t>
            </w:r>
          </w:p>
        </w:tc>
      </w:tr>
    </w:tbl>
    <w:p>
      <w:pPr>
        <w:spacing w:after="160" w:before="0"/>
      </w:pPr>
    </w:p>
    <w:p>
      <w:pPr>
        <w:pStyle w:val="Heading2"/>
      </w:pPr>
      <w:r>
        <w:t xml:space="preserve">Revisiones de estimaciones</w:t>
      </w:r>
    </w:p>
    <w:p>
      <w:pPr>
        <w:spacing w:after="100"/>
      </w:pPr>
      <w:r>
        <w:t xml:space="preserve">Las revisiones han ido al alza desde abril: la guía subió dos veces (de ≥ 25,50 a ≥ 27,00 USD) y el BPA de consenso de 2026 pasó de 25,93 a 26,92 USD [47]. En octubre BofA subió su objetivo a 480 USD, Barclays a 469 y Guggenheim a 460; Leerink, a 395 con «Market Perform» [44, 45]. El objetivo medio pasó de ≈ 381 USD (TIKR, primavera) a 441 (MarketBeat) y 451 (S&amp;P Global, 22 analistas) [44, 45, 52]. Solo hay estimaciones de BPA (ajustado), no de ingresos ni de EBITDA, desde la nube.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Sobre el BPA contable de los últimos doce meses, Elevance cotiza a 18,0 veces, en línea con su media de cinco años (18,7x), y a 12,8 veces el EBITDA, también en la media (12,9x). Sobre el BPA ajustado, la lectura es la misma: 15,7 veces el de 2026e (27,00) y 14,0 veces nuestro 2027e (30,46), frente a una mediana de 14,2x en 2021-2025 y unos mínimos de 11,2-11,6x en 2024-2025, cuando el mercado dudaba de los márgenes. La subida de los últimos tres meses (de ≈ 373 a 425 USD) ha devuelto el múltiplo a su mediana: ya no hay descuento frente a la historia, y la historia de 2021-2022 (17-18x) correspondía a un margen EBITDA del 6,3-7,4 % que hoy no tiene [48, 51].</w:t>
      </w:r>
    </w:p>
    <w:p>
      <w:pPr>
        <w:pStyle w:val="Heading1"/>
      </w:pPr>
      <w:r>
        <w:t xml:space="preserve">18. Comparables cotizados</w:t>
      </w:r>
    </w:p>
    <w:p>
      <w:pPr>
        <w:pStyle w:val="Confianza"/>
        <w:spacing w:after="100"/>
      </w:pPr>
      <w:r>
        <w:t xml:space="preserve">Confianza: Media</w:t>
      </w:r>
    </w:p>
    <w:p>
      <w:pPr>
        <w:spacing w:after="100"/>
      </w:pPr>
      <w:r>
        <w:t xml:space="preserve">Las grandes aseguradoras de salud cotizadas de EE. UU. (UnitedHealth, CVS-Aetna, Cigna, Humana, Centene, Molina) y dos especialistas en crecimiento (Oscar en el ACA, Alignment en Medicare Advantage). Cifras de Stock Analysis del 9-12 oct-2026, tomadas para el informe de UnitedHealth; UnitedHealth entra con las de su propio informe. Su valor empresa resta la caja regulada: solo se usa el 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Molina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Alignment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12,1x / 15,2x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14,2x / 19,4x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200.420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r>
    </w:tbl>
    <w:p>
      <w:pPr>
        <w:spacing w:after="160" w:before="0"/>
      </w:pPr>
    </w:p>
    <w:p>
      <w:pPr>
        <w:spacing w:after="100"/>
      </w:pPr>
      <w:r>
        <w:t xml:space="preserve">Elevance cotiza a 14,8 veces el beneficio contable de los próximos doce meses según el motor, en la mediana de sus comparables (14,2x): más cara que Cigna (8,6x) y CVS (10,2x), que tienen el beneficio sostenido por sus gestores de farmacia, y más barata que UnitedHealth (18,4x) y que Humana y Molina, cuyo beneficio de 2026 está hundido [55, 56, 57, 58, 60]. Aplicado a su BPA, el PER mediano da 405,40 USD. El descuento frente a UnitedHealth es razonable (sin Optum, ROIC del 10,5 % frente al 12,5 %); la prima frente a Cigna y CVS no lo es tanto. El EV/EBITDA de los comparables no se usa: Stock Analysis resta su caja regulada y Centene, Molina, Oscar y Alignment salen con deuda neta negativa [59, 61, 62].</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Express Scripts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Cigna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+ 0,2434 acciones por acción (54.000 M en total) y 15.000 M de deuda asumida; prima del 31 % sobre el cierre de 73,42 USD del 7-mar-2018 [66]. Múltiplos sobre 2017: ingresos 100.065 M y EBITDA 7.296 M (resultado operativo 5.494 + amortizaciones 1.802) [71]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Aetna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 USD en efectivo + 0,8378 acciones de CVS por acción, ≈ 207 USD por acción y 69.000 M de capital; 77.000 M con la deuda asumida [67]. EV/ventas sobre los ingresos de 2017 de Aetna, 60.535 M [72]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25,75 USD por acción en efectivo [68]. Estimación propia del valor empresa: 304,45 M de acciones (27-oct-2020) × 25,75 = 7.840 M + deuda 4.818 M − caja 137 M (31-dic-2020) [73]. Múltiplos sobre el ejercicio cerrado en marzo de 2021: ingresos 3.090 M y EBITDA 691 M (resultado operativo 100 + amortizaciones 591)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Amedisys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USD por acción en efectivo [69]. Estimación propia del valor empresa: 32,56 M de acciones × 101 = 3.289 M + deuda 400 M − caja 49 M + minoritarios 54 M (31-mar-2023) [74]. Múltiplos sobre 2022: ingresos 2.223 M y EBITDA 206 M (resultado operativo 181 + amortizaciones 25)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Signify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30,50 USD por acción en efectivo; valor total de la operación ≈ 8.000 M [70]. Sobre 2021: ingresos 653 M y EBITDA 118 M [75] (cálculo propio). Plataforma de evaluaciones domiciliarias en crecimiento: múltiplo no comparable con un asegurador.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Oak Street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USD por acción en efectivo, valor empresa ≈ 10.600 M; red de atención primaria con EBITDA ajustado aún negativo, que CVS espera que aporte más de 2.000 M de EBITDA ajustado «embebido» en madurez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Kindred at Home (60 %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8.100 M para el 100 %, incluidos 2.400 M del 40 % que Humana ya tenía; 43.000 cuidadores y más de 550.000 pacientes al año [77]. La nota no publica ingresos ni EBITDA.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 (13,6x – 18,0x)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646,76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457,94 – 651,10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Las transacciones del sector (9-18 veces el EBITDA en piezas de servicios y farmacia: Express Scripts, Change Healthcare, Amedisys) llevan prima de control y no son de aseguradoras enteras [66, 68, 69]. Elevance no es un objetivo plausible: su tamaño (94.623 M de capitalización), la regulación antimonopolio (el bloqueo de Anthem-Cigna en 2017) y las licencias Blue lo impiden.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0,5 %: los ingresos del 1S26 crecieron un 1,1 % (49.500 y 49.800 M) con menos afiliados de riesgo y el consenso del 3T26 es de 49.290 M [3, 4, 49]. En 2027e, un 3,0 %: salida de mercados de Medicaid y del ACA (fin de los subsidios reforzados) contra subidas de primas del 5 % [17, 31]. De 2028e a 2030e, un 5,0-4,5 %, por debajo del 5,7 % anual de crecimiento del gasto sanitario de EE. UU. que proyecta CMS [24] y muy por debajo del 9,6 % anual de 2021-2025, que incluía compras. 2031e-2032e convergen al 3,5 %.</w:t>
      </w:r>
    </w:p>
    <w:p>
      <w:pPr>
        <w:keepNext/>
        <w:spacing w:after="100"/>
      </w:pPr>
      <w:r>
        <w:rPr>
          <w:b/>
          <w:bCs/>
        </w:rPr>
        <w:t xml:space="preserve">Márgenes.</w:t>
      </w:r>
    </w:p>
    <w:p>
      <w:pPr>
        <w:spacing w:after="100"/>
      </w:pPr>
      <w:r>
        <w:t xml:space="preserve">El margen EBITDA de 2026e (4,6 %) sale de la guía contable (BPA ≥ 20,10 USD con ≈ 222,5 M de acciones, tipo del 23 %, intereses de ≈ 1.450 M y amortizaciones de ≈ 1.550 M; estimación propia) [3]. En 2027e sube al 5,5 %, el margen subyacente de 2026 (BPA ajustado ≥ 27) más el +12 % de BPA que promete la dirección [3]. Después sube al 6,0 % en 2030e, el de 2023-2024, sin volver al 7,4 % de 2021. Cada punto de ratio de prestaciones vale ≈ 0,8 puntos de margen EBITDA.</w:t>
      </w:r>
    </w:p>
    <w:p>
      <w:pPr>
        <w:keepNext/>
        <w:spacing w:after="100"/>
      </w:pPr>
      <w:r>
        <w:rPr>
          <w:b/>
          <w:bCs/>
        </w:rPr>
        <w:t xml:space="preserve">Inversión y circulante.</w:t>
      </w:r>
    </w:p>
    <w:p>
      <w:pPr>
        <w:spacing w:after="100"/>
      </w:pPr>
      <w:r>
        <w:t xml:space="preserve">El capex de la empresa es pequeño (0,6-0,8 % de las ventas en 2021-2025) [6]; le sumamos el capital estatutario que las filiales tienen que retener al crecer (≈ 12 % del aumento de ventas, estimación propia), porque esa caja no llega al accionista. Resultado: 0,95-1,27 % de las ventas desde 2027e, por encima de la amortización (0,78 %) al final. El circulante comercial se deja en cero porque no se ha podido medir. Tipo impositivo normalizado del 23 % (24,5 % en 2024; 15,6 % en 2025 con partidas no recurrentes) [1].</w:t>
      </w:r>
    </w:p>
    <w:p>
      <w:pPr>
        <w:keepNext/>
        <w:spacing w:after="100"/>
      </w:pPr>
      <w:r>
        <w:rPr>
          <w:b/>
          <w:bCs/>
        </w:rPr>
        <w:t xml:space="preserve">Coste del capital.</w:t>
      </w:r>
    </w:p>
    <w:p>
      <w:pPr>
        <w:spacing w:after="100"/>
      </w:pPr>
      <w:r>
        <w:t xml:space="preserve">Tasa libre: bono de EE. UU. a 10 años al 5,22 % (8-oct-2026) [63]. Beta de 0,85: la desapalancada de Damodaran para servicios sanitarios reapalancada con la deuda de Elevance, la misma que en UnitedHealth [65]; la de la acción sería menor y no recoge el riesgo regulatorio. Prima de mercado del 5,5 %; la implícita (4,20 %) se usa en la regla relativa [64]. Coste de la deuda del 5,0 % antes de impuestos (intereses de 1.402 M sobre ≈ 30.000 M de deuda media en 2025, y emisiones recientes por encima) [5]. Peso de la deuda del 24,7 % (31.075 M sobre 31.075 + 94.623 M). WACC del 8,40 %.</w:t>
      </w:r>
    </w:p>
    <w:p>
      <w:pPr>
        <w:keepNext/>
        <w:spacing w:after="100"/>
      </w:pPr>
      <w:r>
        <w:rPr>
          <w:b/>
          <w:bCs/>
        </w:rPr>
        <w:t xml:space="preserve">Valor terminal.</w:t>
      </w:r>
    </w:p>
    <w:p>
      <w:pPr>
        <w:spacing w:after="100"/>
      </w:pPr>
      <w:r>
        <w:t xml:space="preserve">Media de Gordon (crecimiento del 3,0 %: ≈ 2,5 % de inflación más algo del crecimiento real del gasto sanitario, por debajo de la tasa libre menos medio punto) y un múltiplo de salida de 9 veces el EBITDA, por debajo de los 12,8x actuales y del mínimo de cinco años (10,3x), porque el EBITDA de salida es de margen recuperado. Gordon implica 11,4 veces el EBITDA de salida; la media modera ese múltiplo. El valor terminal pesa el 71 %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789,35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5.370 M (9 % del NOPAT)</w:t>
            </w:r>
          </w:p>
        </w:tc>
      </w:tr>
    </w:tbl>
    <w:p>
      <w:pPr>
        <w:spacing w:after="160" w:before="0"/>
      </w:pPr>
    </w:p>
    <w:p>
      <w:pPr>
        <w:spacing w:after="100"/>
      </w:pPr>
      <w:r>
        <w:t xml:space="preserve">La proyección apenas necesita inversión neta de la amortización (reinversión acumulada de 5.370 M, el 9 % del NOPAT, con un capex bruto medio del 1,1 % de las ventas). En un negocio de activos ligeros, el crecimiento medio del 3,6 %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bajan los afiliados de riesgo de Medicare Advantage, Medicaid y grupo [3, 4]. Precio +4,5 %: subidas de primas («premium yields») y CarelonRx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salidas de estados de Medicaid y fin de los subsidios reforzados del ACA [17]. Precio +5 %: tarifa de Medicare Advantage de 2027 (+2,48 %, ≈ 5 % con la tendencia de riesgo) y primas comerciales al ritmo del coste médico [31].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el volumen (+0,5 %) con el envejecimiento en Medicare; precio +4,5 %, en línea con el gasto sanitario por persona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que 2028e; por debajo del 5,7 % de crecimiento del gasto nacional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+4 % y volumen +0,5 %: Elevance ya tiene el 12 % del seguro comercial [35].</w:t>
            </w:r>
          </w:p>
        </w:tc>
      </w:tr>
    </w:tbl>
    <w:p>
      <w:pPr>
        <w:spacing w:after="160" w:before="0"/>
      </w:pPr>
    </w:p>
    <w:p>
      <w:pPr>
        <w:spacing w:after="100"/>
      </w:pPr>
      <w:r>
        <w:t xml:space="preserve">En parte. La proyección apenas pide capital (reinversión del 9 % del NOPAT, que el motor clasifica como activos ligeros), así que la prueba es el poder de precios y la cuota, hecha a mano. El precio sí lo tiene con un año de retraso: subió primas en 2026 y salió de mercados con pérdidas [3, 17]. La cuota no crece: proyectamos 3,6 % anual, menos que el gasto sanitario (5,7 %) [24]; los ingresos de 2025 son el 3,5 % del gasto nacional (5,66 billones) y los de 2028e (≈ 214.800 M) serían el 3,2 % de 6,63 billones (estimación propia) [24]. Lo exigente es el margen (del 4,6 % al 6,0 %), que la empresa ya tuvo en 2023-2024 pero que depende de que el coste médico y las tarifas públicas acompañen. El ROIC (10,5 %) apenas supera el WACC (8,40 %).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(base: 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8,4 %)</w:t>
            </w:r>
          </w:p>
        </w:tc>
      </w:tr>
    </w:tbl>
    <w:p>
      <w:pPr>
        <w:spacing w:after="160" w:before="0"/>
      </w:pPr>
    </w:p>
    <w:p>
      <w:pPr>
        <w:spacing w:after="100"/>
      </w:pPr>
      <w:r>
        <w:t xml:space="preserve">El DCF da 465,14 USD por acción, un 9,4 % por encima del precio de 425,27, con un WACC del 8,40 % y un valor terminal que pesa el 71 %. El DCF inverso dice que el precio descuenta un crecimiento anual del 2,8 % en 2027e-2032e (frente a nuestro 4,2 %) o, con nuestro crecimiento, un margen EBITDA final del 5,7 % (frente a nuestro 6,0 % y al 6,0-7,4 % de 2021-2024): el mercado ya paga casi toda la vuelta del margen a la normalidad. Dicho de otro modo, el precio rinde un 9,0 % anual, solo 0,6 puntos más que nuestro coste de capital. Nuestro BPA ajustado de 2027e (30,46 USD) y de 2028e (33,55) está un 4,6 % y un 3,3 % por encima del consenso (29,12 y 32,49) [46, 47], así que la diferencia con el precio es pequeña y sale del margen de 2029-2032. Con la prima implícita del mercado (4,20 %) el DCF sube a 535,11 USD. La variable que decide es el ratio de prestaciones: cada punto de margen EBITDA en todos los años vale ≈ 118 USD por acción (de 465,14 a 583,69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médico de Medicaid y Medicare Advantage sigue por delante de las tarifas, los estados no suben las primas de Medicaid y el fin de los subsidios del ACA deja una cartera más enferma. El margen EBITDA se queda ≈ 0,8 puntos por debajo del base (≈ 5,2 % en 2030), los ingresos crecen 2 puntos menos al año y el mercado exige más prima. Es lo que pasó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(BPA ajustado ≥ 27) y el +12 % de 2027; las subidas de primas y la salida de mercados con pérdidas devuelven el margen EBITDA al 6,0 % de 2023-2024 en 2030, con ingresos al 4-5 % anual, por debajo del gasto sanitario.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vuelve a margen positivo con tarifas actualizadas por los estados, Carelon crece con terceros y el margen supera en 0,4 puntos al base; los ingresos crecen un punto más con el envejecimiento y nuevas licitaciones.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4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443,24 USD (+4,2 %).</w:t>
      </w:r>
    </w:p>
    <w:p>
      <w:pPr>
        <w:spacing w:after="100"/>
      </w:pPr>
      <w:r>
        <w:t xml:space="preserve">La asimetría es de 0,94 veces con nuestro coste de capital: el alcista gana un 28,3 % (545,48 USD) y el bajista pierde un 30,1 % (297,18 USD), y el valor ponderado queda cerca del precio. El bajista no es cosmético: es el margen de 2025 prolongado, lo que ya vivió la empresa y lo que hoy viven Centene y Molina [29, 30]. Con la prima implícita del mercado, la asimetría sube a 2,39 veces. A este precio el perfil no compensa con nuestro WACC.</w:t>
      </w:r>
    </w:p>
    <w:p>
      <w:pPr>
        <w:pStyle w:val="Heading1"/>
      </w:pPr>
      <w:r>
        <w:t xml:space="preserve">22. Suma de partes</w:t>
      </w:r>
    </w:p>
    <w:p>
      <w:pPr>
        <w:pStyle w:val="Confianza"/>
        <w:spacing w:after="100"/>
      </w:pPr>
      <w:r>
        <w:t xml:space="preserve">Confianza: Baja</w:t>
      </w:r>
    </w:p>
    <w:p>
      <w:pPr>
        <w:spacing w:after="100"/>
      </w:pPr>
      <w:r>
        <w:t xml:space="preserve">No aplica: sin cifras de segmentos accesibles (la nota del 10-K no se pudo leer) y con CarelonRx y Carelon Services muy ligados a los afiliados propios; el valor depende del margen del seguro.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4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444,43 USD (+4,5 % sobre 425,27).</w:t>
      </w:r>
    </w:p>
    <w:p>
      <w:pPr>
        <w:spacing w:after="100"/>
      </w:pPr>
      <w:r>
        <w:t xml:space="preserve">El puente es del 2T26 (30-jun-2026): deuda de 31.075 M (30.700 M a largo y 375 M a corto) y solo 2.100 M de caja, la de la matriz [3, 11]. Es la decisión clave, aprendida en UnitedHealth: la caja consolidada (9.491 M a cierre de 2025) y la cartera de inversiones respaldan las reservas médicas y el capital estatutario, y su rendimiento ya está en el EBITDA; contarla añadiría ≈ 33 USD por acción (estimación propia). Pesos: DCF 40 % y escenarios 40 %, porque el valor depende de la recuperación del margen; comparables (PER) un 20 %, porque reflejan un 2026 aún deprimido; transacciones 0 %, porque no hay operación posible. La dispersión es amplia (PER de comparables 405,40 USD frente al DCF de 465,14), y el valor objetivo de 444,43 USD apenas supera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(14x) × 1.1 (tope: la mediana de 5 años, 18.5x,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+63,8 %</w:t>
            </w:r>
          </w:p>
        </w:tc>
      </w:tr>
    </w:tbl>
    <w:p>
      <w:pPr>
        <w:spacing w:after="160" w:before="0"/>
      </w:pPr>
    </w:p>
    <w:p>
      <w:pPr>
        <w:spacing w:after="100"/>
      </w:pPr>
      <w:r>
        <w:rPr>
          <w:b/>
          <w:bCs/>
        </w:rPr>
        <w:t xml:space="preserve">Objetivo a 12 meses (ponderado):</w:t>
      </w:r>
      <w:r>
        <w:t xml:space="preserve"> 512,10 USD · rentabilidad +22,0 % (base +23,1 %) · señal Comprar.</w:t>
      </w:r>
    </w:p>
    <w:p>
      <w:pPr>
        <w:spacing w:after="100"/>
      </w:pPr>
      <w:r>
        <w:t xml:space="preserve">Para comparar, con la regla v2 (historia al cierre, mismo precio): 11,2x / 14,0x / 14,8x, 6,7 % Mantener; con el tope anterior del base (×1,3, 14-oct mediodía): 25,7 % Comprar. Decide la regla vigente (v3 con tope ×1,1; METODO-VIGENTE.md).</w:t>
      </w:r>
    </w:p>
    <w:p>
      <w:pPr>
        <w:keepNext/>
        <w:spacing w:after="100"/>
      </w:pPr>
      <w:r>
        <w:rPr>
          <w:b/>
          <w:bCs/>
        </w:rPr>
        <w:t xml:space="preserve">Frente al consenso (solo contraste).</w:t>
      </w:r>
    </w:p>
    <w:p>
      <w:pPr>
        <w:spacing w:after="100"/>
      </w:pPr>
      <w:r>
        <w:t xml:space="preserve">Nuestro BPA ajustado de 2027e (30,46 USD) supera en un 4,6 % al consenso (29,12) y el de 2028e (33,55) en un 3,3 % (32,49) [46, 47]: tomamos al pie de la letra la promesa de +12 % en 2027 y no restamos recompras porque no están anunciadas; con recompras, el BPA subiría más. Nuestro precio base (469,70 USD) queda un 4,1 % por encima del objetivo medio de los analistas (451,38, 22 analistas, en subida en tres meses) [44]. La diferencia es pequeña y sale del BPA, no del múltiplo: el PER base (14,0x) es el actual, por debajo de la mediana de cinco años.</w:t>
      </w:r>
    </w:p>
    <w:p>
      <w:pPr>
        <w:keepNext/>
        <w:spacing w:after="100"/>
      </w:pPr>
      <w:r>
        <w:rPr>
          <w:b/>
          <w:bCs/>
        </w:rPr>
        <w:t xml:space="preserve">Del valor intrínseco al objetivo a 12 meses.</w:t>
      </w:r>
    </w:p>
    <w:p>
      <w:pPr>
        <w:spacing w:after="100"/>
      </w:pPr>
      <w:r>
        <w:t xml:space="preserve">El objetivo a 12 meses (446,86 USD, ponderado) y el valor intrínseco (444,43 USD) casi coinciden, y los dos quedan un 5 % por encima del precio: no hay una distancia que cerrar, sino poca rentabilidad que capturar. La ponderada es del 6,7 % y la del base del 12,1 %, con el dividendo del 1,6 %. La asimetría es pobre porque el bajista usa el PER mínimo de cinco años (11,2x, el de 2024) sobre un BPA de margen hundido. Lo que subiría la cifra sería un precio más bajo, no un catalizador: la compra tendría sentido por debajo de 394,53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ajuste de la guía de 2026 [49, 50]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prestaciones del trimestre (89,7 % en el 2T) y primeras señales de 2027; consenso de BPA ajustado de 4,70-6,43 USD según la fuente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 a 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Inscripción abierta de Medicare y del ACA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afiliados pierde tras salir de condados y con el fin de los subsidios reforzados del ACA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promesa de +12 % de BPA ajustado sobre 2026 (≈ 30,2 USD si la base es 27)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y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y anuncio de tarifas de Medicare Advantage para 2028 (CMS)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2027 fue del +2,48 % en el anuncio final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estados de Medicaid y renegociación de tarifas estatales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el margen de Medicaid (−1,75 % en 2026e) a costa de ingresos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médico por encima de las primas en Medicaid y Medicare Advantage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−30,1 % en 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primas y salida de mercados con pérdidas [3,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prestaciones trimestral &gt; 90 % fuera del 4T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públicas: Medicaid estatal, ajuste de riesgo de Medicare Advantage y fin de los subsidios del ACA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(0,5-1 punto de margen;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subió la tarifa de 2027 al +2,48 % en el anuncio final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2028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mejoras apoyadas en desarrollo favorable de años anteriores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siniestros pendientes de 45,4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los días de siniestros pendientes o desarrollo desfavorable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la matriz solo tiene ≈ 2.100 M y depende de dividendos regulados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recompras; deuda sobre capital por encima del 40 %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guiado ≥ 6.000 M en 2026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trimestrales &lt; 250 M o nueva deuda para dividendos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 incumplida en 2024 y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 al mínimo de 11,2x: −20 %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prudente y subida dos veces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 +12 % de BPA ajustado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y expedientes de Medicare Advantage (codificación de riesgo, denegaciones)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Cerró el expediente de CMS con 342 M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nuevas en el 10-Q</w:t>
            </w:r>
          </w:p>
        </w:tc>
      </w:tr>
    </w:tbl>
    <w:p>
      <w:pPr>
        <w:spacing w:after="160" w:before="0"/>
      </w:pPr>
    </w:p>
    <w:p>
      <w:pPr>
        <w:pStyle w:val="Heading2"/>
      </w:pPr>
      <w:r>
        <w:t xml:space="preserve">Pre-mortem</w:t>
      </w:r>
    </w:p>
    <w:p>
      <w:pPr>
        <w:spacing w:after="100"/>
      </w:pPr>
      <w:r>
        <w:t xml:space="preserve">Octubre de 2029: la acción vale 255 USD y ha perdido un 40 %. La recuperación de 2026 fue de precio, no de coste: las subidas de primas de 2026-2027 llegaron, pero el coste médico de Medicaid y de Medicare Advantage siguió creciendo al 8-9 % (salud conductual, fármacos de especialidad y GLP-1, cirugía ambulatoria) y los estados no actualizaron las tarifas de Medicaid. El fin de los subsidios reforzados del ACA dejó una cartera individual más pequeña y más enferma. La guía de 2027 prometía +12 % y se cumplió a medias con reservas favorables; en 2028 el ratio de prestaciones volvió al 90 %, la tercera guía incumplida en cinco años. Con la matriz sin caja, Elevance cortó las recompras y el mercado volvió a pagar 11 veces un BPA de 23 USD. Lo habrían anticipado el ratio de prestaciones de Medicaid, los días de siniestros pendientes y los dividendos de las filiales a la matriz.</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el acceso y el coste de la atención (denegaciones, autorizaciones previas) y la privacidad de los datos: Elevance sufrió en 2015 el mayor robo de datos sanitarios de EE. UU. (78,8 M de personas) y en 2026 pagó 342 M a CMS para cerrar un caso de Medicare Advantage.</w:t>
      </w:r>
    </w:p>
    <w:p>
      <w:pPr>
        <w:pStyle w:val="Heading2"/>
      </w:pPr>
      <w:r>
        <w:t xml:space="preserve">Controversias</w:t>
      </w:r>
    </w:p>
    <w:p>
      <w:pPr>
        <w:spacing w:after="100"/>
      </w:pPr>
      <w:r>
        <w:t xml:space="preserve">Pago de 342 M a CMS en el 2T26, que evitó sanciones en Medicare Advantage. Litigios por denegaciones y por la codificación de riesgo comunes al sector (estimación propia, sin cuantificar).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qué BPA de 2026 se aplica el +12 %: el de la guía (≥ 27) o uno sin las partidas no recurrentes (≈ 0,80 USD en el 2T26 y ≈ 1 USD en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base de 25 USD rebaja el BPA de 2027 en ≈ 2 USD y el objetivo a 12 meses en ≈ 28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estados abandonan, cuántos ingresos supone y qué margen esperan en 2027 tras la salida?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−1,75 % en 2026e; es la mayor palanca del margen y del crecimiento [17].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de la matriz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dividendos esperan de las filiales reguladas en 2026-2027 y cuál es el colchón de capital estatutario?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matriz tiene ≈ 2.100 M; las recompras y la deuda dependen de esos dividendos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desarrollo favorable de años anteriores hay en el ratio de prestaciones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real de la contable.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tienen CarelonRx y Carelon Services con terceros y qué rendimiento dan CareBridge y Paragon?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fondo de comercio subió a 28.344 M y el ROIC bajó al 10,5 %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afiliados del ACA esperan perder en 2027 con el fin de los subsidios reforzados y con qué ratio de prestaciones?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ACA compensó a los negocios públicos en el 2T26 [3].</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artículo más leído tras el 2T26 recomienda «Hold»: valoración con descuento y buena caja, pero el margen sigue presionado y no hay prueba de que el coste médico ceda [78]; Sure Dividend también mantiene «Hold» por la rentabilidad esperada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Reddit (vía SentiSense)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Reddit predominan las menciones bajistas (≈ 21 % de las menciones con sesgo bajista y atención baja, ≈ 16 al día): el debate es Medicaid, el ACA y si el sector es una «trampa de valor»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celebran la guía subida y la salida de mercados de Medicaid con pérdidas; las valoraciones de usuarios suben el valor razonable [80].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Goldesel (lectores en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lectores comentan la subida de Deutsche Bank a «Buy» (498 USD) y la compra de acciones de la consejera delegada como señal de suelo [81].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Benzinga (opciones y cortos)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baja (≈ 2,9 % del capital flotante) y ratio put/call de 0,40: el mercado de opciones no apuesta contra la acción [54].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médico en Medicaid y Medicare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razón: el ratio de prestaciones del 2T26 subió 80 pb al 89,7 % por los negocios públicos y la dirección prevé un margen operativo de Medicaid del −1,75 % en 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 tocado fondo el sector?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apoyan un suelo en 2026: guía subida dos veces y vuelta prometida a +12 % de BPA en 2027; pero 2024 y 2025 se incumplieron.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Exagerado tras la subida a 425 USD: 15,7 veces el BPA ajustado de 2026e, por encima de la mediana de cinco años (14,2x).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 mercados de Medicaid y del ACA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el margen pero resta ingresos en 2027: lo recogemos con un crecimiento del 3 % ese año.</w:t>
            </w:r>
          </w:p>
        </w:tc>
      </w:tr>
    </w:tbl>
    <w:p>
      <w:pPr>
        <w:spacing w:after="160" w:before="0"/>
      </w:pPr>
    </w:p>
    <w:p>
      <w:pPr>
        <w:spacing w:after="100"/>
      </w:pPr>
      <w:r>
        <w:t xml:space="preserve">El sentimiento no es extremo: los particulares siguen escépticos (Reddit bajista) mientras los analistas son mayoritariamente compradores (15 de 23) y los cortos son bajos. Desde julio el tono mejora con la guía subida y el rebote de la acción (de 373 a 425 USD), lo que reduce el margen de seguridad que veían los inversores de valor en primavera. Ningún foro aporta un riesgo que el informe no recoja; el tema que más pesa, el coste médico de Medicaid, es también nuestro principal riesgo. Antes del 3T26 (21-oct) el mercado ya descuenta un buen trimestre tras el de UnitedHealth.</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Fuentes: 82 (31 primarias); citas distintas en el texto: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14,5 %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(31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(ingresos y resultado por segmento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(sec.gov) no accesible desde la nube; 2) búsqueda de la nota de segmentos en prensa y agregadores; 3) comunicados trimestrales: solo cifras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10-K no accesible; 2) búsqueda en prensa; 3) agregadores: sin calendario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(salidas de caja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10-K no accesible; 2) Stock Analysis y Finboard citados sin esa línea en la búsqueda; 3) prensa: importes sueltos, no la línea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Sustainalytics no accesible; 2) búsqueda MSCI ESG Elevance; 3) informe de sostenibilidad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independencia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DEF 14A 2026 en sec.gov (no accesible desde la nube); 2) PDF del proxy en q4cdn (no accesible); 3) búsqueda de prensa: sin la 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mayo de 2026; 2) proxy; 3) prensa: sin el resultado del voto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en la nube; 2) búsqueda de rentabilidades anuales; 3) Macrotrends y Trade Ideas: solo cierres y rango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forecast (sin tabla en la búsqueda); 2) MarketScreener no accesible; 3) Barchart y Zacks: solo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Stocktwits leídos directamente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en Reddit; 2) Stocktwits ELV; 3) agregador SentiSense (usado)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presidencia del consejo (separada o no de la consejera delegada) y consejero coordinador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2026 (sec.gov, no accesible); 2) PDF del proxy en q4cdn (no accesible); 3) búsqueda de prensa: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https://www.sec.gov/Archives/edgar/data/1156039/000115603926000013/elv-20251231.htm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Reports Fourth Quarter and Full Year 2025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https://www.sec.gov/Archives/edgar/data/1156039/000115603926000006/a4q2025elvearningsrelease.htm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Reports Second Quarter 2026 Results, Raises Full Year Guidance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https://www.sec.gov/Archives/edgar/data/0001156039/000115603926000058/a2q2026elvearningsrelease.htm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Reports First Quarter 2026 Results; Raises Full-Year Guidance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https://www.sec.gov/Archives/edgar/data/0001156039/000115603926000039/a1q2026elvearningsrelease.htm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datos XBRL de las cuentas (pretax income, interest expense)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Inc (NYSE:ELV): depreciación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https://kalkinemedia.com/ca/companies/nyse-elv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ELV beats Q1 earnings estimates on rising net investment income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https://www.zacks.com/stock/news/2905868/elv-beats-q1-earnings-estimates-on-rising-net-investment-income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up 6.8% since last earnings report (balance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 Eastern Progress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https://www.easternprogress.com/elevance-health-elv-up-6-8-since-last-earnings-report-can-it-continue/article_d774124b-ba20-53cc-9499-8cc3118d71c7.html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reports $1.5B profit in Q2, membership dip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Becker's Payer Issues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https://www.beckerspayer.com/?p=26606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cash flow (recompras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https://finboard.net/companies/ELV/cash-flow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informe de Sure Dividend de enero de 2024 (BPA ajustado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https://www.suredividend.com/wp-content/uploads/2024/01/ELV-2024-01-25.pdf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4T22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https://www.sec.gov/Archives/edgar/data/1156039/000119312523014676/d418386dex991.htm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Anthem / Elevance Health: financials 2018-2020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https://pro.stockalarm.io/quote/ANTM/financials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preparing to exit several Medicaid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Healthcare Innovation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https://www.hcinnovationgroup.com/policy-value-based-care/health-insurance/news/55391795/elevance-preparing-to-exit-several-medicaid-states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income statement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https://www.opencapital.sh/stocks/elv/metrics/income-statement?period=ttm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informe trimestral 10-Q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https://s202.q4cdn.com/665319960/files/doc_financials/2025/q3/3Q2025ELV10Q.pdf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https://www.sec.gov/Archives/edgar/data/731766/000073176626000062/unh-20251231.htm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trimestral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https://www.sec.gov/Archives/edgar/data/731766/000073176626000197/unh-20260630.htm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Fact Sheet (National Health Expenditures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https://www.cms.gov/data-research/statistics-trends-and-reports/national-health-expenditure-data/nhe-fact-sheet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Health Expenditure Projections 2025-2034: Forecast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https://www.cms.gov/files/document/nhe-projections-forecast-summary.pdf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Projections 2025-2034, Table 1: National Health Expenditures and Selected Economic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https://www.cms.gov/files/zip/nhe-projections-tables.zip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Advantage in 2026: Enrollment Update and Key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https://www.kff.org/medicare/medicare-advantage-in-2026-enrollment-update-and-key-trends/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https://www.sec.gov/Archives/edgar/data/1739940/000173994026000006/ci-20251231.htm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https://www.sec.gov/Archives/edgar/data/64803/000006480326000010/cvs-20251231.htm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https://www.sec.gov/Archives/edgar/data/49071/000004907126000009/hum-20251231.htm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https://www.sec.gov/Archives/edgar/data/1071739/000107173926000049/cnc-20251231.htm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https://www.sec.gov/Archives/edgar/data/1179929/000117992926000005/moh-20251231.htm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Advance Notice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https://www.cms.gov/newsroom/fact-sheets/2027-medicare-advantage-part-d-advance-notice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https://www.cms.gov/newsroom/fact-sheets/2026-medicare-advantage-part-d-rate-announcement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Top Pharmacy Benefit Managers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Drug Channels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https://www.drugchannels.net/2026/03/the-top-pharmacy-benefit-managers-of.html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in Health Insurance: A Comprehensive Study of U.S. Markets (actualización 2025, datos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Medical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https://www.ama-assn.org/system/files/competition-health-insurance-us-markets.pdf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Chairman Guthrie Celebrates Long-Awaited PBM Reform Being Signed into Law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Energía y Comercio de la Cámara de Representantes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https://republicans-energycommerce.house.gov/posts/chairman-guthrie-celebrates-long-awaited-pbm-reform-being-signed-into-law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nota de prensa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https://www.sec.gov/Archives/edgar/data/731766/000073176626000191/earningsrelease2q26_7152.htm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proxy statement (DEF 14A)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https://www.sec.gov/Archives/edgar/data/1156039/000115603926000031/elv-20260326.htm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Health's 5 highest-paid executives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Becker's Payer Issues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https://www.beckerspayer.com/workforce/elevance-healths-5-highest-paid-executives-in-2025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CEO kauft Aktien für rund 1 Mio. Dollar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https://goldesel.de/aktien/news/elevance-health-ceo-kauft-aktien-fur-rund-1-mio-dollar-kurs-bleibt-nach-guidance-delle-unter-druck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stock tumbles 12% on Q3 earnings miss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https://investing.com/news/stock-market-news/elevance-health-stock-tumbles-12-on-q3-earnings-miss-93CH-3667964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 insurance stocks slide after Elevance highlights margin pressures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https://finviz.com/news/368594/health-insurance-stocks-slide-after-elevance-highlights-margin-pressures-elv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stock price &amp; overview (cierre del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EPS estimates for Elevance Health boosted by analyst (Zacks 2027-2028)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https://www.marketbeat.com/instant-alerts/fy2026-eps-estimates-for-elevance-health-boosted-by-analyst-2026-07-29/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Health's Q2 2026 earnings: what to expect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https://www.barchart.com/story/news/12224/elevance-health-s-q2-2026-earnings-what-to-expect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ELV stock info (2-oct-2026,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Ideas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https://www.trade-ideas.com/stock-info/ELV/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set to announce quarterly earnings on Wednesday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https://www.defenseworld.net/2026/10/14/elevance-health-elv-set-to-announce-quarterly-earnings-on-wednesday.html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conference call Q3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BioPharmaWatch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https://www.biopharmawatch.com/news/ELV/elevance-health-conference-call-q3-2026-results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24 year stock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https://macrotrends.net/stocks/charts/ELV/elevance-health/stock-price-history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stock analysis: guidance raised to $27, street high at $498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https://www.tikr.com/blog/elevance-health-stock-analysis-guidance-raised-to-27-street-high-at-498-tikr-target-at-534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Inc. (ELV)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Inc: sentiment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https://www.benzinga.com/quote/ELV/sentiment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https://stockanalysis.com/stocks/unh/statistics/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to Acquire Express Scripts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https://www.sec.gov/Archives/edgar/data/701221/000095015918000059/ex99-1.htm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Aetna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https://www.sec.gov/Archives/edgar/data/64803/000119312517359526/d482402dex991.htm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OptumInsight and Change Healthcare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https://www.sec.gov/Archives/edgar/data/731766/000119312521002419/d60247dex991.htm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and Optum to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https://www.sec.gov/Archives/edgar/data/896262/000110465923074547/tm2319648d1_ex99-1.htm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Signify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https://www.sec.gov/Archives/edgar/data/64803/000119312522238311/d344935dex991.htm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Express Scripts Holding,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https://data.sec.gov/api/xbrl/companyfacts/CIK0001532063.json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Aetna,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https://data.sec.gov/api/xbrl/companyfacts/CIK0001122304.json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Healthcare,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https://data.sec.gov/api/xbrl/companyfacts/CIK0001756497.json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https://data.sec.gov/api/xbrl/companyfacts/CIK0000896262.json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Health,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https://data.sec.gov/api/xbrl/companyfacts/CIK0001828182.json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Oak Street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https://www.sec.gov/Archives/edgar/data/64803/000094787123000133/ss1747225_ex9901.htm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to acquire remaining interest in Kindred at Home (exhibit 99.3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https://www.sec.gov/Archives/edgar/data/49071/000004907121000079/exhibit993kindredathome-.htm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Has Upside, But Not Yet A Buy (artículo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https://seekingalpha.com/symbol/ELV/analysis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sentiment: Reddit, noticias y redes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https://app.sentisense.ai/stocks/ELV/sentiment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raises 2026 targets and exits weak Medicaid markets (comentarios y valoraciones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https://simplywall.st/stocks/us/healthcare/nyse-elv/elevance-health/news/elevance-health-elv-raises-2026-targets-and-exits-weak-medic/amp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Analystenupgrade auf Buy – Kursziel auf 498 USD erhöht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https://goldesel.de/aktien/news/elevance-health-analystenupgrade-auf-buy-kursziel-auf-498-usd-erhoht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ELV: informe de Sure Dividend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https://www.suredividend.com/wp-content/uploads/2026/07/ELV-2026-07-16.pdf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78,9 %</w:t>
      </w:r>
      <w:r>
        <w:t xml:space="preserve"> · Secciones con menos del 60 % de campos cubiertos: </w:t>
      </w:r>
      <w:r>
        <w:rPr>
          <w:b/>
          <w:bCs/>
        </w:rPr>
        <w:t xml:space="preserve">gobierno, bolsa</w:t>
      </w:r>
      <w:r>
        <w:t xml:space="preserve"> · Generado el 14 oct 2026.</w:t>
      </w:r>
    </w:p>
    <w:p>
      <w:pPr>
        <w:pStyle w:val="Nota"/>
        <w:spacing w:after="100"/>
      </w:pPr>
      <w:r>
        <w:t xml:space="preserve">Entorno en la nube con solo búsqueda web: sec.gov, la web de la empresa, Yahoo y MarketScreener no se abren, así que las cifras salen de los comunicados de resultados (8-K) y del 10-K tal como los citan los resultados de búsqueda, y de agregadores (Stock Analysis, EDGAR Tools, Finboard, Kalkine, OpenCapital) con su URL [5, 8, 9, 13, 18]; el balance de 2024 se contrasta con el 10-Q del 3T25 [19]; confianza media en cuentas y baja en gobierno. Precio de cierre del 13-oct-2026 (425,27 USD): la sesión del 14-oct no había cerrado. Ingresos = ingresos operativos (sin la renta de inversiones); EBIT = beneficio antes de impuestos + gastos por intereses, que sí incluye el rendimiento de la cartera de las filiales reguladas; por eso el puente solo cuenta la caja de la matriz (≈ 2.100 M a 30-jun-2026) y no los 9.491 M de caja consolidada (lección de UnitedHealth). Amortizaciones de 2022-2024 interpoladas entre las de 2021 y 2025 (estimación propia); deuda financiera de 2021-2024 = deuda total del agregador menos ≈ 700 M de arrendamientos (estimación propia; 2025 de la nota de deuda). Sin segmentos ni circulante comercial (clientes, proveedores, reservas médicas): no se pudieron leer las notas del 10-K. Comparables y transacciones del informe de UnitedHealth (cifras del 9-12 oct-2026); UnitedHealth entra con las de su informe, antes de sus resultados del 3T26. Elevance publica el 3T26 el 21-oct-2026, una semana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Elevance Health, Inc. (ELV)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425,27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(274,84 – 436,24)</c:v>
                </c:pt>
                <c:pt idx="1">
                  <c:v>Precio objetivo de los analistas (360,00 – 498,00)</c:v>
                </c:pt>
                <c:pt idx="2">
                  <c:v>Comparables: PER NTM (311,57 – 556,53)</c:v>
                </c:pt>
                <c:pt idx="3">
                  <c:v>Transacciones precedentes (EV/EBITDA) (457,94 – 651,10)</c:v>
                </c:pt>
                <c:pt idx="4">
                  <c:v>DCF (WACC y g ± 0,5) (414,03 – 536,60)</c:v>
                </c:pt>
                <c:pt idx="5">
                  <c:v>Escenarios (bajista – alcista) (297,18 – 545,48)</c:v>
                </c:pt>
                <c:pt idx="6">
                  <c:v>DCF con la prima implícita del mercado (4,2 %)</c:v>
                </c:pt>
                <c:pt idx="7">
                  <c:v>Precio actual (425,27)</c:v>
                </c:pt>
              </c:strCache>
            </c:strRef>
          </c:cat>
          <c:val>
            <c:numRef>
              <c:f>Hoja1!$B$2:$B$9</c:f>
              <c:numCache>
                <c:formatCode>#,##0</c:formatCode>
                <c:ptCount val="8"/>
                <c:pt idx="0">
                  <c:v>274.84</c:v>
                </c:pt>
                <c:pt idx="1">
                  <c:v>360</c:v>
                </c:pt>
                <c:pt idx="2">
                  <c:v>311.57</c:v>
                </c:pt>
                <c:pt idx="3">
                  <c:v>457.94</c:v>
                </c:pt>
                <c:pt idx="4">
                  <c:v>414.03</c:v>
                </c:pt>
                <c:pt idx="5">
                  <c:v>297.18</c:v>
                </c:pt>
                <c:pt idx="6">
                  <c:v>490.67</c:v>
                </c:pt>
                <c:pt idx="7">
                  <c:v>423.14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(274,84 – 436,24)</c:v>
                </c:pt>
                <c:pt idx="1">
                  <c:v>Precio objetivo de los analistas (360,00 – 498,00)</c:v>
                </c:pt>
                <c:pt idx="2">
                  <c:v>Comparables: PER NTM (311,57 – 556,53)</c:v>
                </c:pt>
                <c:pt idx="3">
                  <c:v>Transacciones precedentes (EV/EBITDA) (457,94 – 651,10)</c:v>
                </c:pt>
                <c:pt idx="4">
                  <c:v>DCF (WACC y g ± 0,5) (414,03 – 536,60)</c:v>
                </c:pt>
                <c:pt idx="5">
                  <c:v>Escenarios (bajista – alcista) (297,18 – 545,48)</c:v>
                </c:pt>
                <c:pt idx="6">
                  <c:v>DCF con la prima implícita del mercado (4,2 %)</c:v>
                </c:pt>
                <c:pt idx="7">
                  <c:v>Precio actual (425,27)</c:v>
                </c:pt>
              </c:strCache>
            </c:strRef>
          </c:cat>
          <c:val>
            <c:numRef>
              <c:f>Hoja1!$C$2:$C$9</c:f>
              <c:numCache>
                <c:formatCode>#,##0</c:formatCode>
                <c:ptCount val="8"/>
                <c:pt idx="0">
                  <c:v>161.40000000000003</c:v>
                </c:pt>
                <c:pt idx="1">
                  <c:v>138</c:v>
                </c:pt>
                <c:pt idx="2">
                  <c:v>244.95999999999998</c:v>
                </c:pt>
                <c:pt idx="3">
                  <c:v>193.16000000000003</c:v>
                </c:pt>
                <c:pt idx="4">
                  <c:v>122.57000000000005</c:v>
                </c:pt>
                <c:pt idx="5">
                  <c:v>248.3</c:v>
                </c:pt>
                <c:pt idx="6">
                  <c:v>98.38999999999993</c:v>
                </c:pt>
                <c:pt idx="7">
                  <c:v>4.259999999999991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Hoja1!$B$2:$B$11</c:f>
              <c:numCache>
                <c:formatCode>#,##0</c:formatCode>
                <c:ptCount val="10"/>
                <c:pt idx="0">
                  <c:v>3805100</c:v>
                </c:pt>
                <c:pt idx="1">
                  <c:v>4204300</c:v>
                </c:pt>
                <c:pt idx="2">
                  <c:v>4376900</c:v>
                </c:pt>
                <c:pt idx="3">
                  <c:v>4586600</c:v>
                </c:pt>
                <c:pt idx="4">
                  <c:v>4925300</c:v>
                </c:pt>
                <c:pt idx="5">
                  <c:v>5278600</c:v>
                </c:pt>
                <c:pt idx="6">
                  <c:v>5661700</c:v>
                </c:pt>
                <c:pt idx="7">
                  <c:v>6017400</c:v>
                </c:pt>
                <c:pt idx="8">
                  <c:v>6301600</c:v>
                </c:pt>
                <c:pt idx="9">
                  <c:v>6627100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Elevance</c:v>
                </c:pt>
                <c:pt idx="1">
                  <c:v>UnitedHealth Group</c:v>
                </c:pt>
                <c:pt idx="2">
                  <c:v>CVS Health (Aetna, CVS Caremark)</c:v>
                </c:pt>
                <c:pt idx="3">
                  <c:v>The Cigna Group (Express Scripts, Evernorth)</c:v>
                </c:pt>
                <c:pt idx="4">
                  <c:v>Centene</c:v>
                </c:pt>
                <c:pt idx="5">
                  <c:v>Humana</c:v>
                </c:pt>
                <c:pt idx="6">
                  <c:v>Molina Healthcare</c:v>
                </c:pt>
              </c:strCache>
            </c:strRef>
          </c:cat>
          <c:val>
            <c:numRef>
              <c:f>Hoja1!$B$2:$B$8</c:f>
              <c:numCache>
                <c:formatCode>0.0"%"</c:formatCode>
                <c:ptCount val="7"/>
                <c:pt idx="0">
                  <c:v>4.1</c:v>
                </c:pt>
                <c:pt idx="1">
                  <c:v>4.2</c:v>
                </c:pt>
                <c:pt idx="2">
                  <c:v>1.2</c:v>
                </c:pt>
                <c:pt idx="3">
                  <c:v>3.3</c:v>
                </c:pt>
                <c:pt idx="4">
                  <c:v>-3.9</c:v>
                </c:pt>
                <c:pt idx="5">
                  <c:v>2.1</c:v>
                </c:pt>
                <c:pt idx="6">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136943</c:v>
                </c:pt>
                <c:pt idx="1">
                  <c:v>155723</c:v>
                </c:pt>
                <c:pt idx="2">
                  <c:v>170209</c:v>
                </c:pt>
                <c:pt idx="3">
                  <c:v>175204</c:v>
                </c:pt>
                <c:pt idx="4">
                  <c:v>197600</c:v>
                </c:pt>
                <c:pt idx="5">
                  <c:v>198588</c:v>
                </c:pt>
                <c:pt idx="6">
                  <c:v>204546</c:v>
                </c:pt>
                <c:pt idx="7">
                  <c:v>214773</c:v>
                </c:pt>
                <c:pt idx="8">
                  <c:v>225512</c:v>
                </c:pt>
                <c:pt idx="9">
                  <c:v>235660</c:v>
                </c:pt>
                <c:pt idx="10">
                  <c:v>245086</c:v>
                </c:pt>
                <c:pt idx="11">
                  <c:v>253664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10095</c:v>
                </c:pt>
                <c:pt idx="1">
                  <c:v>9814</c:v>
                </c:pt>
                <c:pt idx="2">
                  <c:v>10169</c:v>
                </c:pt>
                <c:pt idx="3">
                  <c:v>10574</c:v>
                </c:pt>
                <c:pt idx="4">
                  <c:v>9658</c:v>
                </c:pt>
                <c:pt idx="5">
                  <c:v>9135</c:v>
                </c:pt>
                <c:pt idx="6">
                  <c:v>11250</c:v>
                </c:pt>
                <c:pt idx="7">
                  <c:v>12242</c:v>
                </c:pt>
                <c:pt idx="8">
                  <c:v>13305</c:v>
                </c:pt>
                <c:pt idx="9">
                  <c:v>14140</c:v>
                </c:pt>
                <c:pt idx="10">
                  <c:v>14705</c:v>
                </c:pt>
                <c:pt idx="11">
                  <c:v>15220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7.4</c:v>
                </c:pt>
                <c:pt idx="1">
                  <c:v>6.3</c:v>
                </c:pt>
                <c:pt idx="2">
                  <c:v>6</c:v>
                </c:pt>
                <c:pt idx="3">
                  <c:v>6</c:v>
                </c:pt>
                <c:pt idx="4">
                  <c:v>4.9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6.4</c:v>
                </c:pt>
                <c:pt idx="1">
                  <c:v>5.4</c:v>
                </c:pt>
                <c:pt idx="2">
                  <c:v>5.1</c:v>
                </c:pt>
                <c:pt idx="3">
                  <c:v>5.2</c:v>
                </c:pt>
                <c:pt idx="4">
                  <c:v>4.1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4.5</c:v>
                </c:pt>
                <c:pt idx="1">
                  <c:v>3.8</c:v>
                </c:pt>
                <c:pt idx="2">
                  <c:v>3.5</c:v>
                </c:pt>
                <c:pt idx="3">
                  <c:v>3.4</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10</c:v>
                </c:pt>
                <c:pt idx="4">
                  <c:v>1.5</c:v>
                </c:pt>
                <c:pt idx="5">
                  <c:v>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7277</c:v>
                </c:pt>
                <c:pt idx="1">
                  <c:v>7247</c:v>
                </c:pt>
                <c:pt idx="2">
                  <c:v>6765</c:v>
                </c:pt>
                <c:pt idx="3">
                  <c:v>4552</c:v>
                </c:pt>
                <c:pt idx="4">
                  <c:v>3174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6104</c:v>
                </c:pt>
                <c:pt idx="1">
                  <c:v>5894</c:v>
                </c:pt>
                <c:pt idx="2">
                  <c:v>5987</c:v>
                </c:pt>
                <c:pt idx="3">
                  <c:v>5980</c:v>
                </c:pt>
                <c:pt idx="4">
                  <c:v>5662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12.4</c:v>
                </c:pt>
                <c:pt idx="1">
                  <c:v>12.1</c:v>
                </c:pt>
                <c:pt idx="2">
                  <c:v>12.2</c:v>
                </c:pt>
                <c:pt idx="3">
                  <c:v>11.2</c:v>
                </c:pt>
                <c:pt idx="4">
                  <c:v>10.5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8.4</c:v>
                </c:pt>
                <c:pt idx="1">
                  <c:v>8.4</c:v>
                </c:pt>
                <c:pt idx="2">
                  <c:v>8.4</c:v>
                </c:pt>
                <c:pt idx="3">
                  <c:v>8.4</c:v>
                </c:pt>
                <c:pt idx="4">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16.9</c:v>
                </c:pt>
                <c:pt idx="1">
                  <c:v>16.3</c:v>
                </c:pt>
                <c:pt idx="2">
                  <c:v>15.8</c:v>
                </c:pt>
                <c:pt idx="3">
                  <c:v>14.8</c:v>
                </c:pt>
                <c:pt idx="4">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1.83</c:v>
                </c:pt>
                <c:pt idx="1">
                  <c:v>1.73</c:v>
                </c:pt>
                <c:pt idx="2">
                  <c:v>1.84</c:v>
                </c:pt>
                <c:pt idx="3">
                  <c:v>2.19</c:v>
                </c:pt>
                <c:pt idx="4">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1104</c:v>
                </c:pt>
                <c:pt idx="1">
                  <c:v>1229</c:v>
                </c:pt>
                <c:pt idx="2">
                  <c:v>1386</c:v>
                </c:pt>
                <c:pt idx="3">
                  <c:v>1508</c:v>
                </c:pt>
                <c:pt idx="4">
                  <c:v>1529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1900</c:v>
                </c:pt>
                <c:pt idx="1">
                  <c:v>2316</c:v>
                </c:pt>
                <c:pt idx="2">
                  <c:v>2680</c:v>
                </c:pt>
                <c:pt idx="3">
                  <c:v>2900</c:v>
                </c:pt>
                <c:pt idx="4">
                  <c:v>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13.2</c:v>
                </c:pt>
                <c:pt idx="1">
                  <c:v>14.1</c:v>
                </c:pt>
                <c:pt idx="2">
                  <c:v>12.9</c:v>
                </c:pt>
                <c:pt idx="3">
                  <c:v>10.3</c:v>
                </c:pt>
                <c:pt idx="4">
                  <c:v>10.5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12.9</c:v>
                </c:pt>
                <c:pt idx="1">
                  <c:v>12.9</c:v>
                </c:pt>
                <c:pt idx="2">
                  <c:v>12.9</c:v>
                </c:pt>
                <c:pt idx="3">
                  <c:v>12.9</c:v>
                </c:pt>
                <c:pt idx="4">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Express Scripts</c:v>
                </c:pt>
                <c:pt idx="1">
                  <c:v>Aetna</c:v>
                </c:pt>
                <c:pt idx="2">
                  <c:v>Change Healthcare</c:v>
                </c:pt>
                <c:pt idx="3">
                  <c:v>Amedisys</c:v>
                </c:pt>
                <c:pt idx="4">
                  <c:v>Signify Health</c:v>
                </c:pt>
                <c:pt idx="5">
                  <c:v>Oak Street Health</c:v>
                </c:pt>
                <c:pt idx="6">
                  <c:v>Kindred at Home (60 % restante)</c:v>
                </c:pt>
              </c:strCache>
            </c:strRef>
          </c:cat>
          <c:val>
            <c:numRef>
              <c:f>Hoja1!$B$2:$B$8</c:f>
              <c:numCache>
                <c:formatCode>0.0"x"</c:formatCode>
                <c:ptCount val="7"/>
                <c:pt idx="0">
                  <c:v>9.2</c:v>
                </c:pt>
                <c:pt idx="2">
                  <c:v>18.1</c:v>
                </c:pt>
                <c:pt idx="3">
                  <c:v>17.9</c:v>
                </c:pt>
                <c:pt idx="4">
                  <c:v>67.8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6199</c:v>
                </c:pt>
                <c:pt idx="1">
                  <c:v>7086</c:v>
                </c:pt>
                <c:pt idx="2">
                  <c:v>7234</c:v>
                </c:pt>
                <c:pt idx="3">
                  <c:v>7786</c:v>
                </c:pt>
                <c:pt idx="4">
                  <c:v>8317</c:v>
                </c:pt>
                <c:pt idx="5">
                  <c:v>8724</c:v>
                </c:pt>
                <c:pt idx="6">
                  <c:v>9105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38409</c:v>
                </c:pt>
                <c:pt idx="1">
                  <c:v>94060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425,27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297.18</c:v>
                </c:pt>
                <c:pt idx="1">
                  <c:v>465.14</c:v>
                </c:pt>
                <c:pt idx="2">
                  <c:v>545.48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425,27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(274,84 – 436,24)</c:v>
                </c:pt>
                <c:pt idx="1">
                  <c:v>Precio objetivo de los analistas (360,00 – 498,00)</c:v>
                </c:pt>
                <c:pt idx="2">
                  <c:v>Comparables: PER NTM (311,57 – 556,53)</c:v>
                </c:pt>
                <c:pt idx="3">
                  <c:v>Transacciones precedentes (EV/EBITDA) (457,94 – 651,10)</c:v>
                </c:pt>
                <c:pt idx="4">
                  <c:v>DCF (WACC y g ± 0,5) (414,03 – 536,60)</c:v>
                </c:pt>
                <c:pt idx="5">
                  <c:v>Escenarios (bajista – alcista) (297,18 – 545,48)</c:v>
                </c:pt>
                <c:pt idx="6">
                  <c:v>DCF con la prima implícita del mercado (4,2 %)</c:v>
                </c:pt>
                <c:pt idx="7">
                  <c:v>Precio actual (425,27)</c:v>
                </c:pt>
              </c:strCache>
            </c:strRef>
          </c:cat>
          <c:val>
            <c:numRef>
              <c:f>Hoja1!$B$2:$B$9</c:f>
              <c:numCache>
                <c:formatCode>#,##0</c:formatCode>
                <c:ptCount val="8"/>
                <c:pt idx="0">
                  <c:v>274.84</c:v>
                </c:pt>
                <c:pt idx="1">
                  <c:v>360</c:v>
                </c:pt>
                <c:pt idx="2">
                  <c:v>311.57</c:v>
                </c:pt>
                <c:pt idx="3">
                  <c:v>457.94</c:v>
                </c:pt>
                <c:pt idx="4">
                  <c:v>414.03</c:v>
                </c:pt>
                <c:pt idx="5">
                  <c:v>297.18</c:v>
                </c:pt>
                <c:pt idx="6">
                  <c:v>490.67</c:v>
                </c:pt>
                <c:pt idx="7">
                  <c:v>423.14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(274,84 – 436,24)</c:v>
                </c:pt>
                <c:pt idx="1">
                  <c:v>Precio objetivo de los analistas (360,00 – 498,00)</c:v>
                </c:pt>
                <c:pt idx="2">
                  <c:v>Comparables: PER NTM (311,57 – 556,53)</c:v>
                </c:pt>
                <c:pt idx="3">
                  <c:v>Transacciones precedentes (EV/EBITDA) (457,94 – 651,10)</c:v>
                </c:pt>
                <c:pt idx="4">
                  <c:v>DCF (WACC y g ± 0,5) (414,03 – 536,60)</c:v>
                </c:pt>
                <c:pt idx="5">
                  <c:v>Escenarios (bajista – alcista) (297,18 – 545,48)</c:v>
                </c:pt>
                <c:pt idx="6">
                  <c:v>DCF con la prima implícita del mercado (4,2 %)</c:v>
                </c:pt>
                <c:pt idx="7">
                  <c:v>Precio actual (425,27)</c:v>
                </c:pt>
              </c:strCache>
            </c:strRef>
          </c:cat>
          <c:val>
            <c:numRef>
              <c:f>Hoja1!$C$2:$C$9</c:f>
              <c:numCache>
                <c:formatCode>#,##0</c:formatCode>
                <c:ptCount val="8"/>
                <c:pt idx="0">
                  <c:v>161.40000000000003</c:v>
                </c:pt>
                <c:pt idx="1">
                  <c:v>138</c:v>
                </c:pt>
                <c:pt idx="2">
                  <c:v>244.95999999999998</c:v>
                </c:pt>
                <c:pt idx="3">
                  <c:v>193.16000000000003</c:v>
                </c:pt>
                <c:pt idx="4">
                  <c:v>122.57000000000005</c:v>
                </c:pt>
                <c:pt idx="5">
                  <c:v>248.3</c:v>
                </c:pt>
                <c:pt idx="6">
                  <c:v>98.38999999999993</c:v>
                </c:pt>
                <c:pt idx="7">
                  <c:v>4.259999999999991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