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Enagás, S.A.</w:t>
      </w:r>
    </w:p>
    <w:p>
      <w:pPr>
        <w:spacing w:after="60"/>
        <w:rPr>
          <w:color w:val="52514E"/>
          <w:sz w:val="22"/>
          <w:szCs w:val="22"/>
        </w:rPr>
      </w:pPr>
      <w:r>
        <w:rPr>
          <w:color w:val="52514E"/>
          <w:sz w:val="22"/>
          <w:szCs w:val="22"/>
        </w:rPr>
        <w:t xml:space="preserve">ENG · BME (Mercado Continuo) · ISIN ES0130960018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13,92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-8,0 % (base -2,5 %)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13,97 EUR · mercado 14,66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Enagás,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 / ES0130960018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BME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Gas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Paseo de los Olmos 19, 28005 Madrid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www.enagas.es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 17,94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M EUR/día (3 meses; 635.095 acciones/día)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13,92 EUR</w:t>
      </w:r>
      <w:r>
        <w:t xml:space="preserve"> frente a 16,22 · Rentabilidad a 12 meses </w:t>
      </w:r>
      <w:r>
        <w:rPr>
          <w:b/>
          <w:bCs/>
        </w:rPr>
        <w:t xml:space="preserve">-8,0 % (base -2,5 %)</w:t>
      </w:r>
      <w:r>
        <w:t xml:space="preserve"> · Valor intrínseco 13,97 EUR · con la prima implícita del mercado: 14,66 (-9,6 %) · Alcista / bajista +11,8 % / -43,3 %</w:t>
      </w:r>
    </w:p>
    <w:p>
      <w:pPr>
        <w:spacing w:after="100"/>
      </w:pPr>
      <w:r>
        <w:rPr>
          <w:b/>
        </w:rPr>
        <w:t xml:space="preserve">La recomendación y por qué.</w:t>
      </w:r>
      <w:r>
        <w:t xml:space="preserve"> Mantener, con convicción baja. Las dos reglas discrepan. Con nuestro WACC (5,63 %), el valor objetivo es de 13,97 EUR frente a 16,22 EUR: una rentabilidad total esperada del −7,7 % con el dividendo del 6,2 % y una asimetría de 0,27x; la regla absoluta da Vender. Con la prima que hoy descuenta el mercado (4,20 %) [83], el WACC solo baja al 5,30 %, porque la beta es de 0,68: el objetivo sube a 14,66 EUR, la rentabilidad total al −3,5 % y la asimetría a 0,54x; la regla relativa, que manda, da Mantener. Es un Vender solo absoluto: Enagás está cara, pero no tanto como para venderla frente al mercado. Y el Mantener cuelga de un hilo: la asimetría roza el umbral de venta (0,5).</w:t>
      </w:r>
    </w:p>
    <w:p>
      <w:pPr>
        <w:spacing w:after="100"/>
      </w:pPr>
      <w:r>
        <w:rPr>
          <w:b/>
        </w:rPr>
        <w:t xml:space="preserve">El negocio.</w:t>
      </w:r>
      <w:r>
        <w:t xml:space="preserve"> Enagás es un monopolio legal: el 85,5 % de la retribución del transporte de gas en España y el 53,9 % de la regasificación [22, 23]. Esa posición no se traduce en rentabilidad: el ROIC sin participadas fue del 4,1 % en 2025, frente a un WACC del 5,63 %. La retribución la fija la CNMC sobre una RAB de gas que baja de ≈ 3.100 M en 2024 a ≈ 2.100 M en 2030 [9]. ¿Sostiene su calidad el crecimiento proyectado? Sí, porque es casi nulo (−0,3 % anual), sale de la tarifa ya fijada por la CNMC y no pide capital.</w:t>
      </w:r>
    </w:p>
    <w:p>
      <w:pPr>
        <w:spacing w:after="100"/>
      </w:pPr>
      <w:r>
        <w:rPr>
          <w:b/>
        </w:rPr>
        <w:t xml:space="preserve">Regulación.</w:t>
      </w:r>
      <w:r>
        <w:t xml:space="preserve"> El marco de 2027-2032 ya está en el BOE: la tasa de retribución financiera sube del 5,44 % al 6,46 % desde el 1-oct-2026 [74] y la retribución del sector pasa de 883 M a 961 M en 2027, para bajar a 940 M en 2032 [23]. No es una sorpresa: Enagás ya usaba ≈ 6,5 % desde 2027 [8] y el consenso espera un EBITDA de 724 M en 2027e (+16 %) [52].</w:t>
      </w:r>
    </w:p>
    <w:p>
      <w:pPr>
        <w:spacing w:after="100"/>
      </w:pPr>
      <w:r>
        <w:rPr>
          <w:b/>
        </w:rPr>
        <w:t xml:space="preserve">Finanzas.</w:t>
      </w:r>
      <w:r>
        <w:t xml:space="preserve"> El EBITDA sin participadas cayó de 683 M en 2021 a 520 M en 2025. La deuda neta es de 2.305 M (4,6x el EBITDA) y de 2.789 M con los ajustes; sube a ≈ 2.900 M con Teréga [6, 16]. Rating BBB+ estable y FFO / deuda neta del 27,4 % [6].</w:t>
      </w:r>
    </w:p>
    <w:p>
      <w:pPr>
        <w:spacing w:after="100"/>
      </w:pPr>
      <w:r>
        <w:rPr>
          <w:b/>
        </w:rPr>
        <w:t xml:space="preserve">Gobierno.</w:t>
      </w:r>
      <w:r>
        <w:t xml:space="preserve"> La ley limita a cualquier accionista al 5 % del capital y al 3 % del voto: no hay prima de control posible [15]. El historial resta: el suelo de dividendo de 1,74 EUR del plan de 2022 se rompió en 2024 (1,00 EUR) [9, 46].</w:t>
      </w:r>
    </w:p>
    <w:p>
      <w:pPr>
        <w:spacing w:after="100"/>
      </w:pPr>
      <w:r>
        <w:rPr>
          <w:b/>
        </w:rPr>
        <w:t xml:space="preserve">Valoración.</w:t>
      </w:r>
      <w:r>
        <w:t xml:space="preserve"> El DCF da 13,13 EUR (14,03 con la prima del mercado) y los comparables 16,22 EUR (9,5x el EBITDA de los próximos 12 meses frente a una mediana de 10,0x). El precio descuenta una rentabilidad del 4,6 % anual, por debajo de nuestro WACC y del que pide el mercado (5,30 %); con nuestro WACC exigiría crecer un 2,9 % anual frente al 0,3 % de nuestro caso. Nuestras cifras de explotación coinciden con el consenso: la diferencia es solo la tasa de descuento.</w:t>
      </w:r>
    </w:p>
    <w:p>
      <w:pPr>
        <w:spacing w:after="100"/>
      </w:pPr>
      <w:r>
        <w:rPr>
          <w:b/>
        </w:rPr>
        <w:t xml:space="preserve">Riesgos y catalizadores.</w:t>
      </w:r>
      <w:r>
        <w:t xml:space="preserve"> Al alza, que los tipos bajen: cada 0,5 pp de WACC mueve ≈ 1,2-1,4 EUR por acción. A la baja, el hidrógeno (plan del 1S27) y el dividendo más allá de 2026 (≈ 0,77 EUR con el 40 % del FFO) [9]; y el mercado: con una prima implícita del 4,4 %, la regla relativa ya da Vender. Catalizadores: 9M26 (finales de octubre), cobro de Castor (4T26) y laudo de GSP (1S27).</w:t>
      </w:r>
    </w:p>
    <w:p>
      <w:pPr>
        <w:spacing w:after="100"/>
      </w:pPr>
      <w:r>
        <w:rPr>
          <w:b/>
        </w:rPr>
        <w:t xml:space="preserve">Qué cambiaría la decisión.</w:t>
      </w:r>
      <w:r>
        <w:t xml:space="preserve"> Con las dos reglas, compraríamos por debajo de 13,61 EUR y venderíamos por encima de 16,41 EUR. Pasaríamos a Vender si la prima implícita del mercado sube al 4,4 %. Subiríamos la convicción si el bono a 10 años baja del 3,6 %, si la empresa fija un dividendo de 1,00 EUR para 2027-2030 cubierto por el FFO o si el hidrógeno recibe una retribución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13,92 EUR</w:t>
      </w:r>
      <w:r>
        <w:t xml:space="preserve"> (rentabilidad -8,0 % (base -2,5 %)) · Valor intrínseco: 13,97 EUR (-13,9 % sobre 16,22) · con la prima implícita del mercado: 14,66 (-9,6 %)</w:t>
      </w:r>
    </w:p>
    <w:p>
      <w:pPr>
        <w:spacing w:after="100"/>
      </w:pPr>
      <w:r>
        <w:t xml:space="preserve">Enagás es el transportista de gas de España, con ≈ 73,5 % de la retribución del transporte y la regasificación del sector [22, 23] y participadas que le pagaron 164 M de dividendos en 2025 [7]. Su negocio está regulado hasta 2032 con una tasa de retribución del 6,46 % [74] y un EBITDA sin participadas de ≈ 500 M al año, con un margen superior al 50 %.</w:t>
      </w:r>
    </w:p>
    <w:p>
      <w:pPr>
        <w:spacing w:after="100"/>
      </w:pPr>
      <w:r>
        <w:t xml:space="preserve">El precio de 16,22 EUR descuenta una rentabilidad del 4,6 % anual, por debajo del WACC que la propia CNMC reconoce (4,85 %) y apenas por encima del bono español (4,12 %) [56]. Por múltiplos, Enagás cotiza en línea con redes europeas que hacen crecer su RAB un 5-8 % al año, mientras la suya se reduce un 6 % anual hasta 2030 [9].</w:t>
      </w:r>
    </w:p>
    <w:p>
      <w:pPr>
        <w:spacing w:after="100"/>
      </w:pPr>
      <w:r>
        <w:t xml:space="preserve">El mercado acierta en que el marco 2027-2032 da visibilidad y en que el dividendo de 1,00 EUR es seguro hasta 2026. Se equivoca, a nuestro juicio, al tratar un 6,2 % de rentabilidad por dividendo sin crecimiento como un bono: tras el recorte de 2024 [9], el dividendo a partir de 2027 depende de un 40 % del FFO y del hidrógeno. Para invertir hay que creer que los tipos bajarán o que el hidrógeno tendrá una retribución por encima del coste de capital. Con la prima de riesgo que hoy pide el mercado (4,20 %) [83], el objetivo es de 14,66 EUR (−9,6 %): frente al mercado, Enagás no es una venta, pero tampoco una compra, y el Mantener se apoya en el dividendo del 6,2 %.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1,03 = 9,37 · 13,0x × 1,14 = 14,82 · 13,9x × 1,20 = 16,68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 (nuestro base -13,1 %)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5,6 %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12,98 y 16,58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16,58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13,61 EUR pasaríamos a Comprar; entre 13,61 y 16,41 EUR, Mantener; por encima de 16,41 EUR (un 1,2 % sobre el precio actual), Vender (motor).</w:t>
      </w:r>
    </w:p>
    <w:p>
      <w:pPr>
        <w:pStyle w:val="ListParagraph"/>
        <w:numPr>
          <w:ilvl w:val="0"/>
          <w:numId w:val="2"/>
        </w:numPr>
        <w:spacing w:after="60"/>
      </w:pPr>
      <w:r>
        <w:t xml:space="preserve">Si la prima implícita del mercado sube al 4,4 % o más (4,20 % en octubre de 2026) [83], la regla relativa da Vender al precio de hoy y pasaríamos a Vender (motor).</w:t>
      </w:r>
    </w:p>
    <w:p>
      <w:pPr>
        <w:pStyle w:val="ListParagraph"/>
        <w:numPr>
          <w:ilvl w:val="0"/>
          <w:numId w:val="2"/>
        </w:numPr>
        <w:spacing w:after="60"/>
      </w:pPr>
      <w:r>
        <w:t xml:space="preserve">Si el bono español a 10 años baja del 3,6 % (el DCF con un WACC 0,5 pp menor da ≈ 14,5 EUR), subiríamos la convicción del Mantener.</w:t>
      </w:r>
    </w:p>
    <w:p>
      <w:pPr>
        <w:pStyle w:val="ListParagraph"/>
        <w:numPr>
          <w:ilvl w:val="0"/>
          <w:numId w:val="2"/>
        </w:numPr>
        <w:spacing w:after="60"/>
      </w:pPr>
      <w:r>
        <w:t xml:space="preserve">Si Enagás compromete un dividendo de 1,00 EUR para 2027-2030 cubierto por el FFO, subiríamos la convicción del Mantener.</w:t>
      </w:r>
    </w:p>
    <w:p>
      <w:pPr>
        <w:pStyle w:val="ListParagraph"/>
        <w:numPr>
          <w:ilvl w:val="0"/>
          <w:numId w:val="2"/>
        </w:numPr>
        <w:spacing w:after="60"/>
      </w:pPr>
      <w:r>
        <w:t xml:space="preserve">Si el hidrógeno recibe un marco retributivo con una tasa por encima del 7 % antes de la decisión de inversión de finales de 2027, revisaríamos el alcista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4,6 % anual, es decir, que Enagás es un sustituto de la deuda pública con un 6,2 % de cupón y que el marco 2027-2032 mejora el beneficio (EBITDA del consenso +16 % en 2027e) [52].</w:t>
      </w:r>
    </w:p>
    <w:p>
      <w:pPr>
        <w:keepNext/>
        <w:spacing w:after="100"/>
      </w:pPr>
      <w:r>
        <w:rPr>
          <w:b/>
          <w:bCs/>
        </w:rPr>
        <w:t xml:space="preserve">Lo que creemos nosotros.</w:t>
      </w:r>
    </w:p>
    <w:p>
      <w:pPr>
        <w:spacing w:after="100"/>
      </w:pPr>
      <w:r>
        <w:t xml:space="preserve">La mejora regulatoria ya está en el consenso y en el precio. Con el bono a 10 años en el 4,12 % [56], una red de gas cuya RAB baja del orden de un 6 % al año necesita una rentabilidad de al menos el 5,6 %, y eso da 13,13 EUR por DCF. Con la prima que hoy pide el mercado (4,20 %) [83], la exigencia baja al 5,3 % y el DCF sube a 14,03 EUR: sigue por debajo del precio, aunque no lo bastante para vender.</w:t>
      </w:r>
    </w:p>
    <w:p>
      <w:pPr>
        <w:keepNext/>
        <w:spacing w:after="100"/>
      </w:pPr>
      <w:r>
        <w:rPr>
          <w:b/>
          <w:bCs/>
        </w:rPr>
        <w:t xml:space="preserve">Por qué podemos tener razón.</w:t>
      </w:r>
    </w:p>
    <w:p>
      <w:pPr>
        <w:spacing w:after="100"/>
      </w:pPr>
      <w:r>
        <w:t xml:space="preserve">Los tipos subieron 90 pb en un año y la acción subió un 23 % en 2026 [51]: el precio no ha incorporado el coste de oportunidad. Además, el dividendo de 2027 en adelante no está comprometido.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Marco regulatorio cerrado hasta 2032</w:t>
      </w:r>
      <w:r>
        <w:t xml:space="preserve">: TRF del 6,46 %, frente al 5,44 % anterior, ya en el BOE [74].</w:t>
      </w:r>
    </w:p>
    <w:p>
      <w:pPr>
        <w:pStyle w:val="ListParagraph"/>
        <w:numPr>
          <w:ilvl w:val="0"/>
          <w:numId w:val="2"/>
        </w:numPr>
        <w:spacing w:after="60"/>
      </w:pPr>
      <w:r>
        <w:rPr>
          <w:b/>
        </w:rPr>
        <w:t xml:space="preserve">Participadas que generan caja</w:t>
      </w:r>
      <w:r>
        <w:t xml:space="preserve">: 164 M de dividendos en 2025 y ≈ 40 M más al año de Teréga [6, 7].</w:t>
      </w:r>
    </w:p>
    <w:p>
      <w:pPr>
        <w:pStyle w:val="ListParagraph"/>
        <w:numPr>
          <w:ilvl w:val="0"/>
          <w:numId w:val="2"/>
        </w:numPr>
        <w:spacing w:after="60"/>
      </w:pPr>
      <w:r>
        <w:rPr>
          <w:b/>
        </w:rPr>
        <w:t xml:space="preserve">Balance con deuda barata</w:t>
      </w:r>
      <w:r>
        <w:t xml:space="preserve">: coste del 2,0 % y más del 80 % a tipo fijo; BBB+ estable [6].</w:t>
      </w:r>
    </w:p>
    <w:p>
      <w:pPr>
        <w:pStyle w:val="ListParagraph"/>
        <w:numPr>
          <w:ilvl w:val="0"/>
          <w:numId w:val="2"/>
        </w:numPr>
        <w:spacing w:after="60"/>
      </w:pPr>
      <w:r>
        <w:rPr>
          <w:b/>
        </w:rPr>
        <w:t xml:space="preserve">Comparables en línea</w:t>
      </w:r>
      <w:r>
        <w:t xml:space="preserve">: 9,5x el EBITDA frente a una mediana de 10,0x de las redes europeas.</w:t>
      </w:r>
    </w:p>
    <w:p>
      <w:pPr>
        <w:pStyle w:val="ListParagraph"/>
        <w:numPr>
          <w:ilvl w:val="0"/>
          <w:numId w:val="2"/>
        </w:numPr>
        <w:spacing w:after="60"/>
      </w:pPr>
      <w:r>
        <w:rPr>
          <w:b/>
        </w:rPr>
        <w:t xml:space="preserve">Opciones no valoradas</w:t>
      </w:r>
      <w:r>
        <w:t xml:space="preserve">: laudo de GSP (303 M USD), cobro de Castor (129 M) y dividendos retenidos de TgP en Perú [6].</w:t>
      </w:r>
    </w:p>
    <w:p>
      <w:pPr>
        <w:pStyle w:val="Heading2"/>
      </w:pPr>
      <w:r>
        <w:t xml:space="preserve">En contra</w:t>
      </w:r>
    </w:p>
    <w:p>
      <w:pPr>
        <w:pStyle w:val="ListParagraph"/>
        <w:numPr>
          <w:ilvl w:val="0"/>
          <w:numId w:val="2"/>
        </w:numPr>
        <w:spacing w:after="60"/>
      </w:pPr>
      <w:r>
        <w:rPr>
          <w:b/>
        </w:rPr>
        <w:t xml:space="preserve">El precio descuenta un 4,6 % de rentabilidad</w:t>
      </w:r>
      <w:r>
        <w:t xml:space="preserve">, 0,5 pp sobre el bono español a 10 años [56].</w:t>
      </w:r>
    </w:p>
    <w:p>
      <w:pPr>
        <w:pStyle w:val="ListParagraph"/>
        <w:numPr>
          <w:ilvl w:val="0"/>
          <w:numId w:val="2"/>
        </w:numPr>
        <w:spacing w:after="60"/>
      </w:pPr>
      <w:r>
        <w:rPr>
          <w:b/>
        </w:rPr>
        <w:t xml:space="preserve">RAB de gas en retroceso</w:t>
      </w:r>
      <w:r>
        <w:t xml:space="preserve">: de ≈ 3.100 M en 2024 a ≈ 2.100 M en 2030 [9].</w:t>
      </w:r>
    </w:p>
    <w:p>
      <w:pPr>
        <w:pStyle w:val="ListParagraph"/>
        <w:numPr>
          <w:ilvl w:val="0"/>
          <w:numId w:val="2"/>
        </w:numPr>
        <w:spacing w:after="60"/>
      </w:pPr>
      <w:r>
        <w:rPr>
          <w:b/>
        </w:rPr>
        <w:t xml:space="preserve">ROIC del 4,1 % frente a un WACC del 5,63 %</w:t>
      </w:r>
      <w:r>
        <w:t xml:space="preserve">: no cubre el coste de capital.</w:t>
      </w:r>
    </w:p>
    <w:p>
      <w:pPr>
        <w:pStyle w:val="ListParagraph"/>
        <w:numPr>
          <w:ilvl w:val="0"/>
          <w:numId w:val="2"/>
        </w:numPr>
        <w:spacing w:after="60"/>
      </w:pPr>
      <w:r>
        <w:rPr>
          <w:b/>
        </w:rPr>
        <w:t xml:space="preserve">Dividendo sin compromiso desde 2027</w:t>
      </w:r>
      <w:r>
        <w:t xml:space="preserve">: el 40 % del FFO daría ≈ 0,77 EUR por acción (estimación propia) [9].</w:t>
      </w:r>
    </w:p>
    <w:p>
      <w:pPr>
        <w:pStyle w:val="ListParagraph"/>
        <w:numPr>
          <w:ilvl w:val="0"/>
          <w:numId w:val="2"/>
        </w:numPr>
        <w:spacing w:after="60"/>
      </w:pPr>
      <w:r>
        <w:rPr>
          <w:b/>
        </w:rPr>
        <w:t xml:space="preserve">Hidrógeno con 3.125 M de inversión prevista</w:t>
      </w:r>
      <w:r>
        <w:t xml:space="preserve"> y sin marco retributivo [30].</w:t>
      </w:r>
    </w:p>
    <w:p>
      <w:pPr>
        <w:pStyle w:val="ListParagraph"/>
        <w:numPr>
          <w:ilvl w:val="0"/>
          <w:numId w:val="2"/>
        </w:numPr>
        <w:spacing w:after="60"/>
      </w:pPr>
      <w:r>
        <w:rPr>
          <w:b/>
        </w:rPr>
        <w:t xml:space="preserve">Historial de promesas incumplidas</w:t>
      </w:r>
      <w:r>
        <w:t xml:space="preserve">: el suelo de dividendo de 1,74 EUR se rompió en 2024 [46].</w:t>
      </w:r>
    </w:p>
    <w:p>
      <w:pPr>
        <w:pStyle w:val="Heading2"/>
      </w:pPr>
      <w:r>
        <w:t xml:space="preserve">Qué tiene que pasar para que la tesis funcione</w:t>
      </w:r>
    </w:p>
    <w:p>
      <w:pPr>
        <w:spacing w:after="100"/>
      </w:pPr>
      <w:r>
        <w:t xml:space="preserve">La tesis depende de que el coste de oportunidad siga alto: el bono español a 10 años por encima del 4 %. La señal de que nos equivocamos sería una bajada del bono por debajo del 3,6 % con el diferencial frente al dividendo de Enagás por encima de 2,5 pp, o un dividendo de 1,00 EUR comprometido para 2027-2030 en los resultados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español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(con participadas)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M en el 1S26; guía ≈ 620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plan de eficiencia antes del nuevo marco.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FFO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del 27,4 %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el umbral del BBB+ antes del hidrógeno.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acción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EUR (2024-2026)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apoya en el 6,2 % de rentabilidad por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en hidrógeno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al año sin marco retributivo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sin retribución conocida que destruiría valor al WACC actual.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Enagás se constituyó en 1972 como empresa pública para crear la red de gas natural en España [1]. En 2000 fue nombrada Gestor Técnico del Sistema gasista y en 2002 salió a bolsa, completando su privatización; la ley limita hoy a un 5 % la participación de cualquier accionista y a un 3 % sus derechos de voto, y la SEPI sigue en el consejo como dominical [1, 15]. En 2009 fue designada transportista único de la red troncal primaria y en 2012 se certificó como TSO europeo [1]. Desde 2011 (TLA Altamira, México) se internacionalizó (TAP, DESFA, TGP en Perú, Tallgrass en EE. UU.), y desde 2022 desinvierte: Quintero, Morelos y COGA en 2022, Tallgrass y Soto La Marina en 2024 [1, 30]. Con la designación como gestor provisional de la red troncal de hidrógeno (RDL 8/2023) el hidrógeno pasa a ser su eje de crecimiento [26, 30]. En 2026 compra el 31,5 % de Teréga (Francia), vende el 40 % de Enagás Renovable a Hy24 y sube al 92,5 % en Saggas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Enagás como empresa pública para desarrollar la red de gas natural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Gestor Técnico del Sistema gasista español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(privatización); hoy ningún accionista puede superar el 5 % del capital ni el 3 % de los votos (DA 31.ª Ley 34/1998)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Designada transportista único de la red troncal primaria de gasoductos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adquisición internacional: planta de GNL TLA Altamira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como gestor de red de transporte (TSO)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rotación: venta de Quintero (Chile), Gasoducto Morelos (México) y COGA (Perú)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RDL 8/2023 (27-12-2023) habilita a los transportistas de gas como gestores provisionales de la red troncal de hidrógeno; puesta en marcha de El Musel E-Hub y compra de 130 km de gasoductos de Reganosa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Tallgrass Energy (EE. UU.), que recorta la deuda neta en ~1.000 M EUR, y laudo del CIADI en el caso GSP: Perú debe pagar 194 M USD; H2med y la red troncal española entran en la primera lista PCI (8-4-2024)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CEF concede el 100 % de lo pedido (75,8 M EUR) para estudios de H2med y la red troncal; actualización estratégica 2025-2030 con 3.125 M EUR para hidrógeno [27,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31,5 % de Teréga, venta del 40 % de Enagás Renovable a Hy24, subida al 92,5 % en Saggas y renovación de H2med como PCI (DOUE 9-4-2026) [24,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Enagás es el transportista principal y el Gestor Técnico del Sistema gasista español. En España opera unos 11.000 km de gasoductos, 19 estaciones de compresión, 6 conexiones internacionales y 3 almacenamientos subterráneos (Gaviota, Yela, Serrablo), y es titular o socio de 6 plantas de regasificación: Barcelona, Huelva y Cartagena al 100 %, El Musel (75 %), Saggas (72,5 %, que sube al 92,5 %) y BBG (50 %) [1, 24]. Sus clientes son los comercializadores y grandes consumidores que contratan capacidad (peajes) y, en último término, el sistema gasista, que le liquida la retribución reconocida por la CNMC [23]. Fuera de España tiene participaciones sin control en TAP (20 %), DESFA (11,88 %), TGP en Perú (28,95 %), Hanseatic Energy Hub (15 %), TLA Altamira (40 %) y, desde 2026, Teréga (31,5 %) [1, 24]. Desde 2024 actúa, a través de Enagás Infraestructuras de Hidrógeno, como gestor provisional de la red troncal de hidrógeno [25].</w:t>
      </w:r>
    </w:p>
    <w:p>
      <w:pPr>
        <w:pStyle w:val="Heading2"/>
      </w:pPr>
      <w:r>
        <w:t xml:space="preserve">Cómo gana dinero</w:t>
      </w:r>
    </w:p>
    <w:p>
      <w:pPr>
        <w:spacing w:after="100"/>
      </w:pPr>
      <w:r>
        <w:t xml:space="preserve">Casi todo el ingreso es retribución regulada: 949,1 M EUR de 976,8 M EUR en 2025 (97 %) [7]. La CNMC reconoce a cada activo una retribución por amortización y una retribución financiera (TRF sobre el valor neto regulatorio) durante su vida útil regulatoria, más O&amp;M a valores unitarios, y, al agotarse la vida útil, una retribución por extensión de vida útil (REVU) mientras el activo siga disponible [19]. El volumen apenas mueve el ingreso; lo que lo mueve es el regulador: el marco 2021-2026 restó unos 57 M EUR en 2025 y 30 M EUR en el primer semestre de 2026 [7, 24]. Como la base de activos está muy amortizada, la retribución del transporte y la regasificación cae cada año si no hay inversión nueva (de 1.237,8 M EUR en 2018 a 883,0 M EUR en 2026 para todo el sector) [23]. La participación en sociedades (TAP, TGP…) aportó 86,3 M EUR al EBITDA del primer semestre de 2026 [24]. No hay estacionalidad relevante en el ingreso.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comercial relevante: la retribución la paga el sistema gasista mediante las liquidaciones de la CNMC, financiadas con los peajes y cánones que pagan comercializadores y consumidores, y los desajustes se corrigen en liquidaciones posteriores [23]. Los contratos de capacidad de regasificación son largos: tras la subasta de junio de 2026 hay 2.251 slots de descarga contratados hasta 2041 [24]. El poder de precios es nulo, porque la retribución la fija la CNMC por periodos de seis años; lo que la empresa puede negociar es el marco: en 2026 se personó ante el Consejo de Estado en la tramitación de las circulares 2027-2032 [24], y los agentes alegaron que la TRF era insuficiente, sin éxito para el transporte (6,46 % propuesto y aprobado) [21, 22]. El riesgo de contraparte es el del sistema gasista español regulado.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regulada (RAB), gas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(2026, plan)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redondeadas del plan estratégico de feb-25; objetivo 2030: ~2.100 M de gas + ~2.700 M de hidrógeno = ~4.800 M [9]. No se publica la RAB de 2025 ni a 30-jun-26.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(RoR)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 (2021-2026)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 (2027-2032, borrador)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Borradores revisados de la CNMC publicados el 26-jun-26, pendientes del Consejo de Estado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RCS (retribución por continuidad de suministro), % del valor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Transitoria en el periodo 2021-2026: 80 % en 2022, 65 % en 2023, 50 % en 2024, 35 % en 2025 y 20 % en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marco regulatorio en ingresos regulados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amortización de la base de activos y fin de la RCS; compensada en ingresos por obras de sellado de Castor (125,9 M en 2025, neutras en EBITDA)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en España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TWh con exportaciones (2025, +7,4 %)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TWh (1S26, +0,4 %)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para generación eléctrica subió un 10,6 % en el 1S26 y la convencional cayó un 3,1 % [5, 7]. La retribución no depende de la demanda.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~225 M, de ellos ~100 M en gas regulado, ~50 M hidrógeno, ~55 M nuevos negocios y ~20 M otros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2.475 M en dic-25; guía dic-26 ~2.400 M, antes de Teréga y Saggas [1,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25,7 % en dic-25; objetivo &gt;15 %, compatible con BBB+ [5,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retribución regulada del transporte de gas natural y la regasificación de GNL en España, que fija la CNMC por periodos de seis años y paga el sistema gasista; el almacenamiento subterráneo (retribuido por el Ministerio) y la gestión técnica del sistema (25,1 M EUR en el año de gas 2026) van aparte [22, 24]. Usamos la retribución reconocida de la CNMC, no la demanda, porque el ingreso casi no depende del volumen. Como segunda referencia está la demanda: la CNMC da 311,6 TWh de demanda liquidada en 2025 y prevé 283,7 TWh en 2032 (escenario tendencial) [23], mientras que el GTS (Enagás) da 372 TWh en 2025, porque incluye las exportaciones [31]. Como referencia europea, Snam (Italia) y Fluxys Belgium operan con modelos de retribución sobre base de activos análogos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M EUR de retribución del transporte y la regasificación en el año de gas 2026 (540,5 M EUR transporte y 342,4 M EUR regasificación) [23]; la Memoria de la TRF da 542,2 M EUR y 332,1 M EUR para el mismo año [22]. Con la nueva metodología, la CNMC prevé 961,1 M EUR en 2027 y 940,1 M EUR en 2032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retribución reconocida (transporte + regasificación, todas las empresas); 2021 = año de gas de enero a septiembre más un trimestre de 202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2027-2032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TRF del transporte, la regasificación y el GTS pasa del 5,44 % al 6,46 % desde el 1-10-2026; la CNMC estima +27,8 M EUR para el sector en 2027 y +140,7 M EUR acumulados en 2027-2032 sin inversión nueva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Actualización de los valores unitarios de O&amp;M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valores unitarios de OPEX y CAPEX suben un 32,6 % en la propuesta; la O&amp;M de la regasificación pasa de 645 a 946 M EUR y la del transporte de 781 a 1.023 M EUR en el conjunto del periodo, según el voto particular que la critica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la base de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metodología anterior, la retribución del sector habría caído de 883,0 M EUR en 2026 a 710,1 M EUR en 2032 (−19,6 %); el valor neto regulado se amortiza sin inversión que lo reponga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CNMC prevé 283,7 TWh en 2032 frente a 311,6 TWh en 2026 (tendencial) y 259,2 TWh en el escenario de electrificación (−16,8 %); afecta a los peajes más que a la retribución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y exportaciones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demanda transportada subió un 7,4 % hasta 372 TWh, por el consumo de los ciclos combinados (+33,4 %) y las exportaciones (+17,3 %; a Francia +58,9 %)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 troncal de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prevé invertir 3.125 M EUR en hidrógeno en 2025-2030, con FID a finales de 2027, y que sus activos de hidrógeno superen a los de gas en 2030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de hecho: Enagás tiene el 85,5 % de la retribución del transporte, Redexis el 8,6 % y Naturgy el 4,9 % [22]; no compiten por clientes, sino que cada activo se retribuye por separado.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efectivo es el regulador: la CNMC fija la TRF, los valores unitarios y la vida útil cada seis años. En 2021-2026 el marco restó unos 57 M EUR de ingresos a Enagás solo en 2025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Tubería, compresores y servicios de ingeniería con varios oferentes; la Circular 4/2026 añade un incentivo a la adquisición eficiente del gas de operación, la electricidad y la O&amp;M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instalaciones requieren planificación vinculante del Gobierno y autorización; ningún accionista puede superar el 5 % de Enagás [15]. La designación provisional como gestor de la red de hidrógeno también recae en el grupo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y renovables: la CNMC prevé una caída de la demanda del 8,9 % al 16,8 % entre 2026 y 2032 según el escenario [23].</w:t>
            </w:r>
          </w:p>
        </w:tc>
      </w:tr>
    </w:tbl>
    <w:p>
      <w:pPr>
        <w:spacing w:after="160" w:before="0"/>
      </w:pPr>
    </w:p>
    <w:p>
      <w:pPr>
        <w:pStyle w:val="Heading2"/>
      </w:pPr>
      <w:r>
        <w:t xml:space="preserve">Ciclo</w:t>
      </w:r>
    </w:p>
    <w:p>
      <w:pPr>
        <w:spacing w:after="100"/>
      </w:pPr>
      <w:r>
        <w:t xml:space="preserve">Lo indica la retribución del sector, que bajó de 1.298,2 M EUR en 2019 a 883,0 M EUR en 2026 porque la base de activos se amortiza y apenas se invierte [23]. La demanda es volátil y la retribución apenas la sigue: en 2020 la demanda liquidada cayó un 10,3 % (de 386,0 a 346,1 TWh) y la retribución un 4,7 %; en 2022 la demanda subió hasta 375,9 TWh con la crisis del gas y la retribución solo un 2,1 % [23]. No hemos encontrado una serie de 2008-09 comparable con la misma definición. El nuevo marco devuelve la retribución a 961 M EUR en 2027 [23].</w:t>
      </w:r>
    </w:p>
    <w:p>
      <w:pPr>
        <w:pStyle w:val="Heading2"/>
      </w:pPr>
      <w:r>
        <w:t xml:space="preserve">Regulación</w:t>
      </w:r>
    </w:p>
    <w:p>
      <w:pPr>
        <w:spacing w:after="100"/>
      </w:pPr>
      <w:r>
        <w:rPr>
          <w:b/>
        </w:rPr>
        <w:t xml:space="preserve">Marco 2027-2032 aprobado.</w:t>
      </w:r>
      <w:r>
        <w:t xml:space="preserve"> La CNMC aprobó el 8-9-2026 la Circular 4/2026 (metodología del transporte y la regasificación) y la 5/2026 (TRF), publicadas en el BOE del 18-9-2026, con efecto desde el 1-10-2026 [17, 18, 19]. La </w:t>
      </w:r>
      <w:r>
        <w:rPr>
          <w:b/>
        </w:rPr>
        <w:t xml:space="preserve">TRF</w:t>
      </w:r>
      <w:r>
        <w:t xml:space="preserve"> del transporte, la regasificación y el GTS es del </w:t>
      </w:r>
      <w:r>
        <w:rPr>
          <w:b/>
        </w:rPr>
        <w:t xml:space="preserve">6,46 %</w:t>
      </w:r>
      <w:r>
        <w:t xml:space="preserve"> (5,44 % en 2021-2026), con un WACC nominal después de impuestos del 4,85 %, un apalancamiento del 46 %, una tasa libre de riesgo del 3,27 % (ajuste por QE de 156 pb incluido), una beta apalancada de 0,73 y un coste de la deuda del 3,17 % [18]. La propuesta sometida a audiencia (17-4-2026) ya fijaba el 6,46 %, y las alegaciones de que era insuficiente no la movieron [21, 22]. </w:t>
      </w:r>
      <w:r>
        <w:rPr>
          <w:b/>
        </w:rPr>
        <w:t xml:space="preserve">Vidas útiles regulatorias</w:t>
      </w:r>
      <w:r>
        <w:t xml:space="preserve">: gasoductos 40 años, estaciones de regulación y medida 30, compresión 20, tanques de GNL 20, vaporizadores 10 [19]. La </w:t>
      </w:r>
      <w:r>
        <w:rPr>
          <w:b/>
        </w:rPr>
        <w:t xml:space="preserve">RCS desaparece</w:t>
      </w:r>
      <w:r>
        <w:t xml:space="preserve"> (ya lo proponía la audiencia del 26-3-2026) y la </w:t>
      </w:r>
      <w:r>
        <w:rPr>
          <w:b/>
        </w:rPr>
        <w:t xml:space="preserve">REVU</w:t>
      </w:r>
      <w:r>
        <w:t xml:space="preserve"> se mantiene [19, 20]. Se añaden el IFVA (activos amortizados) y el IAE [19]. Los valores unitarios suben un 32,6 % [35]. La penalización por prudencia financiera pasa del 1 % al 1,5 % desde el año de gas 2030 [19]. </w:t>
      </w:r>
      <w:r>
        <w:rPr>
          <w:b/>
        </w:rPr>
        <w:t xml:space="preserve">En tramitación</w:t>
      </w:r>
      <w:r>
        <w:t xml:space="preserve">: real decreto de retribución del almacenamiento subterráneo (consulta del 25-6 al 9-7-2026) [24].</w:t>
      </w:r>
    </w:p>
    <w:p>
      <w:pPr>
        <w:pStyle w:val="Heading2"/>
      </w:pPr>
      <w:r>
        <w:t xml:space="preserve">Tendencias y disrupción</w:t>
      </w:r>
    </w:p>
    <w:p>
      <w:pPr>
        <w:spacing w:after="100"/>
      </w:pPr>
      <w:r>
        <w:t xml:space="preserve">La tendencia de fondo es menos gas y más electrificación: la CNMC prevé que la demanda caiga a 283,7 TWh en 2032 (tendencial) o a 259,2 TWh (electrificación) [23]. El regulador responde alargando la vida de los activos en lugar de pagar inversión nueva (REVU, IFVA) [19]. El crecimiento está en el hidrógeno. Enagás es gestor provisional de la red troncal (RDL 8/2023; acuerdo del Consejo de Ministros del 30-7-2024 con separación horizontal, comprobada por la CNMC el 24-7-2025) [25, 26]. H2med (CelZa, ~270 km, ~350 M EUR; BarMar, ~400 km, ~2.135 M EUR; 2,5 mil M EUR en conjunto) y la red troncal española renovaron su condición de PCI en la lista publicada en el DOUE el 9-4-2026 [28, 29]. Hay 75,8 M EUR de fondos CEF para estudios [27]. En junio de 2026 Enagás pidió la autorización de los cuatro primeros tramos (unos 18 meses de tramitación) [24]. Gana con el cambio si el hidrógeno llega a tener demanda y un marco retributivo propio, que aún no existe.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España: 85,5 % de la retribución del transporte de gas y 53,9 % de la regasificación de forma directa, sin contar sus participaciones en BBG (50 %), El Musel (75 %) y Saggas (72,5 %) [22]. La cuota conjunta del 73,5 % (transporte y regasificación) es una estimación propia: (0,855 × 542,2 + 0,539 × 332,1) / 874,3 M EUR. Además, es el único Gestor Técnico del Sistema (25,1 M EUR en 2026)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transportista (8,63 % de la retribución del transporte en 2026) y distribuidor de gas y GLP; ingresos de transporte regulado de 48,1 M EUR en 2025; resultado de explotación de 59,4 M EUR [22,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 (Nedgia y GN Transporte SDG)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secundario ligado a su red de distribución (4,86 % de la retribución del transporte) [22]; no publica cuentas del negocio de transporte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Regasificadora del Noroeste (Reganosa)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GNL de Mugardos: 11,0 % de la retribución de la regasificación de 2026 (332,1 M EUR) [22]. En 2023 vendió a Enagás 130 km de gasoductos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 italiano y referencia europea: EBIT reportado de 1.813 M EUR en 2025 (1.845 M EUR ajustado); ingresos +8,9 % por la retribución regulada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Fluxys Belgium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TSO belga con terminal de GNL de Zeebrugge; EBIT de 133,9 M EUR en 2025; la tarifa 2024-2027 cubre los costes razonables y una remuneración justa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troncal mallada de ~11.000 km con 6 conexiones internacionales y 19 estaciones de compresión; el GTS gestiona todo el sistema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no pueden cambiar de red; los contratos de regasificación son largos (2.251 slots hasta 2041) [8]. Pero el acceso es regulado y no da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legal como GTS, transportista de la red troncal primaria (2009) y gestor provisional de la red de hidrógeno (RDL 8/2023) [10,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O&amp;M se retribuye a valores unitarios de referencia, así que la eficiencia propia es margen; no hay prueba de costes inferiores a otros transportistas.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883 M EUR de retribución que no admite una segunda red: el 85,5 % del transporte es de Enagás [6, 7].</w:t>
            </w:r>
          </w:p>
        </w:tc>
      </w:tr>
    </w:tbl>
    <w:p>
      <w:pPr>
        <w:spacing w:after="160" w:before="0"/>
      </w:pPr>
    </w:p>
    <w:p>
      <w:pPr>
        <w:pStyle w:val="Heading2"/>
      </w:pPr>
      <w:r>
        <w:t xml:space="preserve">Amenazas</w:t>
      </w:r>
    </w:p>
    <w:p>
      <w:pPr>
        <w:spacing w:after="100"/>
      </w:pPr>
      <w:r>
        <w:t xml:space="preserve">La amenaza no es un competidor, sino la erosión del valor del monopolio. Primero, la amortización: sin la nueva metodología, la retribución del sector caería un 19,6 % entre 2026 y 2032 [23]. Segundo, la demanda: entre −8,9 % y −16,8 % hasta 2032, con peajes al alza que presionan al regulador [23]. Tercero, el riesgo regulatorio de cada periodo de seis años, visible en el voto particular contra el IFVA y la subida de los valores unitarios [35]. Cuarto, el hidrógeno puede no tener demanda ni marco retributivo a tiempo. Probabilidad media en el plazo de 2033, cuando empieza el siguiente periodo.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-0,4 %</w:t>
      </w:r>
      <w:r>
        <w:t xml:space="preserve">, EBITDA </w:t>
      </w:r>
      <w:r>
        <w:rPr>
          <w:b/>
          <w:bCs/>
        </w:rPr>
        <w:t xml:space="preserve">-6,6 %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(cifra de negocios más otros ingresos de explotación) bajaron de 991 M en 2021 a 913 M en 2024 y repuntaron a 977 M en 2025 solo por las obras de sellado de Castor (125,9 M de ingreso y 119,9 M de gasto, neutras en EBITDA) [7]. Sin Castor, el ingreso regulado cae cada año al amortizarse la base de activos: unos -57 M en 2025 y -30 M en el 1S26 [5, 7]. El EBIT pasó de 583 M (2021) a 368 M (2025), un 37 % menos, por esa erosión regulada, por la salida de participadas vendidas (GNL Quintero en 2022; Tallgrass y Soto la Marina en 2024) y por el gasto de Castor. El margen EBIT sobre ingresos bajó de 58,9 % a 37,7 %, pero 2025 está deprimido por los ~120 M de gasto de Castor que se cobran como ingreso; sin ellos, el margen sería cercano al 43 % (estimación propia: 368,1 / (976,8 − 125,9)). El beneficio de 2024 (-299,3 M) y el de 2022 (375,8 M) no son comparables por las rotaciones de activos (ver ajustes). El beneficio recurrente que publica Enagás fue 300,3 M en 2023, 310,1 M en 2024 y 266,3 M en 2025 [7, 14].</w:t>
      </w:r>
    </w:p>
    <w:p>
      <w:pPr>
        <w:pStyle w:val="Heading2"/>
      </w:pPr>
      <w:r>
        <w:t xml:space="preserve">Ajustes y partidas no recurrentes</w:t>
      </w:r>
    </w:p>
    <w:p>
      <w:pPr>
        <w:spacing w:after="100"/>
      </w:pPr>
      <w:r>
        <w:rPr>
          <w:b/>
        </w:rPr>
        <w:t xml:space="preserve">Ajuste de este informe: participadas fuera del EBITDA y del EBIT.</w:t>
      </w:r>
      <w:r>
        <w:t xml:space="preserve"> Restamos el resultado de participadas de cada año (163,3 / 146,8 / 147,3 / 146,5 / 131,6 M en 2021-2025 y 138,3 M en el LTM) del EBITDA y del EBIT y lo sumamos al resultado financiero; el BAI y el beneficio no cambian. Las participadas se valoran aparte, en el puente. El EBITDA sin participadas de 2025 es de 520,3 M. </w:t>
      </w:r>
      <w:r>
        <w:rPr>
          <w:b/>
        </w:rPr>
        <w:t xml:space="preserve">EBITDA.</w:t>
      </w:r>
      <w:r>
        <w:t xml:space="preserve"> Enagás presenta la cuenta por naturaleza e incluye el resultado de participadas por puesta en equivalencia dentro del resultado de explotación [1]. Su EBITDA publicado suma además ese resultado </w:t>
      </w:r>
      <w:r>
        <w:rPr>
          <w:b/>
        </w:rPr>
        <w:t xml:space="preserve">antes</w:t>
      </w:r>
      <w:r>
        <w:t xml:space="preserve"> de la amortización del PPA: 895,3 / 797,4 / 780,3 / 760,7 / 675,7 M en 2021-2025 [1]. Aquí `ebitda` = EBIT contable + amortizaciones (846,2 / 742,4 / 730,2 / 715,8 / 651,9 M), que también incluye participadas pero neto de PPA; la diferencia en 2025 son los 23,7 M de PPA [7]. Resultado de participadas en la cuenta: 163,3 M (2021), 146,8 M (2022), 147,3 M (2023), 146,5 M (2024), 131,6 M (2025) y 74,7 M (1S26) [1, 2, 3, 4]. Sin participadas, el EBITDA de 2025 sería 520,4 M (estimación propia: 651,9 − 131,6). </w:t>
      </w:r>
      <w:r>
        <w:rPr>
          <w:b/>
        </w:rPr>
        <w:t xml:space="preserve">Ingresos</w:t>
      </w:r>
      <w:r>
        <w:t xml:space="preserve"> = cifra de negocios + otros ingresos de explotación (976,8 M en 2025), la «facturación total» de Enagás, para que cuadren los segmentos. </w:t>
      </w:r>
      <w:r>
        <w:rPr>
          <w:b/>
        </w:rPr>
        <w:t xml:space="preserve">No recurrentes:</w:t>
      </w:r>
      <w:r>
        <w:t xml:space="preserve"> 2022, plusvalía GNL Quintero +135 M, deterioro de Tallgrass -134 M y revalorización de Enagás Renovable +50 M [3]; 2023, venta de Morelos +42 M [2]; 2024, pérdida por la venta de Tallgrass -363,7 M (-356,2 M financiero, -7,5 M fiscal) y minusvalía del laudo de GSP -245,7 M (-326,3 M financiero, +80,6 M fiscal) [7]; 2025, +72,8 M (GSP +41,2 M, Axent +16,9 M, Sercomgas +9,6 M, Soto la Marina +5,1 M) [7]; 1S26, venta del 40 % de Enagás Renovable +8,3 M (~9,5 M según la empresa) [5]. LTM jun-26 = 2025 − 1S25 + 1S26 de las cuentas [1, 4]; `fcf` del LTM se deja vacío porque los dividendos de participadas van en inversión y la cifra semestral de arrendamientos no se publica.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obtenidos por diferencia de los acumulados que publica Enagás (1T, 1S, 9M y año) [5, 7, 10, 11, 12, 13, 14]; el EBITDA es el de la empresa (incluye participadas antes de PPA), no EBIT + amortizaciones. Los ingresos suben por las obras de Castor, que se compensan en gasto.</w:t>
      </w:r>
    </w:p>
    <w:p>
      <w:pPr>
        <w:spacing w:after="100"/>
      </w:pPr>
      <w:r>
        <w:rPr>
          <w:b/>
        </w:rPr>
        <w:t xml:space="preserve">Resultados 2025 (17-feb-26).</w:t>
      </w:r>
      <w:r>
        <w:t xml:space="preserve"> EBITDA de 675,7 M (objetivo 670 M) y beneficio recurrente de 266,3 M (objetivo 265 M); deuda neta de 2.475 M y FFO/deuda neta del 25,7 % [7]. Guía 2026: beneficio recurrente ~235 M, EBITDA ~620 M, deuda neta ~2.400 M, FFO/DN &gt;15 %, DPA 1,00 € e inversión ~225 M [8]. La metodología de la RoR quedó aprobada en torno al 6,5 % [7].</w:t>
      </w:r>
    </w:p>
    <w:p>
      <w:pPr>
        <w:spacing w:after="100"/>
      </w:pPr>
      <w:r>
        <w:rPr>
          <w:b/>
        </w:rPr>
        <w:t xml:space="preserve">Resultados 1S26 (22-jul-26).</w:t>
      </w:r>
      <w:r>
        <w:t xml:space="preserve"> Beneficio recurrente de 118,6 M y EBITDA de 314,0 M (-4,7 %), «en línea» con la guía por el calendario de gastos y porque la retribución Copex se reconoce sobre todo en el segundo semestre [5]. El discurso pasa de la desinversión a la compra: Teréga (31,5 % por 573 M, EV/RAB 1,07-1,08x, rentabilidad sobre fondos propios ~8 %, ~15 M de beneficio medio anual 2027-2032) y un 20 % adicional de Saggas por 31 M (EV/RAB 1,07x, hasta el 92,5 %) [6]. Enagás defiende el marco 2027-2032 (RoR 6,46 %, periodo de seis años sin revisiones) pero pide reconocer todo el CO2 y mejorar el margen de opex y el coste de la deuda en la RoR [6]. S&amp;P y Fitch mantienen BBB+ estable [6]. No se pudo leer la sesión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la participación en GNL Quintero (Chile), cerrada el 20-jul-22 por ~638,8 M atribuibles: sale de la puesta en equivalencia; plusvalía neta ~135 M [3].; 2024: Venta de Tallgrass Energy (EE. UU.) y salida de Soto la Marina (México) de la puesta en equivalencia en el 1S24: cobros por desinversiones de 910,0 M; el activo cae de 8.507 M a 7.496 M [1, 7].; 2025: Axent Infraestructuras de Telecomunicaciones: compra del 51 % restante por 37,8 M, consolidada por integración global desde el 28-oct-25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Enagás define la deuda neta con los arrendamientos NIIF 16 (378,5 M en 2025) y resta toda la caja: 4.276,8 M (2021), 3.468,9 M (2022), 3.347,4 M (2023), 2.404,1 M (2024), 2.475,1 M (2025) y 2.305 M a 30-jun-26 [1, 5]. La bajada viene de las ventas (GNL Quintero, Morelos, Tallgrass) y del recorte del dividendo a 1,00 €. Deuda neta / EBITDA ajustado por dividendos de 3,6x en 2025 y 3,4x en jun-26 [1, 6]. Más del 80 % a tipo fijo; 98 % en euros y 2 % en dólares; 78 % mercado de capitales, 12 % arrendamientos, 8 % institucional y 2 % banca comercial [5]. Coste bruto de la deuda: 2,6 % (2024), 2,1 % (2025) y 2,0 % (jun-26); vida media 4,8, 4,7 y 4,4 años [1, 5]. Vencimientos: calendario a 30-jun-26 sin NIIF 16 (~25 M al año hasta 2031) de la presentación [6]; «2032+» es el bono de 1.100 M con vencimiento a partir de 2030 de las cuentas [1], porque la gráfica no lo muestra hasta 2031. Guía de deuda neta a dic-26: ~2.400 M, sin Teréga ni Saggas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1.816</w:t>
      </w:r>
      <w:r>
        <w:t xml:space="preserve">, conversión </w:t>
      </w:r>
      <w:r>
        <w:rPr>
          <w:b/>
          <w:bCs/>
        </w:rPr>
        <w:t xml:space="preserve">156 %</w:t>
      </w:r>
      <w:r>
        <w:t xml:space="preserve"> del beneficio neto; adquisiciones 313, dividendos 1.983, recompras 34.</w:t>
      </w:r>
    </w:p>
    <w:p>
      <w:pPr>
        <w:spacing w:after="100"/>
      </w:pPr>
      <w:r>
        <w:rPr>
          <w:b/>
        </w:rPr>
        <w:t xml:space="preserve">Ojo al clasificar:</w:t>
      </w:r>
      <w:r>
        <w:t xml:space="preserve"> Enagás lleva los intereses pagados al flujo de explotación, pero los cobros de participadas van en inversión, en «otros cobros de actividades de inversión» (nota 1.6; dividendos aprobados por participadas en 2025: 145,6 M): 160,3 M (2021), 121,3 M (2022), 192,2 M (2023), 160,1 M (2024), 163,4 M (2025) y 96,4 M (1S26) [1, 2, 3, 4]. El `flujo_operativo` se deja tal como lo publican las cuentas, así que el FCF que calcula el motor no incluye esa caja, mientras que el EBITDA sí incluye el resultado de participadas. Para comparar, el FFO de Enagás (con esos dividendos) fue de 688,8 M en 2024 y 635,8 M en 2025 [7]. El flujo de explotación de 2025 (212,5 M frente a 455,0 M en 2024) cae por un circulante de -259,9 M: menos primas facturadas y ajustes de peajes por el superávit de años anteriores [7]. En el 1S26 el circulante restó otros 121,3 M [5]. El capex es bajo (69,9-157,0 M al año, 7-17 % de los ingresos) porque la red está construida; la guía de 2026 es ~225 M, de ellos ~100 M en gas regulado [6]. Las «recompras» son compras de autocartera para planes de incentivos (18,3 M en 2025), no un programa de recompra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ejercicios seguidos y los informes se han emitido históricamente sin salvedades [15]. Los honorarios por servicios distintos de la auditoría equivalen al 43 % de los de auditoría [1]. Tres asuntos complican la lectura. Primero, la definición de EBITDA: el publicado incluye participadas antes del PPA y supera en 23,7 M (2025) y 44,9 M (2024) al EBIT + amortizaciones contable [1, 7]. Segundo, las rotaciones de activos: más de 600 M de pérdida contable en 2024 (Tallgrass y GSP) y plusvalías en 2022, 2023, 2025 y 2026, que Enagás separa del beneficio recurrente [3, 7]. Tercero, Castor: 125,9 M de ingreso y 119,9 M de gasto en 2025 que inflan ingresos y opex sin efecto en EBITDA [7]. La cuenta a cobrar de GSP (206,6 M) se valora a valor razonable con técnicas de valor actual y referencias de mercado: es una estimación sensible [4]. La remuneración en acciones es pequeña (0,6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explotación hundido por el circulante regulado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explotación de 212,5 M en 2025 frente a 455,0 M en 2024 por ajustes de peajes y menos primas (-259,9 M de circulante); otros -121,3 M en el 1S26 [5, 7]. Es devolución de superávit al sistema, no deterioro de clientes, pero reduce la caja de dos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participadas fuera del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al año en inversión; el FCF contable infravalora la caja si el EBITDA incluye participadas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a valor razonable de nivel 3: laudo de GSP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206,6 M a 30-jun-26 tras una minusvalía de 326,3 M en 2024 y una reversión de 41,2 M (neto) en 2025; Perú pidió la anulación del laudo el 30-may-25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Castor que se compensan en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125,9 M en 2025 y 72,5 M en el 1S26; distorsionan márgenes y crecimiento de ingresos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 contingente sobre la deuda de TAP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588,8 M garantizados a 30-jun-26, con un máximo de 1.091,0 M; solo se activa en casos extraordinarios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5,6 %.</w:t>
      </w:r>
    </w:p>
    <w:p>
      <w:pPr>
        <w:spacing w:after="100"/>
      </w:pPr>
      <w:r>
        <w:t xml:space="preserve">Enagás </w:t>
      </w:r>
      <w:r>
        <w:rPr>
          <w:b/>
        </w:rPr>
        <w:t xml:space="preserve">no crea valor sobre su capital invertido al coste actual</w:t>
      </w:r>
      <w:r>
        <w:t xml:space="preserve">: el ROIC (con el EBIT sin participadas) ha oscilado entre el 3,4 % y el 4,6 % en 2021-2025 y fue del 4,1 % en 2025, frente a un WACC del 5,63 %. No es un problema de gestión, sino de diseño regulatorio: la CNMC fijó para 2021-2026 una retribución financiera del 5,44 % antes de impuestos sobre el valor neto de los activos y, además, una parte de la base está casi amortizada y solo cobra extensión de vida útil y operación [19, 23]. El ROE del 14,5 % de 2025 está inflado por 72,8 M de plusvalías y por el apalancamiento (deuda neta / EBITDA de 4,6x) [7]. Para 2027-2032 la TRF sube al 6,46 % (4,85 % después de impuestos) [74]: el ROIC debería acercarse al 5 %, todavía por debajo de nuestro WACC. El ROIC incremental no es útil aquí porque la inversión de 2021-2025 (≈ 107 M al año) fue menor que la amortización y el capital invertido cayó con las ventas de Tallgrass y GNL Quintero [1, 3]. Snam, con una RAB creciente, gana un margen EBIT del 46,7 % frente al 24,2 % de Enagás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2.626 M a 30-jun-26: caja 718 M, crédito sindicado sostenible de 1.550 M con vencimiento en enero de 2030 y otras líneas de 358 M con vida media de ~2,5 años [6]. A dic-25, líneas por 1.966,6 M, de las que 1.788,1 M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Fitch BBB+ (estable), confirmados a la presentación del 1S26 (22-jul-26)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Para el puente:</w:t>
      </w:r>
      <w:r>
        <w:t xml:space="preserve"> inversiones por puesta en equivalencia de 1.102,6 M a 30-jun-26 (1.107,0 M en dic-25) [4]; la compra del 31,5 % de Teréga por 573 M se cerró en julio de 2026 (prensa, 30-jul-26), después de ese balance [6, 16]. La cuenta a cobrar por el laudo de GSP (Perú) está en activos financieros a valor razonable por 206,6 M (235,2 M USD) a 30-jun-26 [4]. Enagás espera cobrar en el 2S26 129 M de cuotas de operación y mantenimiento de Castor tras la sentencia del Supremo del 4-dic-25 [6]. </w:t>
      </w:r>
      <w:r>
        <w:rPr>
          <w:b/>
        </w:rPr>
        <w:t xml:space="preserve">Pasivos que no parecen deuda:</w:t>
      </w:r>
      <w:r>
        <w:t xml:space="preserve"> opción de venta de Reganosa sobre el 25 % de Musel Energy Hub, 86,6 M; sobrerrecaudación del sistema gasista, 57,6 M a largo plazo y 161,5 M a corto; préstamos de la Secretaría General de Energía y otros, 0,8 M (dentro de la deuda neta) [1]. Garantía a los acreedores de TAP: 588,8 M a 30-jun-26 (máximo contractual 1.091,0 M) [4]. Provisiones no corrientes de 315,4 M a dic-25, sobre todo desmantelamiento [1]. El TgP de Perú tiene restringida la repatriación de dividendos, en arbitraje ante el CIADI [4].</w:t>
      </w:r>
    </w:p>
    <w:p>
      <w:pPr>
        <w:pStyle w:val="Heading1"/>
      </w:pPr>
      <w:r>
        <w:t xml:space="preserve">12. Asignación de capital</w:t>
      </w:r>
    </w:p>
    <w:p>
      <w:pPr>
        <w:pStyle w:val="Confianza"/>
        <w:spacing w:after="100"/>
      </w:pPr>
      <w:r>
        <w:t xml:space="preserve">Confianza: Alta</w:t>
      </w:r>
    </w:p>
    <w:p>
      <w:pPr>
        <w:spacing w:after="100"/>
      </w:pPr>
      <w:r>
        <w:t xml:space="preserve">Dividendo de 1,00 € por acción en 2024, 2025 y 2026, tras recortarlo desde 1,74 € en 2023, fijado en la actualización estratégica 2025-2030 de febrero de 2025 [2, 9]. La empresa lo describe como «sostenible» y compatible con el plan de inversión en hidrógeno y con un rating BBB+: ~40 % del FFO medio de 2024-2026, con un pay-out sobre FFO de ~40 % como política más allá de 2026 [9]. La junta del 26-mar-26 aprobó el dividendo de 2025 (1,00 €: 0,40 € a cuenta y 0,60 € complementario, pagado el 2-jul-26) [1, 5]. La guía de 2026 repite 1,00 € y FFO/deuda neta &gt;15 % [6]. No hay programa de recompra: las compras de autocartera (18,3 M en 2025) cubren planes de incentivos [1]. Prioridades declaradas: red troncal de hidrógeno y H2med, inversión regulada en gas y compras de activos regulados europeos con EV/RAB ~1,07x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4 % adicional comprado a Axpo,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sostiene el resultado de participadas; la ampliación de capacidad elevó su contribución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Hanseatic Energy Hub (Stade, Alemania): del 10 % al 15 %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 en desarrollo; importe no localizado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Axent Infraestructuras de Telecomunicaciones: 51 %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la participación previa: +16,9 M; aporta +6,3 M de ingresos en el 1S26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(Francia): 31,5 % comprado a 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(no detallada)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EV/RAB 2025 de 1,07-1,08x; la empresa espera ~33 M al año de resultado de participadas, ~40 M de caja y ~15 M de beneficio en 2027-2032; cerrada en julio de 2026 [6,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Saggas (Sagunto): 20 % adicional comprado a Osaka Gas, hasta el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1,07x; pendiente de aprobaciones, cierre previsto en 2026; pasará de puesta en equivalencia a integración global, con ~24 M de EBITDA y ~4 M de beneficio medio al año en 2027-2032 según la empresa [5, 6].</w:t>
            </w:r>
          </w:p>
        </w:tc>
      </w:tr>
    </w:tbl>
    <w:p>
      <w:pPr>
        <w:spacing w:after="160" w:before="0"/>
      </w:pPr>
    </w:p>
    <w:p>
      <w:pPr>
        <w:spacing w:after="100"/>
      </w:pPr>
      <w:r>
        <w:t xml:space="preserve">Uso de la caja 2021-2025 según el estado de flujos: 2.542 M de flujo de explotación, 534 M de capex, 313 M de compras de participadas y 1.983 M de dividendos pagados, frente a 1.878 M cobrados por desinversiones [1, 2, 3] (sumas propias de las cifras de la tabla de flujos). Las ventas financiaron el desapalancamiento: la deuda neta bajó de 4.276,8 M a 2.475,1 M [1]. Desinversiones y su resultado contable: GNL Quintero en 2022 (~638,8 M, +135 M) [3]; Morelos en 2023 (85 M USD, +42 M) [2]; Tallgrass en 2024 (-363,7 M) [7]; Soto la Marina y Sercomgas en 2025 (+5,1 M y +9,6 M) [7]; 40 % de Enagás Renovable en 2026 (48 M, +8,3 M) [5]. Con Teréga (573 M) y Saggas (31 M) en 2026, Enagás vuelve a comprar activos regulados europeos a ~1,07x RAB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Ciencias Químicas; 26 años en Repsol (miembro del Comité Ejecutivo desde 2016) y antes director general de Política Ambiental y secretario general para la Prevención de la Contaminación y del Cambio Climático en el Ministerio de Medio Ambiente [15]. Nombrado por cooptación en febrero de 2022 a propuesta del presidente, en sustitución de Marcelino Oreja [47]. Con él Enagás vendió Tallgrass y redujo la deuda neta de 3.347 M (2023) a 2.404 M (2024) [14], pero recortó el dividendo de 1,74 a 1,00 EUR por acción [46]. Reelegido en la junta de 2026 con el 96,663 % a favor [38]. Tiene además un 0,07 % en instrumentos (acciones del ILP)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consejero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consejero desde 2006 y presidente desde 2007 [15]. Fue presidente ejecutivo hasta el 21 de febrero de 2022, cuando cedió las funciones ejecutivas al consejero delegado; por eso figura como «otro externo» y no como independiente [15, 36]. Reelegido en la junta del 26 de marzo de 2026 por cuatro años con el 93,404 % a favor y el 4,934 % en contra [38]. Cobró 730 miles de euros en 2025 como presidente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Romero Urrestarazu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Enagás desde 2005 (control de gestión, desarrollo de negocio y negocio internacional Europa-Latam); sustituyó en junio de 2022 a Borja García-Alarcón, que dejó la compañía, en la reorganización de la cúpula que hizo el nuevo consejero delegado [48]. En su etapa el coste de la deuda bruta bajó del 2,6 % (2024) al 2,1 % (2025) y la deuda neta cerró 2025 en 2.475 M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Junco Madero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Gestión Técnica del Sistema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función de gestor técnico del sistema gasista, la actividad regulada por la que Enagás está sometida a los límites de participación de la Ley de Hidrocarburos; forma parte de la alta dirección según el IAGC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Natalia Latorre Arranz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Transición Energética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la reorganización de junio de 2022 [48]; responsable del negocio de hidrógeno, que pesa un 25 % en el variable anual y en el ILP del consejero delegado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 Nieto Prieto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Asumió el cargo el 22 de septiembre de 2025 en sustitución de Claudio Rodríguez Suárez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después de impuestos de 440 M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444,0 M (+5,1 % sobre 2019); deuda neta 4.288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380 M; dividendo 1,70 EUR (+1 %)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403,8 M; dividendo 1,70 EUR propuesto a la junta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febrero de 2022, beneficio neto de ~430 M con plusvalías (Morelos y entrada de Hy24 en Enagás Renovable) y ~360 M sin ellas; dividendo 1,72 EUR [45]. Objetivo después fijado en 380-390 M, con la plusvalía de Morelos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375,8 M: la venta de Morelos se retrasó a 2023; dividendo 1,72 EUR; deuda neta de 4.277 a 3.469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310-320 M; EBITDA 770 M; deuda neta ~3.700 M; dividendo 1,74 EUR [44,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342,5 M (incluye +42,2 M de la plusvalía de Morelos); EBITDA 780,3 M; deuda neta 3.347 M; dividendo 1,74 EUR [14,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(plan Horizonte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1,72 EUR en 2022 y 1,74 EUR por acción como suelo en 2023-2026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 en 2022 y 2023; el 19 de febrero de 2024 el consejo rebajó el dividendo a 1,00 EUR para 2024-2026 para financiar la red de hidrógeno [46]; el dividendo de 2024 fue de 1,00 EUR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260-270 M (después 270-280 M); EBITDA 750-760 M; deuda neta ~3.400 M; dividendo 1,00 EUR [14,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rotación de activos 310,1 M, pero -299,3 M contable por la pérdida de 363,7 M en la venta de Tallgrass y el laudo de GSP; deuda neta 2.404 M; dividendo 1,00 EUR [14,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~265 M; deuda neta ~2.400 M; EBITDA ~670 M; dividendo 1,00 EUR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recurrente 266,3 M (339,1 M contable con plusvalías y el ajuste de GSP); EBITDA 675,7 M; deuda neta 2.475 M; dividendo 1,00 EUR [7,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Con el consejero delegado actual, la dirección ha cumplido o superado los objetivos anuales de beneficio de 2022 a 2025 en términos recurrentes [7, 14, 43, 44], pero esos objetivos se han rebajado año tras año (de ~430 M en 2022 a ~235 M para 2026 [8, 45]). La promesa central del plan de 2022, un dividendo mínimo de 1,74 EUR hasta 2026, se rompió dos años después: 1,00 EUR desde 2024 [45, 46]. En 2024 hubo además una pérdida contable de 299,3 M por la venta de Tallgrass [14]. La cúpula es estable: presidente desde 2007 y consejero delegado desde 2022, ambos reelegidos en marzo de 2026 por cuatro años [38]. El director financiero es de la casa y el cambio de alta dirección más reciente fue el de Infraestructuras, en septiembre de 2025 [15, 48].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Palacio Vallelersundi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coordinadora independiente hasta marzo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 (presidenta a 31-12-2025)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Sociedad Estatal de Participaciones Industriales (SEPI), representada por Bartolomé Lora Toro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Ferrer 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Arcos Sánchez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desde 16-06-2025)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Úrbez Sanz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Massot Puey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Montilla Aguilera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Belén García Fernández-Muro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Gabriel González Ramos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Blanco López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Cristóbal José Gallego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Costa Campi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Blake Sandalow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Vicente Pedret Clemente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la junta del 26-03-2026)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Llardén Carratalá</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(4,36 % en acciones y 3,06 %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acciones del 3,86 % al 4,36 % y en instrumentos del 0,94 % al 3,06 % entre el 31-12-2024 y el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 Estatal de Participaciones Industriales (SEPI)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(sector público empresarial);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13.099.503 acciones [15,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(Amancio Ortega Gaona, vía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IAGC no informa de variación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(0,69 % en acciones y 2,39 %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como participación significativa a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Millennium Group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2,15 % a 31-12-2024 y dejó de ser significativo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(1.980.298)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866.271 acciones: compró 1.500.000 en febrero de 2025 para el plan de retribución flexible de empleados y entregó 385.973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2,068 M en 2025: 1,0 M fijo, 0,538 M de variable anual, 0,433 M del primer 50 % del ILP 2022-2024 y 0,097 M en especie, más 0,205 M de previsión social. El variable anual (máximo 60 % del fijo) pagó el 89,66 % del máximo; en 2026 pondera beneficio neto (20 %), negocios (25 %), hidrógeno (25 %), transformación (15 %) y ESG (15 %) [36]. El ILP 2025-2027 (máximo 125 % de un objetivo del 63 % del fijo, en acciones) mide TSR absoluto y relativo (25 %), FFO (20 %), hidrógeno (25 %), ESG (15 %) y transformación (15 %) [36, 37]. Hay malus y clawback de dos años e indemnización de dos anualidades [36]. La política obtuvo el 77,458 % a favor porque SEPI se abstiene en remuneración [40].</w:t>
      </w:r>
    </w:p>
    <w:p>
      <w:pPr>
        <w:pStyle w:val="Heading2"/>
      </w:pPr>
      <w:r>
        <w:t xml:space="preserve">Operaciones vinculadas, estructura de control y defensas</w:t>
      </w:r>
    </w:p>
    <w:p>
      <w:pPr>
        <w:spacing w:after="100"/>
      </w:pPr>
      <w:r>
        <w:t xml:space="preserve">Enagás no tiene accionista de control: según el IAGC nadie la controla, no hay pactos ni acciones concertadas y el capital flotante es del 90 % [15]. La blinda la ley. La disposición adicional 31.ª de la Ley 34/1998 limita a cualquier accionista al 5 % del capital y al 3 % del voto (1 % si opera en el sector gasista) y topa en el 40 % la suma de los sujetos del sector [15]. Los límites no se aplican al sector público: SEPI vota todo su 5 % [15, 40]. SEPI tiene dos dominicales de quince, pero no consta que proponga al presidente: Llardén es «otro externo» y el consejero delegado se nombró a propuesta suya [15, 47]. No hay clases de acciones ni medidas anti-OPA, y las operaciones con accionistas significativos son dividendos y 22 miles de euros de servicios a SEPI [15].</w:t>
      </w:r>
    </w:p>
    <w:p>
      <w:pPr>
        <w:pStyle w:val="Heading2"/>
      </w:pPr>
      <w:r>
        <w:t xml:space="preserve">Señales de alerta</w:t>
      </w:r>
    </w:p>
    <w:p>
      <w:pPr>
        <w:pStyle w:val="ListParagraph"/>
        <w:numPr>
          <w:ilvl w:val="0"/>
          <w:numId w:val="2"/>
        </w:numPr>
        <w:spacing w:after="60"/>
      </w:pPr>
      <w:r>
        <w:t xml:space="preserve">Rotación obligatoria del auditor: Ernst &amp; Young auditó diez ejercicios seguidos (hasta 2025) y la junta de 2025 nombró a Deloitte para 2026-2028 con el 97,742 % a favor [15, 39]. Los servicios distintos de la auditoría que prestó EY en 2025 (421 miles de euros) equivalieron al 43 % de sus honorarios de auditoría [15].</w:t>
      </w:r>
    </w:p>
    <w:p>
      <w:pPr>
        <w:pStyle w:val="ListParagraph"/>
        <w:numPr>
          <w:ilvl w:val="0"/>
          <w:numId w:val="2"/>
        </w:numPr>
        <w:spacing w:after="60"/>
      </w:pPr>
      <w:r>
        <w:t xml:space="preserve">Cuatro consejeros con larga carrera política: tres independientes y Ana Palacio, exministra de Asuntos Exteriores [15]. Los independientes son José Blanco (exministro de Fomento y portavoz del Gobierno, hoy consejero delegado y fundador de la consultora de asuntos públicos Acento Public Affairs), José Montilla (exministro de Industria con competencias en energía y expresidente de la Generalitat) y Manuel Gabriel González Ramos (diputado en 2011-2018 y 2019-2022 y delegado del Gobierno en Castilla-La Mancha) [15]. La prensa describió al consejero delegado como «próximo a Teresa Ribera» cuando lo nombraron [47].</w:t>
      </w:r>
    </w:p>
    <w:p>
      <w:pPr>
        <w:pStyle w:val="ListParagraph"/>
        <w:numPr>
          <w:ilvl w:val="0"/>
          <w:numId w:val="2"/>
        </w:numPr>
        <w:spacing w:after="60"/>
      </w:pPr>
      <w:r>
        <w:t xml:space="preserve">Ana Palacio, consejera desde 2014 y coordinadora independiente a 31-12-2025, fue reelegida en 2026 como otra externa, con un 11,934 % en contra [15, 38]. El comunicado no da el motivo; lo probable es el límite legal de doce años para ser independiente (estimación propia). Ni el comunicado de la junta ni el IAGC 2025 dicen quién la sustituye como coordinadora.</w:t>
      </w:r>
    </w:p>
    <w:p>
      <w:pPr>
        <w:pStyle w:val="ListParagraph"/>
        <w:numPr>
          <w:ilvl w:val="0"/>
          <w:numId w:val="2"/>
        </w:numPr>
        <w:spacing w:after="60"/>
      </w:pPr>
      <w:r>
        <w:t xml:space="preserve">El presidente lleva en el consejo desde 2006 y preside desde 2007; su reelección hasta 2030 recibió un 4,934 % en contra [15, 38]. La reelección de SEPI como dominical en 2024 recibió un 12,581 % en contra [40].</w:t>
      </w:r>
    </w:p>
    <w:p>
      <w:pPr>
        <w:pStyle w:val="ListParagraph"/>
        <w:numPr>
          <w:ilvl w:val="0"/>
          <w:numId w:val="2"/>
        </w:numPr>
        <w:spacing w:after="60"/>
      </w:pPr>
      <w:r>
        <w:t xml:space="preserve">Quiebra de la guía de dividendo: el plan de 2022 fijaba un suelo de 1,74 EUR por acción hasta 2026 y en febrero de 2024 se rebajó a 1,00 EUR [45, 46].</w:t>
      </w:r>
    </w:p>
    <w:p>
      <w:pPr>
        <w:pStyle w:val="ListParagraph"/>
        <w:numPr>
          <w:ilvl w:val="0"/>
          <w:numId w:val="2"/>
        </w:numPr>
        <w:spacing w:after="60"/>
      </w:pPr>
      <w:r>
        <w:t xml:space="preserve">Errores en el comunicado oficial de la junta de 2026: fecha la junta en «26 March 2025» y cita entre las reelegidas a María Teresa Arcos, pero el punto votado (5.4) es la reelección de María Teresa Costa Campi [38].</w:t>
      </w:r>
    </w:p>
    <w:p>
      <w:pPr>
        <w:pStyle w:val="ListParagraph"/>
        <w:numPr>
          <w:ilvl w:val="0"/>
          <w:numId w:val="2"/>
        </w:numPr>
        <w:spacing w:after="60"/>
      </w:pPr>
      <w:r>
        <w:t xml:space="preserve">La CNMC archivó en noviembre de 2023, sin sanción, la denuncia de Reganosa por abuso de posición de dominio de Enagás (expediente S/0001/20), después de que ambas firmaran un acuerdo marco de inversión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reafirmados con los resultados del 1S26 (22-jul-2026): EBITDA de unos 620 M€ y beneficio después de impuestos recurrente de unos 235 M€ [5]. En el 1S26 el EBITDA fue de 314 M€ y el beneficio neto de 126,9 M€ (118,6 M€ recurrente) [5]. Dividendo de 1 € por acción con cargo a 2025 [5]. La retribución regulada 2027-2032 sube la TRF de transporte y regasificación del 5,44 % al 6,46 % (circulares aprobadas por la CNMC el 18-sep-2026) [17, 22]. La agenda del inversor aún no fija la fecha de los resultados de 9M26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 19,80</w:t>
            </w:r>
          </w:p>
        </w:tc>
      </w:tr>
    </w:tbl>
    <w:p>
      <w:pPr>
        <w:spacing w:after="160" w:before="0"/>
      </w:pPr>
    </w:p>
    <w:p>
      <w:pPr>
        <w:pStyle w:val="Heading2"/>
      </w:pPr>
      <w:r>
        <w:t xml:space="preserve">Revisiones de estimaciones</w:t>
      </w:r>
    </w:p>
    <w:p>
      <w:pPr>
        <w:spacing w:after="100"/>
      </w:pPr>
      <w:r>
        <w:t xml:space="preserve">Consenso medio de MarketScreener: «Outperform», 19 analistas, precio objetivo medio de 17,05 €, máximo 19,80 € y mínimo 13,00 € [53]. Investing da la misma muestra (19 analistas: 8 comprar, 6 mantener, 5 vender) y el mismo objetivo medio (17,049 €), con UBS en mantener a 16,80 € (mayo de 2026), Deutsche Bank a 17,00 € (abril) y Citi en vender a 14,10 € (marzo) [55]. Solo MarketScreener publica gratis estimaciones completas a tres años; Investing se usa para contrastar recomendaciones y precio objetivo. No se ha obtenido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Hechos: rentabilidad total con cierres ajustados de Yahoo hasta el 5-oct-2026, última sesión completa disponible (Yahoo no tiene el cierre del 6-oct y la sesión del 7-oct estaba abierta) [51]. Como el ^IBEX de Yahoo es solo de precio, el «índice» es el ETF de acumulación Xtrackers MSCI Spain 1C y el «sector», el iShares STOXX Europe 600 Utilities [51]. Beta de 5 años mensual frente al IBEX 35 (precio): 0,35; frente al MSCI Spain (total): 0,33 [51]. Caída máxima de 5 años: −31,4 % entre el 25-may-2022 y el 13-oct-2022 [51]. En 2024 la acción perdió un 14 % con dividendos (−22,8 % de precio) frente al +14,6 % del índice, el año de la minusvalía de Tallgrass y del recorte del dividendo de 1,74 € a 1 € [51,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(9,7x) está en el mínimo de cinco años (media de 12,6x), pero el PER (14,7x) está en el máximo (media de 11,2x). La divergencia tiene una causa: entre 2021 y 2025 Enagás vendió Tallgrass y GNL Quintero y amortizó deuda, con lo que bajó el EV y el EBITDA a la vez, mientras el beneficio recurrente caía de ≈ 400 M a ≈ 235 M por la reducción de la retribución [1, 7]. Con el bono español a 10 años en el 4,12 %, 90 pb más que hace un año [56], pagar el PER más alto de la serie por un beneficio que no crece es exigente.</w:t>
      </w:r>
    </w:p>
    <w:p>
      <w:pPr>
        <w:pStyle w:val="Heading1"/>
      </w:pPr>
      <w:r>
        <w:t xml:space="preserve">18. Comparables cotizados</w:t>
      </w:r>
    </w:p>
    <w:p>
      <w:pPr>
        <w:pStyle w:val="Confianza"/>
        <w:spacing w:after="100"/>
      </w:pPr>
      <w:r>
        <w:t xml:space="preserve">Confianza: Media</w:t>
      </w:r>
    </w:p>
    <w:p>
      <w:pPr>
        <w:spacing w:after="100"/>
      </w:pPr>
      <w:r>
        <w:t xml:space="preserve">Seis operadores europeos de redes reguladas cotizados (gas: Snam e Italgas; electricidad: Redeia, Terna, Elia y National Grid) y Naturgy como contraste no regulado. No hay un transportista de gas español cotizado distinto de Enagás; Fluxys Belgium y REN se descartan por liquidez y por falta de consenso gratuito. Las cifras de cada uno son de MarketScreener a la misma fecha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Enagás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Italgas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10,0x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13,9x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7,1x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+ 0,01 × crecimiento; R² = 0,02. El crecimiento explica poco los múltiplos de estos comparables (R² &lt; 0,3): la regresión no se usa en la valoración.</w:t>
      </w:r>
    </w:p>
    <w:p>
      <w:pPr>
        <w:spacing w:after="100"/>
      </w:pPr>
      <w:r>
        <w:t xml:space="preserve">Con el EBITDA sin participadas, Enagás cotiza a 9,5x el EBITDA de los próximos 12 meses frente a una mediana de 10,0x, y a un PER de 14,7x frente a 13,9x. Por EV/EBITDA, la mediana daría 17,12 EUR; por PER, 15,31 EUR; los comparables dan, en conjunto, el precio actual (16,22 EUR). </w:t>
      </w:r>
      <w:r>
        <w:rPr>
          <w:b/>
        </w:rPr>
        <w:t xml:space="preserve">El descuento en EV/EBITDA está justificado</w:t>
      </w:r>
      <w:r>
        <w:t xml:space="preserve">: los pares crecen (crecimiento esperado de las ventas: mediana del 8,2 %) porque su RAB crece un 5-8 % al año con la electrificación, mientras la RAB de gas de Enagás baja de ≈ 3.100 M en 2024 a ≈ 2.700 M en 2026 y ≈ 2.100 M en 2030 [9]. Por EV/RAB (fuera del motor, en `notas/rab_comparables.json`), los pares cotizan a 1,17-1,53x y Enagás a 1,79x; pero la RAB de Enagás no recoge los activos totalmente amortizados que siguen cobrando extensión de vida útil y operación, así que la cifra no es comparable [9, 66, 67, 68, 69, 70]. Naturgy (7,3x) marca el suelo de un negocio no regulado. Usamos la mediana de EV/EBITDA y PER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(31,5 %), transporte y almacenamiento de gas en el suroeste de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573 M€ por el 31,5 %; Enagás publica un múltiplo de 1,07x-1,08x EV/RAB (2025), sujeto a la inflación definitiva; cierre previsto en el 3T26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Saggas (20 %), planta de regasificación de Sagunto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Osaka 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31 M€ por el 20 %; 1,07x EV/RAB (2025) con la RAB neta de las circulares 2027-2032; Enagás pasa al 92,5 % y la consolida por integración global; cierre antes de fin de 2026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2i Rete Gas (99,94 %), distribución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Italgas (a F2i y Finavias)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5.306 M€ a 31-dic-2023 (equity 2.060 M€ + deuda neta y otros pasivos 3.246 M€); cierre el 1-abr-2025 [71]. Múltiplos calculados con las cifras de 2023 del propio documento (ingresos sin IFRIC 12 816,1 M€; EBITDA 547,4 M€)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Gas Transmission y Metering (60 %), transporte de gas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Asset Management y BCI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unos 9.600 M£ para el 100 % según National Grid, convertido a 0,8338 £/€ (BCE, 25-mar-2022); 2.200 M£ en caja por el 60 % [65, 72]. Múltiplos no publicados en el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Edison Stoccaggio (100 %), almacenamiento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Edison)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por unos 565 M€ con ajustes y ticking fee [73]. Múltiplos no publicados en la nota leída.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Vier Gas Holding / Open Grid Europe (24,99 %), transporte de gas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Infinity Investments,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Equity value de 920 M€ por el 24,99 % (3.681 M€ al 100 %) más deuda neta y partidas asimilables de 3.387 M€ a 31-dic-2024 = EV de 7.068 M€ (calculado) [75, 76]. EV/EBITDA calculado sobre 2024A con el EBITDA estimado bruto de ajustes regulatorios de 627 M€ (neto de ajustes, 430 M€) e ingresos de 1.136 M€ [76]; Snam publica ~12x sobre el EBITDA 2025E [75, 76]. EV/RAB no publicado en la nota ni en la presentación.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eléctrica en el noroeste de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 Equitix, CNIC y KDM)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del 100 % de 4.200 M£ (equity value 2.000 M£ al 100 % antes de la ampliación de 400 M£, menos negocio no regulado, más deuda neta de 2.200 M£ a marzo de 2024), convertido a 1,19 €/£, el cambio que usa Iberdrola (~5.000 M€ en su nota) [77, 78]. Iberdrola publica EV/EBITDA mar-25E de 10,6x (EBITDA estimado de 400 M£) y EV/RAV mar-25E de 1,44x (RAV de 2.900 M£), sin sinergias [78]. 1.700 M£ por el 85,6 % más ampliación de 400 M£ hasta el 88 % [78]. Ingresos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Western Power Distribution (100 %), distribución eléctrica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Grid (a PPL)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calculado de 14.213 M£ = equity value de 7.800 M£ + deuda neta del grupo WPD de 6.413 M£ a 28-feb-2021, ambos del anuncio [79]; convertido a 0,85575 £/€ (BCE, 18-mar-2021) [80]. EV/RAV calculado de 1,62x sobre la RAV proyectada a 31-mar-2022 de ~8.800 M£ [79]. El anuncio no publica EBITDA ni ingresos (solo beneficio antes de impuestos de 750 M£ en el ejercicio a mar-2020), así que EV/EBITDA queda en null [79]. Locked box con ticking fee de 548.000 £/día desde 1-ene-2021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 LNG (100 %), terminal de regasificación y almacenamiento de GNL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Centrica y Energy Capital Partners, 50/50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publicado de 1.500 M£ [81], convertido a 0,861 £/€ (BCE, 14-ago-2025) [82]. EV/EBITDA calculado: la nota da la parte de Centrica (50 %) en el EBITDA de unos 100 M£ anuales (2026-2028), es decir ~200 M£ al 100 %, prospectivo y no histórico [81]. Activo contratado más que regulado: 100 % de la capacidad contratada hasta 2029, &gt;70 % hasta 2038 [81]. EV/RAB no aplicable ni publicado. TIR sin apalancar ~9 %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(9,1x – 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 – 18,28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con múltiplo publicado se pagaron a 7,5-11,3x el EBITDA (Open Grid Europe 11,3x, Electricity North West 10,6x, 2i Rete Gas 9,7x, Grain LNG 7,5x) [71, 75, 76, 77, 78, 79, 80, 81]. En EV/RAB, el rango va de 1,07x (Teréga y Saggas, compradas por la propia Enagás en 2026) a 1,44-1,62x (redes eléctricas británicas) [6, 77, 79]. Enagás no es un objetivo realista: la disposición adicional 31.ª de la Ley de Hidrocarburos limita a cualquier accionista al 5 % del capital y al 3 % del voto [15], así que no puede haber prima de control. Por eso las transacciones pesan cero en el valor objetivo; sirven para leer lo que paga el mercado privado por activos de gas regulados: alrededor de 1,07x la RAB en Europa continental, muy por debajo del 1,79x al que cotiza Enagás sobre su RAB publicada.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Ingresos desde la retribución regulada</w:t>
      </w:r>
      <w:r>
        <w:t xml:space="preserve">, no con un crecimiento libre (modelo en `notas/regulado.mjs`). 2026e (−6,0 %) sale de la guía: los 125,9 M de obras de sellado de Castor de 2025, neutras en EBITDA, no se repiten [6, 7]. 2027e (+1,9 %): la CNMC calcula que el nuevo marco sube la retribución del transporte y la regasificación del sector de 883 M en 2026 a 961 M en 2027 y la deja en 940 M en 2032 [23]; Enagás tiene ≈ 73,5 % de esa retribución (estimación a partir de las cuotas de la CNMC) [22, 23]. Almacenamiento, gestión técnica y resto regulado, +2 % al año (real decreto de almacenamiento en tramitación) [6]; otros ingresos, +3 %. 2033-2035: periodo regulatorio sin metodología, −1,5 % en 2033 y estabilidad después. El consenso espera 906,7 M en 2027e [52]: nuestros ingresos son un 3,2 % mayores porque incluyen los de obras y servicios que la empresa factura como regulados.</w:t>
      </w:r>
    </w:p>
    <w:p>
      <w:pPr>
        <w:keepNext/>
        <w:spacing w:after="100"/>
      </w:pPr>
      <w:r>
        <w:rPr>
          <w:b/>
          <w:bCs/>
        </w:rPr>
        <w:t xml:space="preserve">Márgenes.</w:t>
      </w:r>
    </w:p>
    <w:p>
      <w:pPr>
        <w:spacing w:after="100"/>
      </w:pPr>
      <w:r>
        <w:t xml:space="preserve">EBITDA sin participadas: 448 M en 2026e (guía de ≈ 620 M menos ≈ 172 M de participadas antes del PPA) [6] y 504 M en 2027e: la subida de la TRF del 5,44 % al 6,46 % y de los valores unitarios de O&amp;M (+32,6 %) compensa el fin de la retribución por continuidad de suministro [19, 35, 74]. El margen baja del 53,9 % de 2027e al 48,7 % de 2035e porque el opex crece al 1,5 % (objetivo del plan de eficiencia) y la retribución del sector cae un 2 % hasta 2032 [8, 23]. Frente al consenso homogeneizado, el EBITDA queda un 1,2 % por encima en 2026e y un 3,9 % y un 2,9 % por debajo en 2027e y 2028e: no consolidamos Saggas (está en el puente).</w:t>
      </w:r>
    </w:p>
    <w:p>
      <w:pPr>
        <w:keepNext/>
        <w:spacing w:after="100"/>
      </w:pPr>
      <w:r>
        <w:rPr>
          <w:b/>
          <w:bCs/>
        </w:rPr>
        <w:t xml:space="preserve">Inversión y circulante.</w:t>
      </w:r>
    </w:p>
    <w:p>
      <w:pPr>
        <w:spacing w:after="100"/>
      </w:pPr>
      <w:r>
        <w:t xml:space="preserve">Capex sin hidrógeno: 175 M en 2026e (guía de ≈ 225 M menos ≈ 50 M de hidrógeno) [6] y 150 M al año en 2027-2032, por encima de la media de 2021-2025 (≈ 107 M) por los negocios adyacentes [1]. El hidrógeno queda fuera del caso base: sin marco retributivo aprobado, su valor actual a una rentabilidad igual al WACC es nulo; entra en el alcista. Amortización de 280 M en 2026e, −2,5 % al año. En 2033-2035 el capex sube hasta igualar la amortización (223 M) para mantener la base de activos en el valor terminal. Circulante comercial de −12 % de las ventas, como en 2025.</w:t>
      </w:r>
    </w:p>
    <w:p>
      <w:pPr>
        <w:keepNext/>
        <w:spacing w:after="100"/>
      </w:pPr>
      <w:r>
        <w:rPr>
          <w:b/>
          <w:bCs/>
        </w:rPr>
        <w:t xml:space="preserve">Coste del capital.</w:t>
      </w:r>
    </w:p>
    <w:p>
      <w:pPr>
        <w:spacing w:after="100"/>
      </w:pPr>
      <w:r>
        <w:t xml:space="preserve">Tasa libre: bono español a 10 años del 4,14 % (4,12 % en una segunda fuente) [56]. Beta: la sin apalancar de la CNMC (0,45) reapalancada a la estructura de Enagás a valor de mercado (deuda / fondos propios de 0,69): 0,68; la beta de mercado (0,35 frente al IBEX, cinco años) es baja porque el IBEX es un índice bancario [51, 74]. Prima de mercado del 5,02 %, la de la CNMC [74]. Coste de la deuda antes de impuestos del 3,8 % (estimación propia: la deuda vieja cuesta el 2,0 %, pero el bono español ya paga el 4,1 % y Enagás es BBB+) [6]. Peso de la deuda del 41 %. WACC del 5,63 %, </w:t>
      </w:r>
      <w:r>
        <w:rPr>
          <w:b/>
        </w:rPr>
        <w:t xml:space="preserve">0,78 pp por encima</w:t>
      </w:r>
      <w:r>
        <w:t xml:space="preserve"> del WACC después de impuestos que reconoce la CNMC (4,85 %), calculado con una tasa libre del 3,27 % [74].</w:t>
      </w:r>
    </w:p>
    <w:p>
      <w:pPr>
        <w:keepNext/>
        <w:spacing w:after="100"/>
      </w:pPr>
      <w:r>
        <w:rPr>
          <w:b/>
          <w:bCs/>
        </w:rPr>
        <w:t xml:space="preserve">Valor terminal.</w:t>
      </w:r>
    </w:p>
    <w:p>
      <w:pPr>
        <w:spacing w:after="100"/>
      </w:pPr>
      <w:r>
        <w:t xml:space="preserve">Gordon con crecimiento del 0,5 %: por debajo de la inflación del 2 % que la CNMC usa para los valores unitarios, porque la RAB de gas se reduce y la demanda prevista baja de 311,6 TWh en 2025 a 283,7 TWh en 2032 [23]. El múltiplo implícito del valor terminal es de 7,6x el EBITDA, por debajo de la mediana de comparables (10,0x), que crecen. Un múltiplo de 10x supondría que la red de gas sigue invirtiendo como una eléctrica.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M (-48 %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 (hoy: 73,5 %)</w:t>
            </w:r>
          </w:p>
        </w:tc>
      </w:tr>
    </w:tbl>
    <w:p>
      <w:pPr>
        <w:spacing w:after="160" w:before="0"/>
      </w:pPr>
    </w:p>
    <w:p>
      <w:pPr>
        <w:spacing w:after="100"/>
      </w:pPr>
      <w:r>
        <w:t xml:space="preserve">La proyección apenas necesita inversión neta de la amortización (reinversión acumulada de -819 M, con un capex bruto medio del 17,9 % de las ventas). En un negocio de activos ligeros, el crecimiento medio del -0,3 % tiene que salir de subir precios y de ganar volumen sin capital nuevo, y la prueba es el poder de precios y la cuota (100,6 % del mercado en 2032e, frente al 73,5 %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obras de sellado de Castor (125,9 M en 2025, ≈ 45 M en 2026, ingreso igual al gasto) restan 8,3 puntos [6, 7]; el resto de la retribución regulada y los otros ingresos suman 2,3 puntos (sin reparto publicado entre RAB y tarifa: va como precio, estimación propia)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el nuevo marco sube la retribución del transporte y la regasificación del sector de 883 a 961 M (TRF del 5,44 % al 6,46 % y O&amp;M +32,6 %, sin la retribución por continuidad de suministro) [22, 23]; con el 73,5 % de Enagás, +6,2 puntos; almacenamiento y GTS indexados al 2 %, +0,4. Otros: fin de las obras de Castor (−4,9) e ingresos no regulados (+0,2)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la retribución del sector baja de 961 a 940 M en 2032 porque la RAB se amortiza sin inversión que la reponga [9, 23]. Precio: almacenamiento y GTS al 2 % (real decreto en tramitación) [6]. Otros: buque Alisios y Axent, +3 %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RAB que se amortiza (−0,44 % al año en la retribución del sector) frente a la indexación del resto regulado [9,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la RAB de gas del plan baja a ≈ 2.100 M en 2030 [9].</w:t>
            </w:r>
          </w:p>
        </w:tc>
      </w:tr>
    </w:tbl>
    <w:p>
      <w:pPr>
        <w:spacing w:after="160" w:before="0"/>
      </w:pPr>
    </w:p>
    <w:p>
      <w:pPr>
        <w:spacing w:after="100"/>
      </w:pPr>
      <w:r>
        <w:t xml:space="preserve">Sí: proyectamos −0,3 % anual. El foso es legal (85,5 % de la retribución del transporte y 53,9 % de la regasificación) y el precio lo fija la CNMC hasta 2032 [22, 23]. El crecimiento de 2027 (+1,9 %) es la nueva TRF, ya publicada; después, la RAB se amortiza [9]. La prueba de reinversión no aplica: hasta 2032 el capex queda por debajo de la amortización (desinversión, no «activos ligeros») y el ROIC (4,1 %) no llega al WACC. Cuota: el motor divide los ingresos del grupo, con almacenamiento, GTS y otros (≈ 255 M), entre la retribución del sector en 2032 (940,1 M) [23] y sale un 100,6 %; en el mismo perímetro, Enagás sigue en el 73,5 %.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54,7 % (base: 48,7 %)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5,6 %)</w:t>
            </w:r>
          </w:p>
        </w:tc>
      </w:tr>
    </w:tbl>
    <w:p>
      <w:pPr>
        <w:spacing w:after="160" w:before="0"/>
      </w:pPr>
    </w:p>
    <w:p>
      <w:pPr>
        <w:spacing w:after="100"/>
      </w:pPr>
      <w:r>
        <w:t xml:space="preserve">El DCF da </w:t>
      </w:r>
      <w:r>
        <w:rPr>
          <w:b/>
        </w:rPr>
        <w:t xml:space="preserve">13,13 EUR por acción</w:t>
      </w:r>
      <w:r>
        <w:t xml:space="preserve">, un 19,1 % por debajo del precio, con un 53 % del valor en el terminal. </w:t>
      </w:r>
      <w:r>
        <w:rPr>
          <w:b/>
        </w:rPr>
        <w:t xml:space="preserve">El DCF inverso dice que el precio de 16,22 EUR descuenta una rentabilidad anual del 4,6 %</w:t>
      </w:r>
      <w:r>
        <w:t xml:space="preserve">, apenas 0,5 pp por encima del bono español a 10 años (4,12 %) [56] y por debajo del WACC regulatorio (4,85 %) [74]; o, con nuestro WACC, un crecimiento de los ingresos del 2,9 % anual en 2027-2035 (0,3 % en nuestro caso) o un margen EBITDA del 54,7 % (48,7 % en 2035e en nuestro caso). Ninguna de las dos cosas tiene precedente: los ingresos cayeron un 0,4 % anual en 2021-2025 y la CNMC prevé que la retribución del sector baje un 2 % entre 2027 y 2032 [23]. Nuestras cifras de explotación coinciden con el consenso (EBITDA 2027e un 3,9 % por debajo): </w:t>
      </w:r>
      <w:r>
        <w:rPr>
          <w:b/>
        </w:rPr>
        <w:t xml:space="preserve">la diferencia con el mercado es la tasa de descuento</w:t>
      </w:r>
      <w:r>
        <w:t xml:space="preserve">. El mercado valora a Enagás como un bono con un 6,2 % de cupón; nosotros pedimos una prima de riesgo de acción a una red cuya base de activos se reduce. Con un WACC del 4,6 %, el DCF daría 16,31 EUR, el precio actual. Con la prima implícita del mercado (4,20 %) [83], el WACC es del 5,30 % (la beta de 0,68 amortigua el cambio) y el DCF, de 14,03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periodo regulatorio de 2033 recorta la retribución como lo hizo el de 2021-2026 (la del sector cayó de 1.298 M en 2019 a 883 M en 2026) [23], la demanda de gas sigue a la baja y el bono español sube otro medio punto. El hidrógeno se retrasa sin coste para Enagás, pero la red de gas pierde valor terminal (crecimiento del 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2027-2032 según las Circulares 4 y 5/2026 (TRF del 6,46 %) [19, 74], EBITDA sin participadas de ≈ 500 M estable hasta 2032, dividendo de 1,00 EUR y deuda neta / EBITDA en torno a 4,5x. El hidrógeno no aporta valor neto.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vuelven a donde estaban hace un año (−0,6 pp de WACC) [56], la red troncal de hidrógeno entra en la base regulada con una retribución por encima del coste de capital (3.125 M de inversión prevista en 2025-2030) [30] y los incentivos nuevos (IFVA) y la eficiencia suben el margen 1,5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13,40 EUR (-17,4 %).</w:t>
      </w:r>
    </w:p>
    <w:p>
      <w:pPr>
        <w:spacing w:after="100"/>
      </w:pPr>
      <w:r>
        <w:t xml:space="preserve">Asimetría desfavorable: el alcista da 18,14 EUR (+11,8 %) y el bajista 9,19 EUR (−43,3 %), una relación de 0,27x. El bajista no es exagerado: entre 2019 y 2026 la retribución del sector cayó un 32 % con la revisión regulatoria anterior [23] y Enagás recortó su dividendo de 1,74 a 1,00 EUR [9]. El valor ponderado de los tres escenarios es de 13,40 EUR. Lo que más mueve el valor es la tasa de descuento: cada 0,5 pp de WACC son ≈ 1,2-1,4 EUR por acción.</w:t>
      </w:r>
    </w:p>
    <w:p>
      <w:pPr>
        <w:pStyle w:val="Heading1"/>
      </w:pPr>
      <w:r>
        <w:t xml:space="preserve">22. Suma de partes</w:t>
      </w:r>
    </w:p>
    <w:p>
      <w:pPr>
        <w:pStyle w:val="Confianza"/>
        <w:spacing w:after="100"/>
      </w:pPr>
      <w:r>
        <w:t xml:space="preserve">Confianza: Media</w:t>
      </w:r>
    </w:p>
    <w:p>
      <w:pPr>
        <w:spacing w:after="100"/>
      </w:pPr>
      <w:r>
        <w:t xml:space="preserve">No se aplica como método separado: el negocio regulado en España se valora por DCF y las participadas (TAP, Teréga, Saggas, BBG y el resto) van en el puente a un valor estimado de 2.204 M (ver valoración), que es en la práctica la suma de partes. El hidrógeno no tiene todavía ingresos ni marco retributivo y se trata como opción en el escenario alcista.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13,97 EUR (-13,9 % sobre 16,22).</w:t>
      </w:r>
    </w:p>
    <w:p>
      <w:pPr>
        <w:spacing w:after="100"/>
      </w:pPr>
      <w:r>
        <w:rPr>
          <w:b/>
        </w:rPr>
        <w:t xml:space="preserve">Pesos</w:t>
      </w:r>
      <w:r>
        <w:t xml:space="preserve">: DCF 50 %, escenarios 25 % y comparables 25 %; transacciones 0 % porque la ley impide una prima de control [15]. El DCF es el método más fiable para una regulada con la retribución fijada hasta 2032; los comparables crecen más y pesan menos. </w:t>
      </w:r>
      <w:r>
        <w:rPr>
          <w:b/>
        </w:rPr>
        <w:t xml:space="preserve">Puente</w:t>
      </w:r>
      <w:r>
        <w:t xml:space="preserve">: deuda neta de 2.305 M a 30-jun-26 [50], más 484 M de otros ajustes (Teréga 573 M y Saggas 31 M pagados después del balance [6, 16], opción de venta de Reganosa 86,6 M [1], menos la cuenta a cobrar del laudo de GSP, 206,6 M [4]). </w:t>
      </w:r>
      <w:r>
        <w:rPr>
          <w:b/>
        </w:rPr>
        <w:t xml:space="preserve">Asociadas a 2.204 M en vez de 1.102,6 M contables</w:t>
      </w:r>
      <w:r>
        <w:t xml:space="preserve"> (estimación propia: los 164 M de dividendos que cobró Enagás de sus participadas en 2025 [7], como renta de 20 años al 8 % = 1.600 M, más Teréga y Saggas al precio pagado, 604 M). Con el valor contable, el valor objetivo bajaría ≈ 1,9 EUR. </w:t>
      </w:r>
      <w:r>
        <w:rPr>
          <w:b/>
        </w:rPr>
        <w:t xml:space="preserve">EV/RAB</w:t>
      </w:r>
      <w:r>
        <w:t xml:space="preserve">: 1,79x sobre la RAB de gas de 2026 del plan (2.700 M) [9], frente a 1,07x de Teréga y Saggas: el precio paga mucho por activos fuera de la RAB (extensión de vida útil, gestión técnica). Dispersión: los comparables dan 16,22 EUR y el DCF 13,13 EUR; la diferencia es la tasa de descuento. Con la prima implícita del mercado (4,20 %) [83], el valor objetivo es de 14,66 EUR (−9,6 %).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(14.3x) ÷ 1.1 (tope: la mediana de 5 años, 11.7x,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spacing w:after="100"/>
      </w:pPr>
      <w:r>
        <w:rPr>
          <w:b/>
          <w:bCs/>
        </w:rPr>
        <w:t xml:space="preserve">Objetivo a 12 meses (ponderado):</w:t>
      </w:r>
      <w:r>
        <w:t xml:space="preserve"> 13,92 EUR · rentabilidad -8,0 % (base -2,5 %) · señal Mantener.</w:t>
      </w:r>
    </w:p>
    <w:p>
      <w:pPr>
        <w:spacing w:after="100"/>
      </w:pPr>
      <w:r>
        <w:t xml:space="preserve">Para comparar, con la regla v2 (historia al cierre, mismo precio): 9,9x / 13,0x / 13,9x, -6,7 % Mantener; con el tope anterior del base (×1,3, 14-oct mediodía): -8,3 % Mantener. Decide la regla vigente (v3 con tope ×1,1; METODO-VIGENTE.md).</w:t>
      </w:r>
    </w:p>
    <w:p>
      <w:pPr>
        <w:keepNext/>
        <w:spacing w:after="100"/>
      </w:pPr>
      <w:r>
        <w:rPr>
          <w:b/>
          <w:bCs/>
        </w:rPr>
        <w:t xml:space="preserve">Frente al consenso (solo contraste).</w:t>
      </w:r>
    </w:p>
    <w:p>
      <w:pPr>
        <w:spacing w:after="100"/>
      </w:pPr>
      <w:r>
        <w:t xml:space="preserve">Nuestro BPA base de 2028e (1,14) se separa un +1,8 % del consenso (1,12) y nuestro precio base (14,82) un -13,1 % del objetivo medio de los analistas (17,05).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13,97 (-13,9 %) frente al objetivo a 12 meses ponderado 14,13 (-6,7 % con dividendo; base -2,4 %).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fecha publicada; 20-26 de octubre en 2020-2025)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(EBITDA ≈ 620 M, beneficio recurrente ≈ 235 M) y primera deuda neta con Teréga (≈ 2.900 M frente a la guía de ≈ 2.400 M sin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129 M de operación y mantenimiento de Castor tras la sentencia del Supremo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 0,50 EUR por acción ya en el balance; confirma que el Estado ejecuta la sentencia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20 % de Saggas (pasa al 92,5 % y a integración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 24 M al año y beneficio de ≈ 4 M en 2027-2032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objetivos de 2027 (primer año del nuevo marco)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espera un EBITDA de 724 M en 2027e (+16 %); la política de dividendo más allá de 2026 (≈ 40 % del FFO)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con los compromisos de inversión en hidrógeno y decisión del comité de anulación del CIADI sobre el laudo de GSP (303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fija el capex de hidrógeno y su efecto en el rating; el laudo (303 M USD), frente a los 206,6 M a valor razonable que ya suma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Anteproyecto de ley que transpone la Directiva 2024/1788 (separación del gestor de la red de hidrógeno) y real decreto de almacenamientos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Enagás puede ser a la vez gestor de gas y de hidrógeno y cómo se retribuye la red troncal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final de inversión de H2Med y de los primeros tramos de la red troncal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opción a inversión: hasta 3.125 M en 2025-2030 con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 acción se valora como un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+0,5 pp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 deuda a tipo fijo, coste del 2,0 % y vida media de 4,4 años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español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regulatoria de 2033 o revisión a mitad del periodo 2027-2032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sin revisiones intermedias; circulares ya publicadas en el BOE [19, 74]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pública de la CNMC sobre la metodología de 2033 o recurso contra las Circulares 4 y 5/2026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inversión sin retribución 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invierte 1.000-3.000 M a una rentabilidad 1 pp por debajo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CEF y condición de PCI; la decisión de inversión no llega hasta finales de 2027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1S27 con inversión de hidrógeno sin marco retributivo aprobado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del rating por debajo de BBB+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(+0,3 pp de coste de la deuda y presión sobre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 / deuda neta del 27,4 % frente al umbral del 15 %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3.000 M tras Teréga y el hidrógeno, o perspectiva negativa de S&amp;P o Fitch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de 1,00 EUR a partir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dividendo de ≈ 0,80 EUR con el payout del 40 % del FFO,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 40 % del FFO y FFO de 472 M en 2025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2027 sin cifra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a la baja y activos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Contenido en el valor terminal: crecimiento del 0 % resta ≈ 0,8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no depende de la demanda en 2027-2032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nacional por debajo de 300 TWh antes de 2030 (311,6 TWh en 2025)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 a los acreedores de TAP (588,8 M) y Perú (laudo GSP, dividendos de TgP)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se pierde el laudo (206,6 M a valor razonable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Laudos del CIADI de 2024 y 2025 a favor de Enagás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comité de anulación del CIADI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Influencia del Gobierno vía SEPI en un gestor técnico del sistema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SEPI tiene el 5 % y dos dominicales de quince; mayoría de independientes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de consejeros con trayectoria política o compras que no superen el WACC</w:t>
            </w:r>
          </w:p>
        </w:tc>
      </w:tr>
    </w:tbl>
    <w:p>
      <w:pPr>
        <w:spacing w:after="160" w:before="0"/>
      </w:pPr>
    </w:p>
    <w:p>
      <w:pPr>
        <w:pStyle w:val="Heading2"/>
      </w:pPr>
      <w:r>
        <w:t xml:space="preserve">Pre-mortem</w:t>
      </w:r>
    </w:p>
    <w:p>
      <w:pPr>
        <w:spacing w:after="100"/>
      </w:pPr>
      <w:r>
        <w:t xml:space="preserve">Octubre de 2029: la acción cotiza a 9,7 EUR, un 40 % menos. La cadena empezó con los tipos: el bono español, que ya había subido 90 pb en 2026 [56], se quedó por encima del 4,5 %, y los inversores que compraban Enagás por su 6 % de dividendo encontraron casi lo mismo en deuda pública sin el riesgo de una red que se encoge. En 2027 Enagás publicó su plan de hidrógeno con más de 3.000 M de inversión y la transposición de la Directiva 2024/1788 dejó la retribución de la red troncal para un real decreto posterior. Para no perder el BBB+, la empresa recortó el dividendo a 0,80 EUR, el 40 % del FFO que ya había anunciado [9]. En 2028 la CNMC abrió la consulta de la metodología de 2033 recordando que la demanda iba camino de 283,7 TWh [23] y que la mitad de los activos estaban amortizados: el mercado anticipó un recorte como el de 2021-2026. El indicador que lo habría anticipado: el diferencial entre la rentabilidad por dividendo y el bono a 10 años, que en octubre de 2026 era de solo 2,1 pp.</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91/100 (top 1 %, Sustainability Yearbook 2026; 2.º en Gas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(7,1/10)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(71,03/100)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(riesgo bajo; primer decil de operadores de redes)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Calificaciones según la presentación de resultados de 2025 y la nota del primer semestre de 2026 [8, 24]. Tres asuntos mueven las cifras. </w:t>
      </w:r>
      <w:r>
        <w:rPr>
          <w:b/>
        </w:rPr>
        <w:t xml:space="preserve">Taxonomía y transición</w:t>
      </w:r>
      <w:r>
        <w:t xml:space="preserve">: el 83 % de los 4.035 M EUR de inversión del plan 2025-2030 es elegible según la taxonomía europea, sobre todo por el hidrógeno [30]. Si el hidrógeno no llega, el plan pierde casi todo su crecimiento. </w:t>
      </w:r>
      <w:r>
        <w:rPr>
          <w:b/>
        </w:rPr>
        <w:t xml:space="preserve">Emisiones propias</w:t>
      </w:r>
      <w:r>
        <w:t xml:space="preserve">: Enagás redujo un 22,5 % sus emisiones de CO₂ en 2024 y se ha comprometido a ser neutra en 2040 (operación propia) y en 2050 (cadena de valor) [30, 31]. La Circular 4/2026 incentiva la inyección de biometano y la mezcla de hidrógeno en la red [19]. </w:t>
      </w:r>
      <w:r>
        <w:rPr>
          <w:b/>
        </w:rPr>
        <w:t xml:space="preserve">Castor</w:t>
      </w:r>
      <w:r>
        <w:t xml:space="preserve">: el sellado de los pozos generó 125,9 M EUR de ingresos y 119,9 M EUR de costes en 2025, compensados en el EBITDA [7].</w:t>
      </w:r>
    </w:p>
    <w:p>
      <w:pPr>
        <w:pStyle w:val="Heading2"/>
      </w:pPr>
      <w:r>
        <w:t xml:space="preserve">Controversias</w:t>
      </w:r>
    </w:p>
    <w:p>
      <w:pPr>
        <w:spacing w:after="100"/>
      </w:pPr>
      <w:r>
        <w:rPr>
          <w:b/>
        </w:rPr>
        <w:t xml:space="preserve">Gasoducto Sur Peruano (GSP)</w:t>
      </w:r>
      <w:r>
        <w:t xml:space="preserve">: el CIADI condenó a Perú a pagar 194 M USD a Enagás (2024) [30]. En Perú sigue abierta la carpeta 12-2017, con dos empleados de Enagás investigados. El 22-1-2026 el juzgado devolvió la acusación fiscal e inadmitió la demanda civil contra Enagás, a falta de recurso [1]. No hemos encontrado en fuentes primarias ni en la prensa ningún directivo de Enagás imputado en el «caso Koldo»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espera pagar en 2027-2030 con el payout del 40 % del FFO, y cuánto del FFO vendrá de los dividendos de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6,2 % de rentabilidad por dividendo sostiene el precio; con un FFO de ≈ 500 M el 40 % da ≈ 0,77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¿Invertirá en la red troncal antes de que haya un marco retributivo aprobado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WACC del 5,6 % y una TRF de gas del 6,46 % antes de impuestos, invertir a la retribución del gas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RAB regulatoria de transporte, regasificación y almacenamiento a 31-dic-2025 con la metodología de la Circular 4/2026, y qué parte de la retribución viene de activos totalmente amortizados (REVU, IFVA)?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cifra no se puede comparar el EV/RAB (1,79x sobre la RAB del plan) con el 1,07x de Teréga y Saggas.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espera de TAP, Teréga y BBG en 2027-2032 y hasta cuándo duran los contratos de TAP?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Valoramos las participadas en 2.204 M, frente a 1.706,6 M contables con Teréga y Saggas; cada 10 % de error son ≈ 0,85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y qué FFO / deuda neta prevé a finales de 2026 con Teréga y Saggas, y qué umbral pidió S&amp;P para mantener el BBB+?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 2.400 M excluye las compras; con ellas la deuda neta se acerca a 3.000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Castor y Perú</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cobrará los 129 M de Castor y los 200 M a largo plazo de su desmantelamiento, y qué valor da al laudo de TgP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1,3 EUR por acción que el puente no recoge o recoge solo en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actividades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¿Exige la Directiva 2024/1788 separar el gestor de la red de hidrógeno de Enagás en una sociedad distinta,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obligar a crear una filial con financiación propia y cambiar el perfil de riesgo del grupo.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83 (65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100,6 % en 2032e frente al 73,5 %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en reguladas el múltiplo depende del crecimiento de la RAB y del riesgo regulatorio, no del de las ventas (Elia crece un 43,6 % por un cambio de perímetro).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-13,1 %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desglose de la retribución regulada por actividad (transporte, regasificación, almacenamiento, GTS) y por concepto (amortización, retribución financiera, O&amp;M, RCS, REVU) 2023-2026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2.1.a y anexo III: solo ingresos por sociedad (Enagás Transporte 856,2 M, Enagás Transporte del Norte 19,0 M, Enagás GTS 29,4 M, Musel 44,5 M) y la metodología; GTS 27,2 M; 2) informes y presentaciones de resultados 2024, 2025 y 1S26: solo el efecto del marco (-57 M y -30 M); 3) memorias de la CNMC descargadas por B (circulares 2027-2032): metodología, sin cifras de Enagás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RAB a cierre de 2021, 2022, 2023 y 2025 y a 30-jun-26; amortización regulatoria anual; inversión regulada reconocida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y 1S26: no publican la RAB; 2) presentaciones 2025 y 1S26: solo EV/RAB de Teréga y Saggas; el plan de feb-25 da ~3.100 M (2024) y ~2.700 M (2026); 3) búsqueda web de «Enagás RAB 2025»: solo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dos cifras del plan)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 FY25 (feb-26) y 1S26 (jul-26)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Enagás: no publica transcripción; 2) GuruFocus (transcripciones FY25 y 1S26): HTTP 403; 3) resumen de Quartr del 1S26: sin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usa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dan consenso previo ni BPA trimestral; 2) prensa (Bolsamanía) solo con titulares; 3) el BPA trimestral exigiría acciones por trimestre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2018-2020 y DPA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2021 de la web: PDF escaneado sin texto; 2) cuadro plurianual del informe de gestión 2025: solo 2021-2025; 3) no se intentó el OCR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coste_ventas (aprovisionamientos)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por naturaleza: sin línea de aprovisionamientos; 2) nota de segmentos 2024-2025: «Procurement» de 10,6 M y 11,6 M; 3) cuentas 2022-2023: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en todos los años; ~1 % de los ingresos)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intermedios 1S26: flujo de explotación (72,4 M) y capex (45,8 M) sí; 2) los pagos de arrendamientos semestrales no se desglosan; 3) el FFO de la empresa (290,1 M en el 1S26) no es comparable con el FCF del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NaTran (ex GRTgaz) y OGE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resultados anuales de 2025 de NaTran: solo aparecen los de 2024 (2.090 M EUR de ingresos) y las deliberaciones de la CRE; 2) búsqueda de la nota de prensa de resultados de 2025 en francés; 3) informe integrado 2024 como fuente secundaria: no tiene EBIT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REN (Portugal), ingresos y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de datos 12M25 de REN: solo EBITDA (516,1 M EUR) y beneficio neto (159,8 M EUR); 2) búsqueda del informe 12M25; 3) no se descargó el informe anual completo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Nortegas transporte, Reganosa y BBG con cuentas propias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TRF de la CNMC: solo cuotas de retribución; 2) búsqueda de resultados de Reganosa y BBG; 3) no se buscaron cuentas en el Registro Mercantil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gas 2015-2017 y serie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Circular 4/2026: la serie empieza en 2018; 2) nota de resultados 2025 de Enagás: solo 2024-2025; 3) no se consultó el Boletín Estadístico del GTS ni el informe anual de Sedigas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marco retributivo del hidrógeno y estado de la transposición de la Directiva 2024/1788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BOE de una ley o circular de hidrógeno: no aparece; 2) búsqueda sobre el anteproyecto de transposición: solo aparece la de Portugal (DL 94/2026); 3) nota de resultados del primer semestre de 2026 de Enagás: no la menciona. El buscador citó un «RDL 7/2026» que da a la CNMC la supervisión provisional de las inversiones de hidrógeno PCI, pero no se ha leído en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coeficientes numéricos de la REVU y del IFVA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Circular 4/2026 en el BOE (HTML): las fórmulas son imágenes y se pierden; 2) Memoria de la Circular 4/2026: no se llegó a extraer la tabla; 3) voto particular: da los importes agregados (REVU 375,2 M EUR en 2027-2032), no los coeficientes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vínculo de Enagás con el «caso Koldo»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IAGC 2025: sin mención; 2) búsqueda de prensa «Enagás caso Koldo UCO»: sin resultado que implique a Enagás; 3) nota del primer semestre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fecha exacta de MSCI, ISS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de 2025: la nota dice «a 12 de febrero de 2025», probablemente una errata por 2026; 2) nota de prensa de 2025; 3) no se consultaron las webs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por NIF A28294726: redirección 301 y la consulta de entidad devuelve «No se han encontrado datos» sin navegador; 2) IARC 2025: solo da las entregas de acciones del ILP al consejero delegado (32.536 acciones del ILP 2022-2024 en 2025), no compras ni ventas; 3) InsiderScreener: devuelve datos incoherentes (precios de 98-237 EUR por acción de Enagás, que cotiza en torno a 13-15 EUR),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(OIR): reclasifica a Ana Palacio, la coordinadora, como otra externa y no nombra sustituta; 2) Prensa de la convocatoria y de la junta (Forbes, Estrategias de Inversión, Bolsamanía, 18 y 26-03-2026): no lo mencionan; 3) Búsqueda «consejero coordinador Enagás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a 31-12-2025 sí había coordinadora independiente; desde marzo de 2026 no consta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quién salió del consejo en 2026 para mantener 15 miembros con Vicente Pedret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OIR de la junta 2026: dice 15 consejeros y 10 independientes, pero no cita ninguna baja; 2) Prensa de la convocatoria y de la junta (Forbes, Estrategias de Inversión): no cita bajas; 3) Búsqueda de dimisiones de consejeros de Enagás en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lista tiene los 15 del IAGC 2025 más Pedret (16); uno de los independientes salió entre enero y marzo de 2026 y no se ha identificado quién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investigación en Perú (caso Gasoducto Sur Peruano) a Jesús Luis Saldaña Fernández, director general de Desarrollo de Negocio y Sociedades Participadas según el IAGC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Expreso (Perú), artículo sobre Saldaña: 403 con WebFetch y con descargar.mjs; 2) elEconomista, «Perú investiga a Enagás por el Gasoducto Sur Peruano»: 403; 3) América TV: menciona a David San Frutos y la investigación preparatoria contra Enagás, pero no a Saldaña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podido leer la fuente original; queda pendiente de verificar con navegador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investigaciones judiciales en España (caso Koldo u otras) que afecten a consejeros o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«Enagás caso Koldo UCO contrato consejero»: las noticias tratan de Adif, Carreteras y Ábalos, no de Enagás; 2) Búsqueda «Enagás directivo imputado o investigado 2025-2026»: solo aparecen el caso Castor (archivado en 2018) y el caso peruano; 3) Hechos relevantes de las juntas e IAGC 2025: no mencionan procedimientos contra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investigación española contra consejeros o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de la CNMC a Enagás en los últimos 24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«CNMC sanciona Enagás multa expediente sancionador»: los expedientes sancionadores encontrados son contra comercializadoras denunciadas por Enagás GTS; 2) Expediente S/0001/20 contra Enagás: archivado sin sanción (06-11-2023); 3) IAGC 2025 y notas de resultados: no mencionan sanciones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multa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directivos que no son consejeros y fecha de entrada de María Junco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solo da las participaciones de los consejeros; 2) IARC 2025: solo el consejero delegado; 3) Registro de directivos de la CNMV: inaccesible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de Enagás)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1S26 y FY2025, nota de resultados 1S26 y cuentas 1S26 y 2025 de Enagás: no publican la RAB en cifra (solo la TRF y los múltiplos EV/RAB de Teréga y Saggas); 2) búsqueda web «Enagás regulated asset base 2025» y memorias de la CNMC de las circulares 2027-2032: la CNMC da el impacto del cambio de TRF sobre la «RAB neta a 31-dic-2024» de todo el sector (31,3 M€ al año por +1,02 puntos, es decir ≈ 3.070 M€ de transporte y regasificación del sistema, incluidas otras empresas y sin almacenamientos); 3) derivarla de esa cifra exigiría la cuota de Enagás en la RAB del sistema y la RAB de los almacenamientos (regulados por el MITECO), que no están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de Enagás: el último evento listado es el 1S26 del 22-jul-2026, sin fecha para el 3T; 2) calendario de MarketScreener: «No events available»; 3) búsqueda en prensa: el «24 de octubre» que aparece es el de 2023 (en 2026 cae en sábado). Los 3T de 2020-2025 se presentaron entre el 20 y el 26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de Terna (para EV/RAB)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FY2025 de Terna: sin cifra de RAB; 2) nota de resultados a 31-dic-2025: solo menciona el crecimiento de la RAB; 3) informe de segunda opinión del bono verde (S&amp;P): texto no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y ROA; 2) no se ha intentado Stock Analysis por presupuesto; 3) no derivado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de 2i Rete Gas, National Gas y Edison Stoccaggio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informativo de Italgas, anuncio de National Grid y nota FY2024 de Snam: no publican RAB ni múltiplo sobre RAB; 2) página de la nota de cierre de Edison Stoccaggio en snam.it: contenido cargado por JavaScript, ilegible; 3) no se usan cifras de buscadores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Tallgrass, GNL Quintero, Nortegas, Redexis, Madrileña Red de Gas, Nedgia, TenneT, Amprion, 50Hertz e Italgas-DEPA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Enagás de las ventas de Tallgrass y GNL Quintero: dan precio y plusvalía, no EV/EBITDA, y no son activos europeos; 2) Nota de Italgas sobre DEPA Infrastructure: solo el precio de las acciones (733 M), el 11x es de un bróker; 3) Fluxys-OGE (2023) sin condiciones publicadas; las españolas, sin revisar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2023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2022 con informe de auditoría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https://www.enagas.es/content/dam/enagas/en/files/accionistas-e-inversores/informacion-economico-financiera/cuentas-anuales-auditadas-e-informe-de-auditoria/2020/CCAA%20Enagas%20Consolidado%20con%20informe%20de%20auditor%20e%20informe%20de%20gestion%20INGLES.pdf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a 30 de junio de 2026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https://www.enagas.es/content/dam/enagas/en/files/accionistas-e-inversores/informacion-economico-financiera/informes-resultados-presentaciones/informacion-publica-periodica/Cuentas%20Consolidadas%20Primer%20Semestre%202026_EN.pdf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https://www.enagas.es/content/dam/enagas/en/files/accionistas-e-inversores/informacion-economico-financiera/informes-resultados-presentaciones/presentaciones-para-inversores/2026/NotaCNMVResultados1S2026_EN.pdf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https://www.enagas.es/content/dam/enagas/en/files/accionistas-e-inversores/informacion-economico-financiera/informes-resultados-presentaciones/presentaciones-para-inversores/2026/Presentaci%C3%B3nResultados1S2026_EN.pdf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https://www.enagas.es/content/dam/enagas/en/files/accionistas-e-inversores/informacion-economico-financiera/informes-resultados-presentaciones/presentaciones-para-inversores/NotaCNMVResults2025EN.pdf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objetivos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https://www.enagas.es/content/dam/enagas/en/files/accionistas-e-inversores/informacion-economico-financiera/informes-resultados-presentaciones/presentaciones-para-inversores/ResultsPresentation2025EN.pdf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2024 y actualización estratégica 2025-2030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https://www.enagas.es/content/dam/enagas/en/files/accionistas-e-inversores/informacion-economico-financiera/informes-resultados-presentaciones/informacion-publica-periodica/Rtdos%202024%20y%20Actualizaci%C3%B3n%20estrat%C3%A9gica%202025-2030_EN.pdf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https://www.enagas.es/content/dam/enagas/en/files/accionistas-e-inversores/informacion-economico-financiera/informes-resultados-presentaciones/informacion-publica-periodica/Note%20CNMV%20Results%201Q2026_EN.pdf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https://www.enagas.es/content/dam/enagas/en/files/accionistas-e-inversores/informacion-economico-financiera/informes-resultados-presentaciones/presentaciones-para-inversores/2025/Nota%20CNMV%20Resultados%209M2025_ingles.pdf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https://www.enagas.es/content/dam/enagas/en/files/accionistas-e-inversores/informacion-economico-financiera/informes-resultados-presentaciones/informacion-publica-periodica/Nota%20CNMV%20Resultados%201S2025_EN.pdf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https://www.enagas.es/content/dam/enagas/en/files/accionistas-e-inversores/informacion-economico-financiera/informes-resultados-presentaciones/presentaciones-para-inversores/2025/Nota%20CNMV%20Resultados%201T2025_EN.pdf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2024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https://www.enagas.es/content/dam/enagas/en/files/accionistas-e-inversores/informacion-economico-financiera/informes-resultados-presentaciones/informacion-publica-periodica/Nota%20CNMV%20Resultados%204T2024_EN.pdf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https://www.enagas.es/content/dam/enagas/es/ficheros/accionistas-e-inversores/gobierno-corporativo/informe-anual-corporativo/iagc-2025.pdf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cierra la compra del 31,5 % de Teréga por 573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https://forbes.es/?p=991204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aprueba las circulares de retribución del transporte, regasificación y distribución de gas natural y la tasa de retribución financiera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https://www.cnmc.es/prensa/circulares-gas-20260918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tasa de retribución financiera de regasificación, transporte, GTS y actividades vinculadas a la distribución de gas natural 2027-2032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4/2026, de 8 de septiembre, metodología de retribución de las instalaciones de transporte de gas natural y plantas de GNL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somete a audiencia pública la circular sobre la metodología de retribución del transporte y regasificación de gas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https://www.cnmc.es/prensa/circular-transporte-regasificacion-20260326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circular de la tasa de retribución financiera del gas 2027-2032 (trámite de audiencia,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de la TRF del gas 2027-2032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4/2026 de retribución del transporte y la regasificación, con anexo III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half of 2026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https://www.enagas.es/en/press-room/news-room/press-releases/results-first-half-2026/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analiza la separación de actividades de Enagás como gestor de la red troncal de hidrógeno (nota de prensa, INF/DE/146/24)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https://www.cnmc.es/sites/default/files/editor_contenidos/Notas%20de%20prensa/2025/20250724_NP_Enag%C3%A1s_Separaci%C3%B3n_H2.pdf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Decreto-ley 8/2023, de 27 de diciembre (disposición adicional novena: gestores provisionales de la red troncal de hidrógeno)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https://www.boe.es/diario_boe/txt.php?id=BOE-A-2023-26452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Spanish Hydrogen Backbone and H2Med receive 100% of the European CEF funding requested from CINEA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https://enagas.es/en/press-room/news-room/press-releases/cef-hydrogen-funds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project officially renewed as European Project of Common Interest (PCI)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https://oge.net/en/press-releases/2026/h2med-project-officially-renewed-as-european-project-of-common-interest-pci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presentation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(REN, Enagás, NaTran, Teréga, 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https://www.natrangroupe.com/sites/default/files/h2/h2med-presentation-february2026.pdf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and 2025-2030 Strategic Update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https://www.enagas.es/content/dam/enagas/en/files/enagas-communication-room/present/press-releases/2025/20250218-np-resultados-2024-actualizacion-estrategica-EN.pdf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and 2026 Targets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https://www.enagas.es/content/dam/enagas/en/files/enagas-communication-room/present/press-releases/2026/20260217%20NP%202025%20Results%202026%20Targets.pdf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2025 full year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Regulated information: Fluxys Belgium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Fluxys Belgium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https://www.fluxys.com/press-releases/fluxys-belgium/2026/260331_press_2025-annual-results-fluxys-belgium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https://www.redexis.es/index.php/media/1838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particular de la consejera M.ª Jesús Martín sobre la propuesta de circular de transporte y regasificación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2026,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https://www.enagas.es/content/dam/enagas/en/files/accionistas-e-inversores/gobierno-corporativo/junta-general-accionistas/informacion-desarrollo-juntas/HR%20JGA%202026%20eng.pdf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2025,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https://www.enagas.es/content/dam/enagas/en/files/accionistas-e-inversores/gobierno-corporativo/junta-general-accionistas/informacion-desarrollo-juntas/HR-General-Shareholders-Meeting-2025-Enagas.pdf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2024,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https://www.enagas.es/content/dam/enagas/en/files/accionistas-e-inversores/gobierno-corporativo/junta-general-accionistas/informacion-desarrollo-juntas/HR%20JGA%202024%20eng.pdf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2020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https://www.enagas.es/content/dam/enagas/en/files/accionistas-e-inversores/informacion-economico-financiera/informes-resultados-presentaciones/informacion-publica-periodica/Nota%20CNMV%20Resultados%202020%20Ingles.pdf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2021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https://www.enagas.es/content/dam/enagas/en/files/accionistas-e-inversores/informacion-economico-financiera/informes-resultados-presentaciones/informacion-publica-periodica/CNMV%20Results%202021.pdf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2023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https://www.enagas.es/content/dam/enagas/en/files/accionistas-e-inversores/informacion-economico-financiera/informes-resultados-presentaciones/presentaciones-para-inversores/Nota%20CNMV%202023%20Results_EN.pdf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2021 y Horizonte 2030 (plan estratégico 2022-2030)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https://www.enagas.es/content/dam/enagas/en/files/accionistas-e-inversores/informacion-economico-financiera/informes-resultados-presentaciones/presentaciones-para-inversores/2021%20Results_2030%20Horizon.pdf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2023 y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https://www.enagas.es/content/dam/enagas/en/files/accionistas-e-inversores/informacion-economico-financiera/informes-resultados-presentaciones/presentaciones-para-inversores/Resultados%202023%20y%20Objetivos%202024%20-%20EN.pdf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Arturo Gonzalo, próximo a Teresa Ribera, nuevo consejero delegado de Enagás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https://www.eldebate.com/economia/empresas/20220221/arturo-gonzalo-proximo-teresa-ribera-nuevo-consejero-delegado-enagas.html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reordena su cúpula de cara a lanzar un plan estratégico con el foco en la transición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https://www.estrategiasdeinversion.com/actualidad/noticias/otras/enagas-reordena-su-cupula-de-cara-a-lanzar-un-n-535855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S/0001/20 ENAGÁS: no incoación y archivo (Sala de Competencia de la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 (texto en vLex)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https://vlex.es/vid/resolucion-s-0001-20-974145289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period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https://www.enagas.es/content/dam/enagas/es/ficheros/accionistas-e-inversores/informacion-economico-financiera/renta-fija/EN_Estados%20Financieros%20Consolidados%20Primer%20Semestre%202026.pdf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ENG.MC, ^IBEX, XESP.DE (Xtrackers MSCI Spain 1C) y EXH9.DE (iShares STOXX Europe 600 Utilities)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Financial Data, Forecasts, Estimates and Expectations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https://www.enagas.es/en/investor-relations/share-performance/investor-calendar/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Enagas (ENAG)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https://www.investing.com/equities/enagas-consensus-estimates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https://www.marketscreener.com/quote/stock/SNAM-S-P-A-95732/finances/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https://www.marketscreener.com/quote/stock/ITALGAS-S-P-A-124599045/finances/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Terna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https://www.marketscreener.com/quote/stock/TERNA-S-P-A-135034/finances/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Corporación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https://www.marketscreener.com/quote/stock/REDEIA-CORPORACION-S-A-29688106/finances/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 NV/SA: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https://www.marketscreener.com/quote/stock/ELIA-GROUP-NV-SA-5989/finances/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https://www.marketscreener.com/quote/stock/NATIONAL-GRID-PLC-34973324/finances/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Naturgy Energy Group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https://www.marketscreener.com/quote/stock/NATURGY-ENERGY-GROUP-S-A-74206/finances/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(GBP: 0,84880 el 6-oct-2026; 0,8338 el 25-mar-2022)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2026-2030 Strategic Plan (FY2025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https://www.snam.it/content/dam/snam/pages-attachments-search/it/documenti/presentazioni/2026/2026-2030_Strategic_Plan.pdf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consolidated results as at 31 December 2025 approved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https://www.italgas.it/en/press-releases-price-sensitive/italgas-consolidated-results-as-at-31-december-2025-approved/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Plan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https://www.redeia.com/sites/default/files/2026-02/strategic-plan-redeia-2026-2029.pdf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https://investor.eliagroup.eu/-/media/project/elia/shared/documents/press-releases/2026/elia-group-q4-2025-press-release_en.pdf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2025/26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https://www.nationalgrid.com/document/576631/download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informativo ex art. 71 – Acquisizione di 2i Rete Gas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https://www.italgas.it/wp-content/uploads/sites/2/2025/04/Documento-Informativo-ex-art.-71-%E2%80%93-Acquisizione-di-2i-Rete-Gas.pdf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majority interest in NGGT and Metering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https://www.nationalgrid.com/gt-announcement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FY 2024 Financial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https://www.snam.it/content/dam/snam/news-assets/comunicati-stampa/en/2025/PR%20-%20Snam%20FY%202024%20Financial%20Results.pdf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de la CNMC: tasa de retribución financiera de regasificación, transporte, gestión técnica y distribución de gas natural 2027-2032 (BOE-A-2026-19426)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https://www.boe.es/boe/dias/2026/09/18/pdfs/BOE-A-2026-19426.pdf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signs an agreement for the acquisition of 24.99% of Open Grid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(comunicado regulado,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https://www.emarketstorage.it/sites/default/files/comunicati/2025-04/20250407_164523.pdf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24.99% stake in Open Grid Europe -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https://www.emarketstorage.it/sites/default/files/comunicati/2025-04/20250408_164573.pdf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acquires €5 billion valued Electricity North West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https://www.iberdrola.com/press-room/news/detail/iberdrola-acquires-5-billion-valued-electricity-north-west-in-the-uk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Electricity North West -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https://www.iberdrola.com/documents/20125/4445540/240802_IP_02_EN.pdf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acquisition of Western Power Distribution and strategic portfolio repositioning (Form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https://www.sec.gov/Archives/edgar/data/1004315/000100431521000029/a6ksd18mar21ex991wpdannoun.htm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https://data-api.ecb.europa.eu/service/data/EXR/D.GBP.EUR.SP00.A?startPeriod=2021-03-17&amp;endPeriod=2021-03-19&amp;format=csvdata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Capital Partners to acquire Grain LNG in partnership with Centrica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Bridgepoint Group (matriz de ECP)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https://www.bridgepointgroup.com/about-us/news-and-insights/press-releases/2025/energy-capital-partners-to-acquire-grain-lng-in-partnership-with-centrica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https://data-api.ecb.europa.eu/service/data/EXR/D.GBP.EUR.SP00.A?startPeriod=2025-08-13&amp;endPeriod=2025-08-14&amp;format=csvdata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87,4 %</w:t>
      </w:r>
      <w:r>
        <w:t xml:space="preserve"> · Secciones con menos del 60 % de campos cubiertos: </w:t>
      </w:r>
      <w:r>
        <w:rPr>
          <w:b/>
          <w:bCs/>
        </w:rPr>
        <w:t xml:space="preserve">sentimiento</w:t>
      </w:r>
      <w:r>
        <w:t xml:space="preserve"> · Generado el 14 oct 2026.</w:t>
      </w:r>
    </w:p>
    <w:p>
      <w:pPr>
        <w:pStyle w:val="Nota"/>
        <w:spacing w:after="100"/>
      </w:pPr>
      <w:r>
        <w:t xml:space="preserve">Cotización: BME (Mercado Continuo), única línea. Precio de 16,22 EUR, cierre del 6-oct-2026 (MarketScreener): la fecha de corte cae en plena sesión y Yahoo no tenía aún la barra del 6-oct [51, 52]. </w:t>
      </w:r>
      <w:r>
        <w:rPr>
          <w:b/>
        </w:rPr>
        <w:t xml:space="preserve">EBITDA y EBIT sin participadas</w:t>
      </w:r>
      <w:r>
        <w:t xml:space="preserve">: las cuentas meten el resultado por puesta en equivalencia (131,6 M en 2025) dentro del resultado de explotación; aquí se pasa al resultado financiero (el BAI no cambia) y las participadas se valoran en el puente, para no contarlas dos veces [1]. Por eso el margen EBITDA de este informe es inferior al que publica Enagás. El EBITDA del consenso (definición de la empresa, con participadas antes del PPA) se homogeneiza restando un 22 % de las ventas (≈ 200 M en 2027e, estimación propia: 172 M de participadas en 2026 más ≈ 41 M de Teréga menos ≈ 6 M de Saggas) [6]. </w:t>
      </w:r>
      <w:r>
        <w:rPr>
          <w:b/>
        </w:rPr>
        <w:t xml:space="preserve">RAB</w:t>
      </w:r>
      <w:r>
        <w:t xml:space="preserve">: Enagás no publica su base de activos regulada a la fecha del puente; se usa la cifra de gas de 2026 del plan estratégico (≈ 2.700 M, redondeada por la empresa) [9]. </w:t>
      </w:r>
      <w:r>
        <w:rPr>
          <w:b/>
        </w:rPr>
        <w:t xml:space="preserve">Asociadas a valor estimado</w:t>
      </w:r>
      <w:r>
        <w:t xml:space="preserve">, no contable (ver valoración). Cuentas de 2018-2020 no disponibles en texto (el PDF de 2021 está escaneado): la serie empieza en 2021. Las cifras de la CNMC van por año de gas (octubre-septiembre) y se asimilan al año natural.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Enagás, S.A. (ENG)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 regulado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904.974</c:v>
                </c:pt>
                <c:pt idx="1">
                  <c:v>968.65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0.208</c:v>
                </c:pt>
                <c:pt idx="1">
                  <c:v>0.369</c:v>
                </c:pt>
              </c:numCache>
            </c:numRef>
          </c:val>
        </c:ser>
        <c:ser>
          <c:idx val="2"/>
          <c:order val="2"/>
          <c:tx>
            <c:strRef>
              <c:f>Hoja1!$D$1</c:f>
              <c:strCache>
                <c:ptCount val="1"/>
                <c:pt idx="0">
                  <c:v>Nuevos negocios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11.491</c:v>
                </c:pt>
                <c:pt idx="1">
                  <c:v>12.668</c:v>
                </c:pt>
              </c:numCache>
            </c:numRef>
          </c:val>
        </c:ser>
        <c:ser>
          <c:idx val="3"/>
          <c:order val="3"/>
          <c:tx>
            <c:strRef>
              <c:f>Hoja1!$E$1</c:f>
              <c:strCache>
                <c:ptCount val="1"/>
                <c:pt idx="0">
                  <c:v>Hidrógeno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ser>
          <c:idx val="4"/>
          <c:order val="4"/>
          <c:tx>
            <c:strRef>
              <c:f>Hoja1!$F$1</c:f>
              <c:strCache>
                <c:ptCount val="1"/>
                <c:pt idx="0">
                  <c:v>Otras áreas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0.459</c:v>
                </c:pt>
                <c:pt idx="1">
                  <c:v>74.578</c:v>
                </c:pt>
              </c:numCache>
            </c:numRef>
          </c:val>
        </c:ser>
        <c:ser>
          <c:idx val="5"/>
          <c:order val="5"/>
          <c:tx>
            <c:strRef>
              <c:f>Hoja1!$G$1</c:f>
              <c:strCache>
                <c:ptCount val="1"/>
                <c:pt idx="0">
                  <c:v>Eliminaciones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-3.914</c:v>
                </c:pt>
                <c:pt idx="1">
                  <c:v>-79.503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Gas regulado</c:v>
                </c:pt>
                <c:pt idx="1">
                  <c:v>Internacional</c:v>
                </c:pt>
                <c:pt idx="2">
                  <c:v>Nuevos negocios</c:v>
                </c:pt>
                <c:pt idx="3">
                  <c:v>Hidrógeno</c:v>
                </c:pt>
                <c:pt idx="4">
                  <c:v>Otras áreas</c:v>
                </c:pt>
                <c:pt idx="5">
                  <c:v>Eliminaciones</c:v>
                </c:pt>
              </c:strCache>
            </c:strRef>
          </c:cat>
          <c:val>
            <c:numRef>
              <c:f>Hoja1!$B$2:$B$7</c:f>
              <c:numCache>
                <c:formatCode>General</c:formatCode>
                <c:ptCount val="6"/>
                <c:pt idx="0">
                  <c:v>99.2</c:v>
                </c:pt>
                <c:pt idx="1">
                  <c:v>0</c:v>
                </c:pt>
                <c:pt idx="2">
                  <c:v>1.3</c:v>
                </c:pt>
                <c:pt idx="3">
                  <c:v>0</c:v>
                </c:pt>
                <c:pt idx="4">
                  <c:v>7.6</c:v>
                </c:pt>
                <c:pt idx="5">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Otros</c:v>
                </c:pt>
              </c:strCache>
            </c:strRef>
          </c:cat>
          <c:val>
            <c:numRef>
              <c:f>Hoja1!$B$2:$B$3</c:f>
              <c:numCache>
                <c:formatCode>0"%"</c:formatCode>
                <c:ptCount val="2"/>
                <c:pt idx="0">
                  <c:v>99.8</c:v>
                </c:pt>
                <c:pt idx="1">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retribución reconocida (transporte + regasificación, todas las empresas); 2021 = año de gas de enero a septiembre más un trimestre de 2020)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c:v>
                </c:pt>
                <c:pt idx="6">
                  <c:v>2027e</c:v>
                </c:pt>
                <c:pt idx="7">
                  <c:v>2030e</c:v>
                </c:pt>
              </c:strCache>
            </c:strRef>
          </c:cat>
          <c:val>
            <c:numRef>
              <c:f>Hoja1!$B$2:$B$9</c:f>
              <c:numCache>
                <c:formatCode>#,##0</c:formatCode>
                <c:ptCount val="8"/>
                <c:pt idx="0">
                  <c:v>1234</c:v>
                </c:pt>
                <c:pt idx="1">
                  <c:v>1259.4</c:v>
                </c:pt>
                <c:pt idx="2">
                  <c:v>1095.5</c:v>
                </c:pt>
                <c:pt idx="3">
                  <c:v>1012.8</c:v>
                </c:pt>
                <c:pt idx="4">
                  <c:v>951.7</c:v>
                </c:pt>
                <c:pt idx="5">
                  <c:v>883</c:v>
                </c:pt>
                <c:pt idx="6">
                  <c:v>961.1</c:v>
                </c:pt>
                <c:pt idx="7">
                  <c:v>949.7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Enagás</c:v>
                </c:pt>
                <c:pt idx="1">
                  <c:v>Redexis</c:v>
                </c:pt>
                <c:pt idx="2">
                  <c:v>Naturgy (Nedgia y GN Transporte SDG)</c:v>
                </c:pt>
                <c:pt idx="3">
                  <c:v>Regasificadora del Noroeste (Reganosa)</c:v>
                </c:pt>
                <c:pt idx="4">
                  <c:v>Snam</c:v>
                </c:pt>
                <c:pt idx="5">
                  <c:v>Fluxys Belgium</c:v>
                </c:pt>
              </c:strCache>
            </c:strRef>
          </c:cat>
          <c:val>
            <c:numRef>
              <c:f>Hoja1!$B$2:$B$7</c:f>
              <c:numCache>
                <c:formatCode>0.0"%"</c:formatCode>
                <c:ptCount val="6"/>
                <c:pt idx="0">
                  <c:v>24.2</c:v>
                </c:pt>
                <c:pt idx="1">
                  <c:v>24.4</c:v>
                </c:pt>
                <c:pt idx="4">
                  <c:v>46.7</c:v>
                </c:pt>
                <c:pt idx="5">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5</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991.173</c:v>
                </c:pt>
                <c:pt idx="1">
                  <c:v>970.309</c:v>
                </c:pt>
                <c:pt idx="2">
                  <c:v>919.641</c:v>
                </c:pt>
                <c:pt idx="3">
                  <c:v>913.218</c:v>
                </c:pt>
                <c:pt idx="4">
                  <c:v>976.762</c:v>
                </c:pt>
                <c:pt idx="5">
                  <c:v>918</c:v>
                </c:pt>
                <c:pt idx="6">
                  <c:v>936</c:v>
                </c:pt>
                <c:pt idx="7">
                  <c:v>937</c:v>
                </c:pt>
                <c:pt idx="8">
                  <c:v>939</c:v>
                </c:pt>
                <c:pt idx="9">
                  <c:v>941</c:v>
                </c:pt>
                <c:pt idx="10">
                  <c:v>943</c:v>
                </c:pt>
                <c:pt idx="11">
                  <c:v>946</c:v>
                </c:pt>
                <c:pt idx="12">
                  <c:v>941</c:v>
                </c:pt>
                <c:pt idx="13">
                  <c:v>944</c:v>
                </c:pt>
                <c:pt idx="14">
                  <c:v>947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682.9</c:v>
                </c:pt>
                <c:pt idx="1">
                  <c:v>595.6</c:v>
                </c:pt>
                <c:pt idx="2">
                  <c:v>582.9</c:v>
                </c:pt>
                <c:pt idx="3">
                  <c:v>569.3</c:v>
                </c:pt>
                <c:pt idx="4">
                  <c:v>520.3</c:v>
                </c:pt>
                <c:pt idx="5">
                  <c:v>448</c:v>
                </c:pt>
                <c:pt idx="6">
                  <c:v>504</c:v>
                </c:pt>
                <c:pt idx="7">
                  <c:v>500</c:v>
                </c:pt>
                <c:pt idx="8">
                  <c:v>495</c:v>
                </c:pt>
                <c:pt idx="9">
                  <c:v>490</c:v>
                </c:pt>
                <c:pt idx="10">
                  <c:v>486</c:v>
                </c:pt>
                <c:pt idx="11">
                  <c:v>481</c:v>
                </c:pt>
                <c:pt idx="12">
                  <c:v>470</c:v>
                </c:pt>
                <c:pt idx="13">
                  <c:v>465</c:v>
                </c:pt>
                <c:pt idx="14">
                  <c:v>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68.9</c:v>
                </c:pt>
                <c:pt idx="1">
                  <c:v>61.4</c:v>
                </c:pt>
                <c:pt idx="2">
                  <c:v>63.4</c:v>
                </c:pt>
                <c:pt idx="3">
                  <c:v>62.3</c:v>
                </c:pt>
                <c:pt idx="4">
                  <c:v>53.3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42.4</c:v>
                </c:pt>
                <c:pt idx="1">
                  <c:v>34.2</c:v>
                </c:pt>
                <c:pt idx="2">
                  <c:v>33.7</c:v>
                </c:pt>
                <c:pt idx="3">
                  <c:v>30.9</c:v>
                </c:pt>
                <c:pt idx="4">
                  <c:v>24.2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40.7</c:v>
                </c:pt>
                <c:pt idx="1">
                  <c:v>38.7</c:v>
                </c:pt>
                <c:pt idx="2">
                  <c:v>37.2</c:v>
                </c:pt>
                <c:pt idx="3">
                  <c:v>-32.8</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-4.7</c:v>
                </c:pt>
                <c:pt idx="3">
                  <c:v>12.4</c:v>
                </c:pt>
                <c:pt idx="4">
                  <c:v>13</c:v>
                </c:pt>
                <c:pt idx="5">
                  <c:v>7.1</c:v>
                </c:pt>
                <c:pt idx="6">
                  <c:v>8.2</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141</c:v>
                </c:pt>
                <c:pt idx="1">
                  <c:v>193</c:v>
                </c:pt>
                <c:pt idx="2">
                  <c:v>89</c:v>
                </c:pt>
                <c:pt idx="3">
                  <c:v>185</c:v>
                </c:pt>
                <c:pt idx="4">
                  <c:v>179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pt idx="1">
                  <c:v>34</c:v>
                </c:pt>
                <c:pt idx="2">
                  <c:v>60</c:v>
                </c:pt>
                <c:pt idx="3">
                  <c:v>50</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489</c:v>
                </c:pt>
                <c:pt idx="1">
                  <c:v>692</c:v>
                </c:pt>
                <c:pt idx="2">
                  <c:v>655</c:v>
                </c:pt>
                <c:pt idx="3">
                  <c:v>636</c:v>
                </c:pt>
                <c:pt idx="4">
                  <c:v>506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473.599</c:v>
                </c:pt>
                <c:pt idx="1">
                  <c:v>597.0699999999999</c:v>
                </c:pt>
                <c:pt idx="2">
                  <c:v>373.80000000000007</c:v>
                </c:pt>
                <c:pt idx="3">
                  <c:v>317.279</c:v>
                </c:pt>
                <c:pt idx="4">
                  <c:v>54.541000000000004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403.826</c:v>
                </c:pt>
                <c:pt idx="1">
                  <c:v>375.774</c:v>
                </c:pt>
                <c:pt idx="2">
                  <c:v>342.528</c:v>
                </c:pt>
                <c:pt idx="3">
                  <c:v>-299.309</c:v>
                </c:pt>
                <c:pt idx="4">
                  <c:v>339.112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3.4</c:v>
                </c:pt>
                <c:pt idx="2">
                  <c:v>3.9</c:v>
                </c:pt>
                <c:pt idx="3">
                  <c:v>3.8</c:v>
                </c:pt>
                <c:pt idx="4">
                  <c:v>4.1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5.6</c:v>
                </c:pt>
                <c:pt idx="2">
                  <c:v>5.6</c:v>
                </c:pt>
                <c:pt idx="3">
                  <c:v>5.6</c:v>
                </c:pt>
                <c:pt idx="4">
                  <c:v>5.6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12</c:v>
                </c:pt>
                <c:pt idx="2">
                  <c:v>11.1</c:v>
                </c:pt>
                <c:pt idx="3">
                  <c:v>-11.2</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6.26</c:v>
                </c:pt>
                <c:pt idx="1">
                  <c:v>5.82</c:v>
                </c:pt>
                <c:pt idx="2">
                  <c:v>5.74</c:v>
                </c:pt>
                <c:pt idx="3">
                  <c:v>4.22</c:v>
                </c:pt>
                <c:pt idx="4">
                  <c:v>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574</c:v>
                </c:pt>
                <c:pt idx="1">
                  <c:v>52</c:v>
                </c:pt>
                <c:pt idx="2">
                  <c:v>796</c:v>
                </c:pt>
                <c:pt idx="3">
                  <c:v>46</c:v>
                </c:pt>
                <c:pt idx="4">
                  <c:v>46</c:v>
                </c:pt>
                <c:pt idx="5">
                  <c:v>36</c:v>
                </c:pt>
                <c:pt idx="6">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10.641</c:v>
                </c:pt>
                <c:pt idx="1">
                  <c:v>23.012</c:v>
                </c:pt>
                <c:pt idx="2">
                  <c:v>187.791</c:v>
                </c:pt>
                <c:pt idx="3">
                  <c:v>26.281</c:v>
                </c:pt>
                <c:pt idx="4">
                  <c:v>65.366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444.04</c:v>
                </c:pt>
                <c:pt idx="1">
                  <c:v>446.686</c:v>
                </c:pt>
                <c:pt idx="2">
                  <c:v>451.822</c:v>
                </c:pt>
                <c:pt idx="3">
                  <c:v>378.886</c:v>
                </c:pt>
                <c:pt idx="4">
                  <c:v>261.359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9.677</c:v>
                </c:pt>
                <c:pt idx="2">
                  <c:v>0</c:v>
                </c:pt>
                <c:pt idx="3">
                  <c:v>6.206</c:v>
                </c:pt>
                <c:pt idx="4">
                  <c:v>18.347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2</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Sociedad Estatal de Participaciones Industriales (SEPI)</c:v>
                </c:pt>
                <c:pt idx="2">
                  <c:v>Partler Participaciones, S.L.U. (Amancio Ortega Gaona, vía Partler 2006, S.L.)</c:v>
                </c:pt>
                <c:pt idx="3">
                  <c:v>Bank of America Corporation</c:v>
                </c:pt>
                <c:pt idx="4">
                  <c:v>Barclays PLC</c:v>
                </c:pt>
                <c:pt idx="5">
                  <c:v>Millennium Group Management LLC</c:v>
                </c:pt>
                <c:pt idx="6">
                  <c:v>Autocartera</c:v>
                </c:pt>
              </c:strCache>
            </c:strRef>
          </c:cat>
          <c:val>
            <c:numRef>
              <c:f>Hoja1!$B$2:$B$8</c:f>
              <c:numCache>
                <c:formatCode>0.0"%"</c:formatCode>
                <c:ptCount val="7"/>
                <c:pt idx="0">
                  <c:v>7.43</c:v>
                </c:pt>
                <c:pt idx="1">
                  <c:v>5</c:v>
                </c:pt>
                <c:pt idx="2">
                  <c:v>5</c:v>
                </c:pt>
                <c:pt idx="3">
                  <c:v>3.61</c:v>
                </c:pt>
                <c:pt idx="4">
                  <c:v>3.08</c:v>
                </c:pt>
                <c:pt idx="5">
                  <c:v>0</c:v>
                </c:pt>
                <c:pt idx="6">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4.9</c:v>
                </c:pt>
                <c:pt idx="2">
                  <c:v>5</c:v>
                </c:pt>
                <c:pt idx="3">
                  <c:v>3.2</c:v>
                </c:pt>
                <c:pt idx="4">
                  <c:v>-14.5</c:v>
                </c:pt>
                <c:pt idx="5">
                  <c:v>23.5</c:v>
                </c:pt>
                <c:pt idx="6">
                  <c:v>-16.6</c:v>
                </c:pt>
                <c:pt idx="7">
                  <c:v>9</c:v>
                </c:pt>
                <c:pt idx="8">
                  <c:v>-14</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c:v>
                </c:pt>
                <c:pt idx="1">
                  <c:v>12.9</c:v>
                </c:pt>
                <c:pt idx="2">
                  <c:v>-12.4</c:v>
                </c:pt>
                <c:pt idx="3">
                  <c:v>15.9</c:v>
                </c:pt>
                <c:pt idx="4">
                  <c:v>-10.2</c:v>
                </c:pt>
                <c:pt idx="5">
                  <c:v>10.9</c:v>
                </c:pt>
                <c:pt idx="6">
                  <c:v>-1.6</c:v>
                </c:pt>
                <c:pt idx="7">
                  <c:v>26.8</c:v>
                </c:pt>
                <c:pt idx="8">
                  <c:v>14.6</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14.1</c:v>
                </c:pt>
                <c:pt idx="5">
                  <c:v>12.7</c:v>
                </c:pt>
                <c:pt idx="6">
                  <c:v>12.6</c:v>
                </c:pt>
                <c:pt idx="7">
                  <c:v>9.7</c:v>
                </c:pt>
                <c:pt idx="8">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12.6</c:v>
                </c:pt>
                <c:pt idx="1">
                  <c:v>12.6</c:v>
                </c:pt>
                <c:pt idx="2">
                  <c:v>12.6</c:v>
                </c:pt>
                <c:pt idx="3">
                  <c:v>12.6</c:v>
                </c:pt>
                <c:pt idx="4">
                  <c:v>12.6</c:v>
                </c:pt>
                <c:pt idx="5">
                  <c:v>12.6</c:v>
                </c:pt>
                <c:pt idx="6">
                  <c:v>12.6</c:v>
                </c:pt>
                <c:pt idx="7">
                  <c:v>12.6</c:v>
                </c:pt>
                <c:pt idx="8">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Enagás</c:v>
                </c:pt>
                <c:pt idx="1">
                  <c:v>Snam</c:v>
                </c:pt>
                <c:pt idx="2">
                  <c:v>Italgas</c:v>
                </c:pt>
                <c:pt idx="3">
                  <c:v>Terna</c:v>
                </c:pt>
                <c:pt idx="4">
                  <c:v>Redeia</c:v>
                </c:pt>
                <c:pt idx="5">
                  <c:v>Elia Group</c:v>
                </c:pt>
                <c:pt idx="6">
                  <c:v>National Grid</c:v>
                </c:pt>
                <c:pt idx="7">
                  <c:v>Naturgy</c:v>
                </c:pt>
              </c:strCache>
            </c:strRef>
          </c:cat>
          <c:val>
            <c:numRef>
              <c:f>Hoja1!$B$2:$B$9</c:f>
              <c:numCache>
                <c:formatCode>0.0"x"</c:formatCode>
                <c:ptCount val="8"/>
                <c:pt idx="0">
                  <c:v>9.5</c:v>
                </c:pt>
                <c:pt idx="1">
                  <c:v>11.1</c:v>
                </c:pt>
                <c:pt idx="2">
                  <c:v>8.4</c:v>
                </c:pt>
                <c:pt idx="3">
                  <c:v>10.1</c:v>
                </c:pt>
                <c:pt idx="4">
                  <c:v>10</c:v>
                </c:pt>
                <c:pt idx="5">
                  <c:v>9.5</c:v>
                </c:pt>
                <c:pt idx="6">
                  <c:v>10.4</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Enagás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9.5</c:v>
                </c:pt>
              </c:numCache>
            </c:numRef>
          </c:yVal>
          <c:smooth val="0"/>
        </c:ser>
        <c:ser>
          <c:idx val="1"/>
          <c:order val="1"/>
          <c:tx>
            <c:strRef>
              <c:f>Hoja1!$A$3</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c:v>
                </c:pt>
              </c:numCache>
            </c:numRef>
          </c:xVal>
          <c:yVal>
            <c:numRef>
              <c:f>Hoja1!$C$3</c:f>
              <c:numCache>
                <c:formatCode>0.0"x"</c:formatCode>
                <c:ptCount val="1"/>
                <c:pt idx="0">
                  <c:v>11.1</c:v>
                </c:pt>
              </c:numCache>
            </c:numRef>
          </c:yVal>
          <c:smooth val="0"/>
        </c:ser>
        <c:ser>
          <c:idx val="2"/>
          <c:order val="2"/>
          <c:tx>
            <c:strRef>
              <c:f>Hoja1!$A$4</c:f>
              <c:strCache>
                <c:ptCount val="1"/>
                <c:pt idx="0">
                  <c:v>Italgas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8.2</c:v>
                </c:pt>
              </c:numCache>
            </c:numRef>
          </c:xVal>
          <c:yVal>
            <c:numRef>
              <c:f>Hoja1!$C$4</c:f>
              <c:numCache>
                <c:formatCode>0.0"x"</c:formatCode>
                <c:ptCount val="1"/>
                <c:pt idx="0">
                  <c:v>8.4</c:v>
                </c:pt>
              </c:numCache>
            </c:numRef>
          </c:yVal>
          <c:smooth val="0"/>
        </c:ser>
        <c:ser>
          <c:idx val="3"/>
          <c:order val="3"/>
          <c:tx>
            <c:strRef>
              <c:f>Hoja1!$A$5</c:f>
              <c:strCache>
                <c:ptCount val="1"/>
                <c:pt idx="0">
                  <c:v>Terna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10.4</c:v>
                </c:pt>
              </c:numCache>
            </c:numRef>
          </c:xVal>
          <c:yVal>
            <c:numRef>
              <c:f>Hoja1!$C$5</c:f>
              <c:numCache>
                <c:formatCode>0.0"x"</c:formatCode>
                <c:ptCount val="1"/>
                <c:pt idx="0">
                  <c:v>10.1</c:v>
                </c:pt>
              </c:numCache>
            </c:numRef>
          </c:yVal>
          <c:smooth val="0"/>
        </c:ser>
        <c:ser>
          <c:idx val="4"/>
          <c:order val="4"/>
          <c:tx>
            <c:strRef>
              <c:f>Hoja1!$A$6</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10</c:v>
                </c:pt>
              </c:numCache>
            </c:numRef>
          </c:yVal>
          <c:smooth val="0"/>
        </c:ser>
        <c:ser>
          <c:idx val="5"/>
          <c:order val="5"/>
          <c:tx>
            <c:strRef>
              <c:f>Hoja1!$A$7</c:f>
              <c:strCache>
                <c:ptCount val="1"/>
                <c:pt idx="0">
                  <c:v>Elia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43.6</c:v>
                </c:pt>
              </c:numCache>
            </c:numRef>
          </c:xVal>
          <c:yVal>
            <c:numRef>
              <c:f>Hoja1!$C$7</c:f>
              <c:numCache>
                <c:formatCode>0.0"x"</c:formatCode>
                <c:ptCount val="1"/>
                <c:pt idx="0">
                  <c:v>9.5</c:v>
                </c:pt>
              </c:numCache>
            </c:numRef>
          </c:yVal>
          <c:smooth val="0"/>
        </c:ser>
        <c:ser>
          <c:idx val="6"/>
          <c:order val="6"/>
          <c:tx>
            <c:strRef>
              <c:f>Hoja1!$A$8</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15.4</c:v>
                </c:pt>
              </c:numCache>
            </c:numRef>
          </c:xVal>
          <c:yVal>
            <c:numRef>
              <c:f>Hoja1!$C$8</c:f>
              <c:numCache>
                <c:formatCode>0.0"x"</c:formatCode>
                <c:ptCount val="1"/>
                <c:pt idx="0">
                  <c:v>10.4</c:v>
                </c:pt>
              </c:numCache>
            </c:numRef>
          </c:yVal>
          <c:smooth val="0"/>
        </c:ser>
        <c:ser>
          <c:idx val="7"/>
          <c:order val="7"/>
          <c:tx>
            <c:strRef>
              <c:f>Hoja1!$A$9</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0.8</c:v>
                </c:pt>
              </c:numCache>
            </c:numRef>
          </c:xVal>
          <c:yVal>
            <c:numRef>
              <c:f>Hoja1!$C$9</c:f>
              <c:numCache>
                <c:formatCode>0.0"x"</c:formatCode>
                <c:ptCount val="1"/>
                <c:pt idx="0">
                  <c:v>7.3</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Teréga (31,5 %), transporte y almacenamiento de gas en el suroeste de Francia</c:v>
                </c:pt>
                <c:pt idx="1">
                  <c:v>Saggas (20 %), planta de regasificación de Sagunto</c:v>
                </c:pt>
                <c:pt idx="2">
                  <c:v>2i Rete Gas (99,94 %), distribución de gas en Italia</c:v>
                </c:pt>
                <c:pt idx="3">
                  <c:v>National Gas Transmission y Metering (60 %), transporte de gas en Reino Unido</c:v>
                </c:pt>
                <c:pt idx="4">
                  <c:v>Edison Stoccaggio (100 %), almacenamiento de gas en Italia</c:v>
                </c:pt>
                <c:pt idx="5">
                  <c:v>Vier Gas Holding / Open Grid Europe (24,99 %), transporte de gas en Alemania</c:v>
                </c:pt>
                <c:pt idx="6">
                  <c:v>Electricity North West (88 %), distribución eléctrica en el noroeste de Inglaterra</c:v>
                </c:pt>
                <c:pt idx="7">
                  <c:v>Western Power Distribution (100 %), distribución eléctrica en Reino Unido</c:v>
                </c:pt>
                <c:pt idx="8">
                  <c:v>Grain LNG (100 %), terminal de regasificación y almacenamiento de GNL en Reino Unido</c:v>
                </c:pt>
              </c:strCache>
            </c:strRef>
          </c:cat>
          <c:val>
            <c:numRef>
              <c:f>Hoja1!$B$2:$B$10</c:f>
              <c:numCache>
                <c:formatCode>0.0"x"</c:formatCode>
                <c:ptCount val="9"/>
                <c:pt idx="2">
                  <c:v>9.7</c:v>
                </c:pt>
                <c:pt idx="5">
                  <c:v>11.3</c:v>
                </c:pt>
                <c:pt idx="6">
                  <c:v>10.6</c:v>
                </c:pt>
                <c:pt idx="8">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299</c:v>
                </c:pt>
                <c:pt idx="2">
                  <c:v>292</c:v>
                </c:pt>
                <c:pt idx="3">
                  <c:v>286</c:v>
                </c:pt>
                <c:pt idx="4">
                  <c:v>282</c:v>
                </c:pt>
                <c:pt idx="5">
                  <c:v>276</c:v>
                </c:pt>
                <c:pt idx="6">
                  <c:v>272</c:v>
                </c:pt>
                <c:pt idx="7">
                  <c:v>232</c:v>
                </c:pt>
                <c:pt idx="8">
                  <c:v>204</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1897</c:v>
                </c:pt>
                <c:pt idx="1">
                  <c:v>2121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c:v>
                </c:pt>
                <c:pt idx="1">
                  <c:v>13.13</c:v>
                </c:pt>
                <c:pt idx="2">
                  <c:v>18.14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