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Endesa, S.A.</w:t>
      </w:r>
    </w:p>
    <w:p>
      <w:pPr>
        <w:spacing w:after="60"/>
        <w:rPr>
          <w:color w:val="52514E"/>
          <w:sz w:val="22"/>
          <w:szCs w:val="22"/>
        </w:rPr>
      </w:pPr>
      <w:r>
        <w:rPr>
          <w:color w:val="52514E"/>
          <w:sz w:val="22"/>
          <w:szCs w:val="22"/>
        </w:rPr>
        <w:t xml:space="preserve">ELE · Bolsa de Madrid (Mercado Continuo) · ISIN ES0130670112 · Servicios públicos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43,03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35,58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-13,6 % (base -2,2 %)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41,06 EUR · mercado 49,48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43.288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Endesa,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ELE / ES0130670112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públicos / Eléctricas integradas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Madrid · 1944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www.endesa.com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43,03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29,29 – 43,20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43.288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54.948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35,58 EUR</w:t>
      </w:r>
      <w:r>
        <w:t xml:space="preserve"> frente a 43,03 · Rentabilidad a 12 meses </w:t>
      </w:r>
      <w:r>
        <w:rPr>
          <w:b/>
          <w:bCs/>
        </w:rPr>
        <w:t xml:space="preserve">-13,6 % (base -2,2 %)</w:t>
      </w:r>
      <w:r>
        <w:t xml:space="preserve"> · Valor intrínseco 41,06 EUR · con la prima implícita del mercado: 49,48 (+15,0 %) · Alcista / bajista +14,9 % / -33,0 %</w:t>
      </w:r>
    </w:p>
    <w:p>
      <w:pPr>
        <w:spacing w:after="100"/>
      </w:pPr>
      <w:r>
        <w:rPr>
          <w:b/>
        </w:rPr>
        <w:t xml:space="preserve">La recomendación y por qué.</w:t>
      </w:r>
      <w:r>
        <w:t xml:space="preserve"> Vender, con convicción baja. El objetivo a 12 meses es de 30,87 € (nuestro BPA de 2028e por el PER de la regla común, ponderado 25/50/25), un −24,6 % con dividendo (−25,4 % en el base); el valor intrínseco es de 41,06 €, un 4,6 % por debajo de los 43,03 € de hoy, y el objetivo medio de los analistas, de 35,71 € [48]. La razón principal: la acción ha doblado en 22 meses y cotiza a 18,3x el beneficio de 2026, frente a 11-14x en sus cierres de 2024-2025, cuando el beneficio solo crecerá un 2-4 % al año. La convicción es baja porque las dos reglas del valor intrínseco se contradicen (con la prima implícita del mercado vale 49,48 €) y porque la historia del PER solo tiene dos años fiables; subiría a media si los resultados del 3T (28-oct) no mejoran la guía y el sector pierde la prima de las redes.</w:t>
      </w:r>
    </w:p>
    <w:p>
      <w:pPr>
        <w:spacing w:after="100"/>
      </w:pPr>
      <w:r>
        <w:rPr>
          <w:b/>
        </w:rPr>
        <w:t xml:space="preserve">El negocio.</w:t>
      </w:r>
      <w:r>
        <w:t xml:space="preserve"> Endesa es la segunda eléctrica de España: distribución regulada (321.843 km de red), generación con nuclear e hidráulica amortizadas y más de 9,5 millones de clientes [16]. Las redes ya dan el 36 % del EBITDA (1.200 M en el 1S26, +24 %) [1]. El ROIC (13,4 %) supera al WACC (6,18 %) en unos 7 puntos, aunque con un balance incompleto. Sostenibilidad: </w:t>
      </w:r>
      <w:r>
        <w:rPr>
          <w:b/>
        </w:rPr>
        <w:t xml:space="preserve">sí</w:t>
      </w:r>
      <w:r>
        <w:t xml:space="preserve">; la proyección crece un 1,5 % al año y la reinversión financia un 2,2 %: el problema no es el crecimiento, sino el precio.</w:t>
      </w:r>
    </w:p>
    <w:p>
      <w:pPr>
        <w:spacing w:after="100"/>
      </w:pPr>
      <w:r>
        <w:rPr>
          <w:b/>
        </w:rPr>
        <w:t xml:space="preserve">Sector y regulación.</w:t>
      </w:r>
      <w:r>
        <w:t xml:space="preserve"> La CNMC subió la tasa de las redes al 6,58 % para 2026-2031, por debajo del 7 % que pedía el sector [27, 35], y el plan de 5.500 M en redes depende de un real decreto [2]. Almaraz se prorrogó hasta junio de 2030 [29]: un riesgo despejado.</w:t>
      </w:r>
    </w:p>
    <w:p>
      <w:pPr>
        <w:spacing w:after="100"/>
      </w:pPr>
      <w:r>
        <w:rPr>
          <w:b/>
        </w:rPr>
        <w:t xml:space="preserve">Finanzas.</w:t>
      </w:r>
      <w:r>
        <w:t xml:space="preserve"> EBITDA de 5.756 M en 2025 (+8,7 %) y beneficio ordinario de 2.351 M (+18 %) [2, 16]; guía de 2026 elevada a más de 2.400 M [1]. La deuda neta sube a 10.305 M en junio (1,6x EBITDA) [13] porque la recompra de 2.000 M y el dividendo (1,584 € con cargo a 2025) superan la caja libre tras inversiones.</w:t>
      </w:r>
    </w:p>
    <w:p>
      <w:pPr>
        <w:spacing w:after="100"/>
      </w:pPr>
      <w:r>
        <w:rPr>
          <w:b/>
        </w:rPr>
        <w:t xml:space="preserve">Equipo y gobierno.</w:t>
      </w:r>
      <w:r>
        <w:t xml:space="preserve"> Enel controla el 70,1 % y nombró en abril a un directivo propio, Gianni Vittorio Armani, como consejero delegado [19, 38]. La dirección batió las guías de 2024 y 2025; el riesgo para el minoritario está en las operaciones vinculadas y en una recompra que concentra el capital en el accionista de control.</w:t>
      </w:r>
    </w:p>
    <w:p>
      <w:pPr>
        <w:spacing w:after="100"/>
      </w:pPr>
      <w:r>
        <w:rPr>
          <w:b/>
        </w:rPr>
        <w:t xml:space="preserve">Valoración.</w:t>
      </w:r>
      <w:r>
        <w:t xml:space="preserve"> El DCF da 43,36 € (WACC del 6,18 %, terminal del 71 %) y el DCF inverso dice que el precio descuenta un crecimiento del 1,4 % y un margen del 27,4 %, prácticamente nuestro base: no hay margen de seguridad. Los comparables (mediana de 14,9x) dan 35,02 €. Nuestro BPA de 2028e (2,44 €) coincide con el consenso (2,39 €) [50]; la discrepancia con el mercado es el múltiplo.</w:t>
      </w:r>
    </w:p>
    <w:p>
      <w:pPr>
        <w:spacing w:after="100"/>
      </w:pPr>
      <w:r>
        <w:rPr>
          <w:b/>
        </w:rPr>
        <w:t xml:space="preserve">Riesgos y catalizadores.</w:t>
      </w:r>
      <w:r>
        <w:t xml:space="preserve"> El mayor riesgo es la vuelta del PER a su historia (−25 % a 12 meses) y, en segundo lugar, la caída de precios mayoristas por la solar (bajista de 28,85 €, −33,0 %). Los foros están divididos: contentos con el dividendo, conscientes de que está cara [71, 73]. Catalizadores: 3T26 el 28-oct [69], real decreto de redes y fin de la recompra.</w:t>
      </w:r>
    </w:p>
    <w:p>
      <w:pPr>
        <w:spacing w:after="100"/>
      </w:pPr>
      <w:r>
        <w:rPr>
          <w:b/>
        </w:rPr>
        <w:t xml:space="preserve">Qué cambiaría la decisión.</w:t>
      </w:r>
      <w:r>
        <w:t xml:space="preserve"> Compraríamos por debajo de 28,22 € y venderíamos por encima de 36,06 €, según la regla a 12 meses. Pasaríamos a Mantener si la guía de 2027 apuntara a un beneficio ordinario por encima de 2.600 M o si el real decreto elevara la inversión regulada con una rentabilidad mayor.</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Vender</w:t>
      </w:r>
      <w:r>
        <w:t xml:space="preserve"> · Convicción: Baja · Horizonte: 12 meses · Objetivo a 12 meses: </w:t>
      </w:r>
      <w:r>
        <w:rPr>
          <w:b/>
          <w:bCs/>
        </w:rPr>
        <w:t xml:space="preserve">35,58 EUR</w:t>
      </w:r>
      <w:r>
        <w:t xml:space="preserve"> (rentabilidad -13,6 % (base -2,2 %)) · Valor intrínseco: 41,06 EUR (-4,6 % sobre 43,03) · con la prima implícita del mercado: 49,48 (+15,0 %)</w:t>
      </w:r>
    </w:p>
    <w:p>
      <w:pPr>
        <w:spacing w:after="100"/>
      </w:pPr>
      <w:r>
        <w:t xml:space="preserve">Endesa es una eléctrica integrada española, filial de Enel al 70,1 %, que ha girado hacia las redes: la distribución da ya el 36 % del EBITDA y la tasa regulada sube al 6,58 % en 2026-2031 [1, 27]. Ganó 2.351 M ordinarios en 2025 (+18 %) y reparte el 70 % más una recompra de 2.000 M [2].</w:t>
      </w:r>
    </w:p>
    <w:p>
      <w:pPr>
        <w:spacing w:after="100"/>
      </w:pPr>
      <w:r>
        <w:t xml:space="preserve">El precio (43,03 €) descuenta, según el DCF inverso, un crecimiento del 1,4 % y un margen del 27,4 %: el plan completo. Cotiza a 18,3x el beneficio de 2026, frente a 11-14x en 2024-2025 y a una mediana de 14,9x de sus comparables europeos [58, 59, 60, 61, 62].</w:t>
      </w:r>
    </w:p>
    <w:p>
      <w:pPr>
        <w:spacing w:after="100"/>
      </w:pPr>
      <w:r>
        <w:t xml:space="preserve">El mercado acierta con el negocio y se equivoca con el múltiplo: paga a Endesa como a una red pura cuando la mitad del EBITDA es liberalizado. Para invertir hay que creer que la prima de 2026 se mantiene, y no hay catalizador que lo garantice.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 × 2,04 = 17,14 · 16,6x × 2,44 = 40,50 · 16,6x × 2,66 = 44,16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 / -2,2 %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35,71 (nuestro base +13,4 %)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 / -33,0 %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 frente a 6,2 % y 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(1,5 % anual proyectado; financiable al ROIC actual: 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32,31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32,31 y 41,29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41,29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28,22 €, pasaríamos a Comprar (regla a 12 meses).</w:t>
      </w:r>
    </w:p>
    <w:p>
      <w:pPr>
        <w:pStyle w:val="ListParagraph"/>
        <w:numPr>
          <w:ilvl w:val="0"/>
          <w:numId w:val="2"/>
        </w:numPr>
        <w:spacing w:after="60"/>
      </w:pPr>
      <w:r>
        <w:t xml:space="preserve">Si la guía de 2027 (febrero de 2027) supera 2.600 M de beneficio ordinario, revisaríamos el BPA y el múltiplo al alza.</w:t>
      </w:r>
    </w:p>
    <w:p>
      <w:pPr>
        <w:pStyle w:val="ListParagraph"/>
        <w:numPr>
          <w:ilvl w:val="0"/>
          <w:numId w:val="2"/>
        </w:numPr>
        <w:spacing w:after="60"/>
      </w:pPr>
      <w:r>
        <w:t xml:space="preserve">Si el real decreto de redes eleva el límite de inversión con la tasa del 6,58 % y el plan sube por encima de 5.500 M en redes, revisaríamos el escenario base.</w:t>
      </w:r>
    </w:p>
    <w:p>
      <w:pPr>
        <w:pStyle w:val="ListParagraph"/>
        <w:numPr>
          <w:ilvl w:val="0"/>
          <w:numId w:val="2"/>
        </w:numPr>
        <w:spacing w:after="60"/>
      </w:pPr>
      <w:r>
        <w:t xml:space="preserve">Si el margen EBITDA semestral baja del 25 %, reforzaríamos la venta.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giro a redes justifica un PER de red regulada (18x) de forma permanente, con el plan 2026-2028 cumplido y Almaraz hasta 2030.</w:t>
      </w:r>
    </w:p>
    <w:p>
      <w:pPr>
        <w:keepNext/>
        <w:spacing w:after="100"/>
      </w:pPr>
      <w:r>
        <w:rPr>
          <w:b/>
          <w:bCs/>
        </w:rPr>
        <w:t xml:space="preserve">Lo que creemos nosotros.</w:t>
      </w:r>
    </w:p>
    <w:p>
      <w:pPr>
        <w:spacing w:after="100"/>
      </w:pPr>
      <w:r>
        <w:t xml:space="preserve">El beneficio se cumple (nuestro BPA de 2028e, 2,44 €, coincide con el consenso), pero el múltiplo volverá a un rango de 12-15x cuando termine la recompra y si el Bund sigue por encima del 3,5 %.</w:t>
      </w:r>
    </w:p>
    <w:p>
      <w:pPr>
        <w:keepNext/>
        <w:spacing w:after="100"/>
      </w:pPr>
      <w:r>
        <w:rPr>
          <w:b/>
          <w:bCs/>
        </w:rPr>
        <w:t xml:space="preserve">Por qué podemos tener razón.</w:t>
      </w:r>
    </w:p>
    <w:p>
      <w:pPr>
        <w:spacing w:after="100"/>
      </w:pPr>
      <w:r>
        <w:t xml:space="preserve">La mitad del EBITDA sigue expuesto al precio mayorista, la red rinde un 6,58 % regulado y el BPA crece un 2-4 % al año: no hay crecimiento que sostenga una prima del 23 % sobre las integradas europeas.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43,0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Redes en crecimiento</w:t>
      </w:r>
      <w:r>
        <w:t xml:space="preserve">: EBITDA de redes +24 % en el 1S26, hasta 1.200 M [1].</w:t>
      </w:r>
    </w:p>
    <w:p>
      <w:pPr>
        <w:pStyle w:val="ListParagraph"/>
        <w:numPr>
          <w:ilvl w:val="0"/>
          <w:numId w:val="2"/>
        </w:numPr>
        <w:spacing w:after="60"/>
      </w:pPr>
      <w:r>
        <w:rPr>
          <w:b/>
        </w:rPr>
        <w:t xml:space="preserve">Guía al alza</w:t>
      </w:r>
      <w:r>
        <w:t xml:space="preserve">: beneficio ordinario de 2026 por encima de 2.400 M, tras batir las guías de 2024 y 2025 [1, 44].</w:t>
      </w:r>
    </w:p>
    <w:p>
      <w:pPr>
        <w:pStyle w:val="ListParagraph"/>
        <w:numPr>
          <w:ilvl w:val="0"/>
          <w:numId w:val="2"/>
        </w:numPr>
        <w:spacing w:after="60"/>
      </w:pPr>
      <w:r>
        <w:rPr>
          <w:b/>
        </w:rPr>
        <w:t xml:space="preserve">Remuneración</w:t>
      </w:r>
      <w:r>
        <w:t xml:space="preserve">: pay-out ≥ 70 % y recompra de 2.000 M (1.100 M ejecutados) [2, 13].</w:t>
      </w:r>
    </w:p>
    <w:p>
      <w:pPr>
        <w:pStyle w:val="ListParagraph"/>
        <w:numPr>
          <w:ilvl w:val="0"/>
          <w:numId w:val="2"/>
        </w:numPr>
        <w:spacing w:after="60"/>
      </w:pPr>
      <w:r>
        <w:rPr>
          <w:b/>
        </w:rPr>
        <w:t xml:space="preserve">Riesgo nuclear despejado</w:t>
      </w:r>
      <w:r>
        <w:t xml:space="preserve">: Almaraz prorrogada hasta junio de 2030 [29].</w:t>
      </w:r>
    </w:p>
    <w:p>
      <w:pPr>
        <w:pStyle w:val="ListParagraph"/>
        <w:numPr>
          <w:ilvl w:val="0"/>
          <w:numId w:val="2"/>
        </w:numPr>
        <w:spacing w:after="60"/>
      </w:pPr>
      <w:r>
        <w:rPr>
          <w:b/>
        </w:rPr>
        <w:t xml:space="preserve">Balance sano</w:t>
      </w:r>
      <w:r>
        <w:t xml:space="preserve">: deuda neta de 1,6x EBITDA y BBB con perspectiva positiva [13, 19].</w:t>
      </w:r>
    </w:p>
    <w:p>
      <w:pPr>
        <w:pStyle w:val="Heading2"/>
      </w:pPr>
      <w:r>
        <w:t xml:space="preserve">En contra</w:t>
      </w:r>
    </w:p>
    <w:p>
      <w:pPr>
        <w:pStyle w:val="ListParagraph"/>
        <w:numPr>
          <w:ilvl w:val="0"/>
          <w:numId w:val="2"/>
        </w:numPr>
        <w:spacing w:after="60"/>
      </w:pPr>
      <w:r>
        <w:rPr>
          <w:b/>
        </w:rPr>
        <w:t xml:space="preserve">Múltiplo exigente</w:t>
      </w:r>
      <w:r>
        <w:t xml:space="preserve">: 18,3x el BPA de 2026 frente a 11-14x en 2024-2025 y 14,9x de mediana de los comparables.</w:t>
      </w:r>
    </w:p>
    <w:p>
      <w:pPr>
        <w:pStyle w:val="ListParagraph"/>
        <w:numPr>
          <w:ilvl w:val="0"/>
          <w:numId w:val="2"/>
        </w:numPr>
        <w:spacing w:after="60"/>
      </w:pPr>
      <w:r>
        <w:rPr>
          <w:b/>
        </w:rPr>
        <w:t xml:space="preserve">Sin margen de seguridad</w:t>
      </w:r>
      <w:r>
        <w:t xml:space="preserve">: el DCF inverso descuenta un 1,4 % de crecimiento, nuestro caso base.</w:t>
      </w:r>
    </w:p>
    <w:p>
      <w:pPr>
        <w:pStyle w:val="ListParagraph"/>
        <w:numPr>
          <w:ilvl w:val="0"/>
          <w:numId w:val="2"/>
        </w:numPr>
        <w:spacing w:after="60"/>
      </w:pPr>
      <w:r>
        <w:rPr>
          <w:b/>
        </w:rPr>
        <w:t xml:space="preserve">Consenso escéptico</w:t>
      </w:r>
      <w:r>
        <w:t xml:space="preserve">: 9 de 23 analistas en vender, objetivo medio de 35,71 € [48]; MarketBeat lo resume como «venta fuerte» en el ADR [66].</w:t>
      </w:r>
    </w:p>
    <w:p>
      <w:pPr>
        <w:pStyle w:val="ListParagraph"/>
        <w:numPr>
          <w:ilvl w:val="0"/>
          <w:numId w:val="2"/>
        </w:numPr>
        <w:spacing w:after="60"/>
      </w:pPr>
      <w:r>
        <w:rPr>
          <w:b/>
        </w:rPr>
        <w:t xml:space="preserve">Asimetría desfavorable</w:t>
      </w:r>
      <w:r>
        <w:t xml:space="preserve">: alcista +14,9 %, bajista −33,0 %.</w:t>
      </w:r>
    </w:p>
    <w:p>
      <w:pPr>
        <w:pStyle w:val="ListParagraph"/>
        <w:numPr>
          <w:ilvl w:val="0"/>
          <w:numId w:val="2"/>
        </w:numPr>
        <w:spacing w:after="60"/>
      </w:pPr>
      <w:r>
        <w:rPr>
          <w:b/>
        </w:rPr>
        <w:t xml:space="preserve">Accionista de control</w:t>
      </w:r>
      <w:r>
        <w:t xml:space="preserve">: Enel decide la cúpula y las operaciones vinculadas [38].</w:t>
      </w:r>
    </w:p>
    <w:p>
      <w:pPr>
        <w:pStyle w:val="Heading2"/>
      </w:pPr>
      <w:r>
        <w:t xml:space="preserve">Qué tiene que pasar para que la tesis funcione</w:t>
      </w:r>
    </w:p>
    <w:p>
      <w:pPr>
        <w:spacing w:after="100"/>
      </w:pPr>
      <w:r>
        <w:t xml:space="preserve">La tesis depende de que el mercado deje de pagar 18x por un beneficio que crece un 2-4 % al año. La señal en contra sería una guía de 2027 con beneficio ordinario por encima de 2.600 M (adelanto del plan) o un real decreto que eleve la inversión regulada con más retribución: entonces el múltiplo tendría base.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ordinario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&gt; 2.400 M; 1.480 M en el 1S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2.400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dividendo y del BPA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exposición al precio mayorista.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15x (riesgo materializado)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tesis.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Límite del plan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EBITDA de redes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 M en el 1S26 (+24 %)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Crecimiento &lt;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 del cambio de perfil [1].</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8,7x / 9,1x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20,5x / 18,3x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 · 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Endesa nació en 1944 como empresa pública (Empresa Nacional de Electricidad) y se privatizó por tramos entre 1988 y 1998. En 2007-2009, tras la batalla con Gas Natural y E.ON, la compraron Enel y Acciona; Enel se quedó con el 92 % en 2009 y vendió el negocio latinoamericano a su propia filial en 2014, con un dividendo extraordinario que redujo Endesa a España y Portugal. Desde 2014 cotiza con un capital flotante de cerca del 30 %. La crisis de precios de 2022-2023 (laudo del gas con Sonatrach, gravamen temporal) le costó dos tercios del beneficio de 2023; desde 2024 se ha reorientado a redes, con recompra de acciones y relevo del consejero delegado en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Empresa Nacional de Electricidad, de capital público.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Culmina la privatización.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Enel compra la participación de Acciona y controla el 92 %.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Latinoamérica a Enel y colocación en bolsa: el flotante sube a ≈30 %.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de 742 M por el laudo del gas y el gravamen temporal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ordinario récord de 2.351 M y recompra de 2.000 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Armani sustituye a Bogas como consejero delegado (28-abr); Almaraz prorrogada hasta 2030 (12-ago) [29].</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Endesa es la primera eléctrica integrada de España por clientes y la segunda por tamaño tras Iberdrola. Tiene tres negocios: distribución de electricidad (más de 321.800 km de red que llevan la luz a casi 22 millones de personas en Cataluña, Andalucía, Baleares, Canarias, Aragón y Extremadura; 143.555 GWh distribuidos en 2025) [16]; generación (nuclear —Ascó, Vandellós y su 36 % de Almaraz—, hidráulica, renovables, ciclos combinados y las centrales de las islas, cuya energía se paga por un régimen regulado específico) [30]; y comercialización de electricidad y gas a más de 9,5 millones de clientes en España y Portugal, sobre todo en el mercado libre [16].</w:t>
      </w:r>
    </w:p>
    <w:p>
      <w:pPr>
        <w:pStyle w:val="Heading2"/>
      </w:pPr>
      <w:r>
        <w:t xml:space="preserve">Cómo gana dinero</w:t>
      </w:r>
    </w:p>
    <w:p>
      <w:pPr>
        <w:spacing w:after="100"/>
      </w:pPr>
      <w:r>
        <w:t xml:space="preserve">Cerca de la mitad del EBITDA es regulado: la red de distribución cobra una retribución fijada por la CNMC sobre su base de activos (tasa financiera del 6,58 % para 2026-2031) [27] y la generación de los territorios no peninsulares cobra por coste reconocido. La otra mitad es generación y venta liberalizada: Endesa vende a sus clientes a precio fijo buena parte de lo que produce con nuclear e hidráulica, así que su margen depende del diferencial entre el precio de venta y el coste de la energía que produce o compra, del volumen hidráulico y de los impuestos sobre la generación. En el 1S26 las redes aportaron 1.200 M de EBITDA (36 % del total, +24 %) [1].</w:t>
      </w:r>
    </w:p>
    <w:p>
      <w:pPr>
        <w:pStyle w:val="Heading2"/>
      </w:pPr>
      <w:r>
        <w:t xml:space="preserve">Clientes, recurrencia y poder de precios</w:t>
      </w:r>
    </w:p>
    <w:p>
      <w:pPr>
        <w:spacing w:after="100"/>
      </w:pPr>
      <w:r>
        <w:t xml:space="preserve">Más de 9,5 millones de clientes de electricidad y gas en España y Portugal, sobre todo en el mercado libre [16]; en 2019 la empresa tenía el 34,1 % de las ventas a clientes del mercado liberalizado y el 44,1 % de la distribución [34]. No hay concentración de clientes. El poder de precios es limitado: la tarifa regulada (PVPC) y la competencia de Iberdrola, Naturgy, Repsol y TotalEnergies marcan el techo; la ventaja está en el coste (nuclear e hidráulica ya amortizadas) y en la integración con la generación.</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Energía distribuida (GWh)</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143.555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321.843 km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(España y Portugal)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9,5 millones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todo mercado libre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de redes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970 M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36 % del EBITDA del grupo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bruta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965 M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 redes, 600 M (+38 %)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electricidad en España: la distribución regulada (Endesa, i-DE de Iberdrola, UFD de Naturgy y otras menores) y la generación y venta liberalizadas. Se mide por la demanda nacional en GWh (Red Eléctrica) porque el tamaño en euros oscila con el precio mayorista y no dice nada de la actividad; por eso la serie va en GWh.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256.086 GWh de demanda nacional en 2025 (+2,8 %) [31]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GWh de demanda nacion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(vehículo eléctrico, bombas de calor,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+2,8 % en 2025 [31]; Endesa dice que rechaza parte de las solicitudes de conexión por falta de capacidad de red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Retribución de redes de la CNMC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del 6,58 % para 2026-2031 (+100 pb), por debajo del 7 % que pedía el sector; Endesa la recurre [27,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mayorista y canibalización solar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ajustada cayó un 0,9 % en junio de 2026 y un 2,1 % en abril [32]; con más solar, los precios a mediodía se hunden.</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Calendario nuclear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Almaraz prorrogada hasta el 8-jun-2030 (Orden TED/864/2026) [29]; Ascó y Cofrentes serían las siguientes [30].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grandes integradas (Iberdrola, Endesa, Naturgy) más Repsol y TotalEnergies en comercialización; competencia en precio en el mercado libre.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el PVPC regulado marca la referencia de precio.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 y combustible nuclear con pocos proveedores (el laudo de Sonatrach de 2023 costó cientos de millones), pero el peso del gas cae.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redes no hay entrada (monopolio territorial regulado); en comercialización, sí, con márgenes estrechos.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autoconsumo solar reduce la energía comprada pero sigue pagando la red.</w:t>
            </w:r>
          </w:p>
        </w:tc>
      </w:tr>
    </w:tbl>
    <w:p>
      <w:pPr>
        <w:spacing w:after="160" w:before="0"/>
      </w:pPr>
    </w:p>
    <w:p>
      <w:pPr>
        <w:pStyle w:val="Heading2"/>
      </w:pPr>
      <w:r>
        <w:t xml:space="preserve">Ciclo</w:t>
      </w:r>
    </w:p>
    <w:p>
      <w:pPr>
        <w:spacing w:after="100"/>
      </w:pPr>
      <w:r>
        <w:t xml:space="preserve">La demanda volvió a crecer en 2025 (+2,8 %) tras años de caídas, pero en 2026 está plana una vez ajustada por temperatura y laboralidad [31, 32]. Los márgenes de generación se normalizaron tras la crisis de precios de 2022-2023 y el nuevo periodo regulatorio de redes (2026-2031) ya está fijado [27]. El sector se comportó como refugio en 2020 y sufrió en 2022-2023 por las medidas de intervención (tope del gas, gravamen temporal).</w:t>
      </w:r>
    </w:p>
    <w:p>
      <w:pPr>
        <w:pStyle w:val="Heading2"/>
      </w:pPr>
      <w:r>
        <w:t xml:space="preserve">Regulación</w:t>
      </w:r>
    </w:p>
    <w:p>
      <w:pPr>
        <w:spacing w:after="100"/>
      </w:pPr>
      <w:r>
        <w:t xml:space="preserve">Circulares de la CNMC de diciembre de 2025: tasa de retribución financiera del 6,58 % para transporte y distribución eléctrica en 2026-2031, 100 pb más que en el periodo anterior, pero por debajo del 7 % pedido; Endesa las recurre [27, 28]. El plan de 5.500 M en redes depende de un real decreto que eleve el límite de inversión en distribución [2]. Almaraz se prorrogó hasta junio de 2030 por orden ministerial de 12-ago-2026, con informe favorable del CSN [29, 30]. La fiscalidad sobre la nuclear (tasa de Enresa e impuestos autonómicos) sigue siendo un riesgo.</w:t>
      </w:r>
    </w:p>
    <w:p>
      <w:pPr>
        <w:pStyle w:val="Heading2"/>
      </w:pPr>
      <w:r>
        <w:t xml:space="preserve">Tendencias y disrupción</w:t>
      </w:r>
    </w:p>
    <w:p>
      <w:pPr>
        <w:spacing w:after="100"/>
      </w:pPr>
      <w:r>
        <w:t xml:space="preserve">La electrificación y los centros de datos piden más red: es la parte del negocio que crece (EBITDA de redes +24 % en el 1S26) [1]. La solar abarata la energía de día y castiga los márgenes de generación sin almacenamiento; Endesa es selectiva en renovables y prioriza redes [37]. La extensión de la vida nuclear, que hace un año parecía improbable, ya está aprobada para Almaraz.</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Segunda eléctrica de España por tamaño y primera en clientes de electricidad; en 2019 tenía el 44,1 % de la distribución y el 34,1 % de las ventas en el mercado libre [34].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Iberdrola (España)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IBE.MC</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eléctrica; dueña del 53 % de Almaraz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Naturgy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NTGY.MC</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de gas y electricidad; 11 % de Almaraz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Repsol (Cliente)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REP.MC</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creciente en comercialización.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EDP España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EDP.LS</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Asturias y comercialización.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doméstico cambia de comercializadora sin coste.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Concesión de distribución en su territorio (monopolio regulado) y licencias nucleares no replicables.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Nuclear e hidráulica amortizadas: margen de generación por encima del ciclo combinado.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de 321.843 km: no tiene sentido duplicarla [8].</w:t>
            </w:r>
          </w:p>
        </w:tc>
      </w:tr>
    </w:tbl>
    <w:p>
      <w:pPr>
        <w:spacing w:after="160" w:before="0"/>
      </w:pPr>
    </w:p>
    <w:p>
      <w:pPr>
        <w:pStyle w:val="Heading2"/>
      </w:pPr>
      <w:r>
        <w:t xml:space="preserve">Amenazas</w:t>
      </w:r>
    </w:p>
    <w:p>
      <w:pPr>
        <w:spacing w:after="100"/>
      </w:pPr>
      <w:r>
        <w:t xml:space="preserve">El foso de redes es regulatorio: lo que gana lo fija la CNMC cada seis años, y la tasa de 2026-2031 quedó por debajo de lo pedido [27]. En generación, el cierre nuclear (Almaraz en 2030; Ascó y Vandellós después) y la canibalización solar estrechan la ventaja de costes; en comercialización, la competencia de Repsol y de las petroleras presiona márgenes.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2021-2025: ingresos </w:t>
      </w:r>
      <w:r>
        <w:rPr>
          <w:b/>
          <w:bCs/>
        </w:rPr>
        <w:t xml:space="preserve">0,6 %</w:t>
      </w:r>
      <w:r>
        <w:t xml:space="preserve">, EBITDA </w:t>
      </w:r>
      <w:r>
        <w:rPr>
          <w:b/>
          <w:bCs/>
        </w:rPr>
        <w:t xml:space="preserve">7,7 %</w:t>
      </w:r>
      <w:r>
        <w:t xml:space="preserve">, BPA </w:t>
      </w:r>
      <w:r>
        <w:rPr>
          <w:b/>
          <w:bCs/>
        </w:rPr>
        <w:t xml:space="preserve">11,5 %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Ingresos de 20.899 M en 2021, 32.896 M en 2022 (precios mayoristas de la crisis energética), 25.459 M en 2023, 21.307 M en 2024 y 21.424 M en 2025 [3]: la línea de ventas sigue al precio de la energía y no mide la actividad. El EBITDA pasó de 4.278 M en 2021 [8] a 5.565 M en 2022 y cayó a 3.777 M en 2023 por el laudo del contrato de gas con Sonatrach y el gravamen temporal sobre las energéticas [7]; se recuperó a 5.293 M en 2024 [10] y a 5.756 M en 2025 (+8,7 %) [15, 16]. En el 1S26 el EBITDA subió un 20 %, hasta 3.240 M, con las redes ya en el 36 % del total (1.200 M, +24 %) [1, 12]. El beneficio neto ordinario fue de 1.902 M en 2021 [8], 2.398 M en 2022, 951 M en 2023 [7], 1.993 M en 2024 [10] y 2.351 M en 2025 [2]; el contable de 2025, 2.198 M [15].</w:t>
      </w:r>
    </w:p>
    <w:p>
      <w:pPr>
        <w:pStyle w:val="Heading2"/>
      </w:pPr>
      <w:r>
        <w:t xml:space="preserve">Ajustes y partidas no recurrentes</w:t>
      </w:r>
    </w:p>
    <w:p>
      <w:pPr>
        <w:spacing w:after="100"/>
      </w:pPr>
      <w:r>
        <w:t xml:space="preserve">Endesa publica un «beneficio neto ordinario» que excluye deterioros, plusvalías y otros extraordinarios y es la base del dividendo (pay-out mínimo del 70 %) [2, 24]. La diferencia con el contable fue de −467 M en 2021 (ordinario 1.902 frente a 1.435) [3, 8], +143 M en 2022 [23], −209 M en 2023 (laudo del gas) [7], −105 M en 2024 [10] y −153 M en 2025 (2.351 frente a 2.198) [2, 15]. En el 1S26 el ordinario (1.480 M) quedó ligeramente por encima del contable (1.470 M) [12]. La cuenta se toma de Stock Analysis (ingresos, resultado de explotación, BAI y beneficio) y el EBITDA de las notas de la empresa; las amortizaciones son la diferencia, e incluyen deterioros y dotaciones de provisiones.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94"/>
        <w:gridCol w:w="1220"/>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los resultados del 1S26 (29-jul-2026) la dirección subió la guía de beneficio neto ordinario de 2026 a «más de 2.400 M», desde 2.300-2.400 M en febrero, tras un EBITDA de 3.240 M (+20 %) y un beneficio ordinario de 1.480 M (+42 %) [1, 12]. El mensaje cambió de tono frente a febrero: entonces el peso estaba en el plan de inversión de 10.600 M (5.500 M en redes) condicionado a un real decreto que eleve el límite de inversión en distribución [2]; en julio, en que las actividades reguladas ya dan cerca del 50 % del EBITDA y en que la recompra va según el calendario (1.100 M ejecutados y un nuevo tramo de 500 M) [13]. Lo que no despejó: cuánto del salto del semestre es repetible (la propia empresa admite impactos extraordinarios positivos) y qué pasa con la inversión en redes si el decreto no llega. Fue además la primera presentación del nuevo consejero delegado, Gianni Vittorio Armani, que sustituyó a José Bogas el 28-abr-2026. Los semestres de 2S24 y 2S25 se obtienen restando el primer semestre del año; el EBITDA del 1S25 (2.700 M) se deriva del +20 % del 1S26.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4"/>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p>
      <w:pPr>
        <w:pStyle w:val="Nota"/>
        <w:spacing w:after="100"/>
      </w:pPr>
      <w:r>
        <w:t xml:space="preserve">Días de inventario y de pago calculados sobre costes operativos de caja (ingresos − EBITDA), por ser una cuenta por naturaleza.</w:t>
      </w:r>
    </w:p>
    <w:p>
      <w:pPr>
        <w:spacing w:after="100"/>
      </w:pPr>
      <w:r>
        <w:t xml:space="preserve">La deuda financiera neta pasó de 6.853 M en 2020 a 8.806 M en 2021 y a ≈10.900 M en 2022 (garantías y circulante de la crisis de precios) [7, 22], bajó a 10.400 M en 2023 [7] y a 9.300 M en 2024 [10], y volvió a subir a 10.110 M en 2025 [17] y a 10.305 M en junio de 2026 [13] por la recompra y el dividendo. El apalancamiento sobre EBITDA cayó de 2,8 veces en 2023 [9] a 1,8 veces en 2024-2025 y 1,6 veces en junio de 2026 [13]; el coste medio de la deuda, al 3,2 % [13]. La deuda financiera del histórico es la deuda neta de la empresa más la caja cuando se conoce (2024-2025); 2021-2023 solo como deuda neta. Incluye los arrendamientos, por eso esa columna va a cero.</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2021-2025: FCF </w:t>
      </w:r>
      <w:r>
        <w:rPr>
          <w:b/>
          <w:bCs/>
        </w:rPr>
        <w:t xml:space="preserve">6.420</w:t>
      </w:r>
      <w:r>
        <w:t xml:space="preserve">, conversión </w:t>
      </w:r>
      <w:r>
        <w:rPr>
          <w:b/>
          <w:bCs/>
        </w:rPr>
        <w:t xml:space="preserve">73 %</w:t>
      </w:r>
      <w:r>
        <w:t xml:space="preserve"> del beneficio neto; adquisiciones 0, dividendos 0, recompras 0.</w:t>
      </w:r>
    </w:p>
    <w:p>
      <w:pPr>
        <w:spacing w:after="100"/>
      </w:pPr>
      <w:r>
        <w:t xml:space="preserve">El flujo operativo fue de 2.621 M en 2021, 1.672 M en 2022 (garantías y circulante de la crisis energética), 4.697 M en 2023 (devolución de ese circulante), 3.567 M en 2024 y 4.051 M en 2025 [5, 10]; en los doce meses a junio de 2026, 3.967 M [5]. La inversión del estado de flujos según Stock Analysis (1.844 M en 2025) es menor que la inversión bruta que comunica la empresa (≈3.200 M en 2025, el 77 % en redes y renovables) [5, 15], porque la segunda incluye intangibles, costes de captación de clientes y la inversión financiada por terceros: el DCF usa la cifra de la empresa y del plan (10.600 M en 2026-2028) [2], no la del proveedor. Con la inversión del plan, la caja libre después de dividendos queda cerca de cero y la recompra se financia con deuda, como muestra la subida de la deuda neta en 2025-2026.</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No se pudieron abrir las cuentas auditadas (solo búsqueda web), así que no hay lectura propia de las notas. Lo que sí se ve: (1) la empresa gestiona con un beneficio «ordinario» que excluye extraordinarios en ambos sentidos (laudo del gas en 2023, deterioros en 2021 y 2025), con diferencias de 100-470 M al año frente al contable; (2) el EBITDA de 2022-2023 está movido por el gas y por el gravamen temporal, y no es comparable; (3) el balance encoge de 50.067 M en 2022 a 37.482 M en 2025 al deshacerse los derivados y garantías de la crisis [4]. Los indicadores del motor (Altman, Piotroski, Beneish) se calculan con huecos de circulante y deben leerse con cautela en una eléctrica con derivados de energía.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ordinario frente a contable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reparte sobre el ordinario; la diferencia fue de −467 M en 2021 y de −153 M en 2025 [2, 8, 15].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del estado de flujos muy inferior a la comunicada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1.844 M frente a ≈3.200 M en 2025: diferencia de perímetro (intangibles, captación de clientes), no un problema contable, pero la caja libre de los agregadores sale inflada [5, 15].</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23,4 % · </w:t>
      </w:r>
      <w:r>
        <w:rPr>
          <w:b/>
          <w:bCs/>
        </w:rPr>
        <w:t xml:space="preserve">WACC</w:t>
      </w:r>
      <w:r>
        <w:t xml:space="preserve">: 6,2 %.</w:t>
      </w:r>
    </w:p>
    <w:p>
      <w:pPr>
        <w:spacing w:after="100"/>
      </w:pPr>
      <w:r>
        <w:t xml:space="preserve">El ROIC del último ejercicio es del 13,4 % frente a un WACC del 6,18 %: crea valor con holgura, unos 7 puntos. Hay que leerlo con cautela: el capital invertido sale del patrimonio y la deuda neta que publican los agregadores [4, 6, 26], sin el circulante comercial ni las provisiones, y el balance encogió de 50.067 M en 2022 a 37.482 M en 2025 al deshacerse las garantías de la crisis de precios [4]. El ROE del 23,6 % lo infla además la recompra financiada con deuda. El ROIC incremental histórico (23,4 %) mide sobre todo la recuperación del beneficio tras 2023, no la rentabilidad de la inversión nueva: la red cobra el 6,58 % sobre su base de activos [27], así que el capital nuevo en distribución rinde cerca de ese nivel antes de impuestos, por debajo del ROIC medio. Por eso crecer en redes mantiene el valor, pero no lo multiplica.</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195 M a diciembre de 2025 [4]; la empresa se apoya en líneas comprometidas y en la financiación intragrupo de Enel, cuyo importe disponible no aparece en las fuentes consultadas.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 A-2, perspectiva positiva (reafirmado el 21-mar-2026, tras el plan 2026-2028)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Endesa tiene provisiones relevantes que no son deuda financiera pero se le parecen: los planes de reducción de plantilla (expedientes y acuerdos de suspensión de contrato), las obligaciones por pensiones y el desmantelamiento de las centrales nucleares y térmicas. Las cuentas que las cuantifican no se pudieron abrir en este entorno, así que el puente no las suma y lo dice como hueco. S&amp;P avisa de que el colchón financiero se estrecha por la inversión y la remuneración al accionista (dividendo con pay-out ≥ 70 % y recompra de 2.000 M), aunque mantiene la perspectiva positiva [19].</w:t>
      </w:r>
    </w:p>
    <w:p>
      <w:pPr>
        <w:pStyle w:val="Heading1"/>
      </w:pPr>
      <w:r>
        <w:t xml:space="preserve">12. Asignación de capital</w:t>
      </w:r>
    </w:p>
    <w:p>
      <w:pPr>
        <w:pStyle w:val="Confianza"/>
        <w:spacing w:after="100"/>
      </w:pPr>
      <w:r>
        <w:t xml:space="preserve">Confianza: Media</w:t>
      </w:r>
    </w:p>
    <w:p>
      <w:pPr>
        <w:spacing w:after="100"/>
      </w:pPr>
      <w:r>
        <w:t xml:space="preserve">Pay-out mínimo del 70 % del beneficio neto ordinario en 2026-2028, con un crecimiento del dividendo por acción de en torno al 4 % anual [2, 24]; con cargo a 2025 se repartieron 1,584 € por acción (0,50 a cuenta en enero y 1,084 complementario el 10-jul-2026), un 20 % más que en 2024 [25]. Recompra de 2.000 M hasta 2027 en tramos de 500 M: 1.100 M ejecutados a junio de 2026 y un nuevo tramo de 500 M lanzado [13]; un sexto tramo de 500 M está anunciado, sujeto a la junta. Las acciones compradas se amortizan: 17,0 M en marzo de 2026 (capital de 1.041,7 M de acciones) [21] y la reducción de los tramos tercero y cuarto acordada el 29-sep-2026 (hasta 87,97 M de acciones autorizadas) [20]. Apalancamiento máximo de 2,5 veces la deuda neta sobre EBITDA.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asignación de capital de los últimos dos años ha sido favorable al accionista: dividendo +20 % en 2025 y una recompra del 4-5 % del capital financiada con deuda, a la vez que la inversión en redes sube. El coste es la holgura del balance (deuda neta de 9.300 M a 10.305 M en 18 meses) [10, 13]. El motor no dispone de los dividendos pagados por año (hueco), así que el acumulado de usos de la caja sale incompleto.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Gianni Vittorio Armani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global de Enel Grids and Innovation desde julio de 2023 y consejero de Endesa desde 2023; nombrado por unanimidad el 28-abr-2026 a propuesta del accionista de control [38, 39]. Antes dirigió Terna y ANAS en Italia. Sin historial medible todavía en el cargo.</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Sánchez-Calero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Catedrático de Derecho Mercantil y consejero independiente; presidía también la Comisión de Nombramientos y Retribuciones en 2024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José Damián Bogas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(otro externo); consejero delegado 2014-2026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Doce años como consejero delegado: llevó a Endesa de la venta de Latinoamérica a la reorientación hacia redes; dejó el cargo en la junta de 2026 y sigue como consejero externo [39, 40].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4.900-5.200 M; beneficio ordinario 1.600-1.700 M [44]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5.293 M; ordinario 1.993 M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5.400-5.600 M; beneficio ordinario 1.900-2.000 M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5.756 M; ordinario 2.351 M [2,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ordinario 2.300-2.400 M (feb), elevado a &gt; 2.400 M (jul)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1.480 M en el 1S26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ha batido con holgura las guías de 2024 y 2025 (ordinario un 17 % y un 18 % por encima del techo), pero las guías se fijaban con margen. El relevo de Bogas lo decidió Enel, que eligió a un directivo propio de redes: es coherente con la estrategia, pero subraya que la cúpula responde al accionista de control [39, 43].</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Sánchez-Calero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(presidente en 2024)</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Gianni Vittorio Armani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Damián Bogas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Angela Eliseo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 Muñoz Merino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Enel S.p.A.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 forma pasiva con la amortización de las acciones recompradas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(recompra pendiente de amortizar)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Reducción de capital de los tramos tercero y cuarto acordada el 29-sep-2026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4" name="Gráfico 14"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 2026 votó el informe anual de remuneraciones, la política 2026-2029 y un incentivo estratégico 2026-2028 [41]; los porcentajes de voto y las métricas del variable no se pudieron leer en este entorno.</w:t>
      </w:r>
    </w:p>
    <w:p>
      <w:pPr>
        <w:pStyle w:val="Heading2"/>
      </w:pPr>
      <w:r>
        <w:t xml:space="preserve">Operaciones vinculadas, estructura de control y defensas</w:t>
      </w:r>
    </w:p>
    <w:p>
      <w:pPr>
        <w:spacing w:after="100"/>
      </w:pPr>
      <w:r>
        <w:t xml:space="preserve">Enel controla el 70,1 % y nombra de hecho al consejero delegado (Armani salió de su división de redes) [19, 38]. Las operaciones con Enel son recurrentes y relevantes: compras de gas y combustible, servicios de tecnología y financiación intragrupo; la comisión de auditoría las revisa, pero el minoritario depende de esa supervisión. No hay límites de voto ni clases de acciones. La recompra de 2.000 M concentra el capital en manos de Enel sin que pague nada; una exclusión de bolsa a medio plazo no está anunciada, pero es la lectura natural de esa dinámica.</w:t>
      </w:r>
    </w:p>
    <w:p>
      <w:pPr>
        <w:pStyle w:val="Heading2"/>
      </w:pPr>
      <w:r>
        <w:t xml:space="preserve">Señales de alerta</w:t>
      </w:r>
    </w:p>
    <w:p>
      <w:pPr>
        <w:pStyle w:val="ListParagraph"/>
        <w:numPr>
          <w:ilvl w:val="0"/>
          <w:numId w:val="2"/>
        </w:numPr>
        <w:spacing w:after="60"/>
      </w:pPr>
      <w:r>
        <w:t xml:space="preserve">Relevo del consejero delegado decidido por el accionista de control (abril de 2026) [39].</w:t>
      </w:r>
    </w:p>
    <w:p>
      <w:pPr>
        <w:pStyle w:val="ListParagraph"/>
        <w:numPr>
          <w:ilvl w:val="0"/>
          <w:numId w:val="2"/>
        </w:numPr>
        <w:spacing w:after="60"/>
      </w:pPr>
      <w:r>
        <w:t xml:space="preserve">Operaciones vinculadas recurrentes con Enel (gas, servicios, financiación).</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Plan 2026-2028 (24-feb-2026): inversión bruta de 10.600 M (5.500 M en redes, condicionados a un real decreto que eleve el límite de inversión), EBITDA de 6.200-6.500 M y beneficio ordinario de 2.500-2.600 M en 2028, pay-out ≥ 70 % y dividendo +≈4 % anual, recompra de 2.000 M [2, 54]. Guía de 2026: beneficio ordinario elevado a «más de 2.400 M» el 29-jul-2026, desde 2.300-2.400 M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(ventas y EBITDA; BPA = precio de 41,40 € ÷ PER de 17,6x, 21-ago-2026) [50]; Simply Wall St: 2,33 €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(BPA implícito en el PER de 17,6x) [50]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(BPA implícito en el PER de 17,3x) [50]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 13 /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45,00</w:t>
            </w:r>
          </w:p>
        </w:tc>
      </w:tr>
    </w:tbl>
    <w:p>
      <w:pPr>
        <w:spacing w:after="160" w:before="0"/>
      </w:pPr>
    </w:p>
    <w:p>
      <w:pPr>
        <w:pStyle w:val="Heading2"/>
      </w:pPr>
      <w:r>
        <w:t xml:space="preserve">Revisiones de estimaciones</w:t>
      </w:r>
    </w:p>
    <w:p>
      <w:pPr>
        <w:spacing w:after="100"/>
      </w:pPr>
      <w:r>
        <w:t xml:space="preserve">Los objetivos han subido con el precio, pero menos: tras el plan de febrero los analistas elevaron objetivos [54]; en verano Jefferies subió el suyo a 35 € (mantener) y BNP Paribas pasó a neutral con 34 € [53]; Bankinter tiene 45 € (comprar) [52]. El objetivo medio es de 35,71 € en Investing (23 analistas: 1 comprar, 13 mantener, 9 vender) [48] y de 35,97 € en MarketScreener («Underperform») [49]. El BPA de 2026 del consenso subió de 2,29 € a 2,33 € tras el 1S26 [51]. Solo hay una fuente de estimaciones completas (MarketScreener); el BPA se deduce de su PER y su precio.</w:t>
      </w:r>
    </w:p>
    <w:p>
      <w:pPr>
        <w:pStyle w:val="Heading1"/>
      </w:pPr>
      <w:r>
        <w:t xml:space="preserve">16. Comportamiento en bolsa</w:t>
      </w:r>
    </w:p>
    <w:p>
      <w:pPr>
        <w:pStyle w:val="Confianza"/>
        <w:spacing w:after="100"/>
      </w:pPr>
      <w:r>
        <w:t xml:space="preserve">Confianza: Baja</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19,6 %</w:t>
            </w:r>
          </w:p>
        </w:tc>
      </w:tr>
    </w:tbl>
    <w:p>
      <w:pPr>
        <w:spacing w:after="160" w:before="0"/>
      </w:pPr>
    </w:p>
    <w:p>
      <w:pPr>
        <w:spacing w:after="100"/>
      </w:pPr>
      <w:r>
        <w:t xml:space="preserve">La acción ha pasado de ≈21 € a cierre de 2024 (deducido de los 29 € y +37,5 % en lo que iba de 2025 en octubre de ese año) [64] a ≈31 € a cierre de 2025 (38,83 € con casi +25 % en el año en julio de 2026) [63] y a 43,03 € hoy [46]: +100 % en 22 meses, más que duplicando con el dividendo. Lo explican el beneficio ordinario (+18 % en 2025 y +42 % en el 1S26), la recompra de 2.000 M, la subida de la tasa regulada de redes y la prórroga de Almaraz. Cotiza en máximos del año (mínimo de 52 semanas, 29,29 €) [46, 65]. Beta a 5 años de 0,52-0,66 según la línea cotizada [57]; volatilidad anual del 19,6 % (julio de 2026) [63].</w:t>
      </w:r>
    </w:p>
    <w:p>
      <w:pPr>
        <w:pStyle w:val="Heading1"/>
      </w:pPr>
      <w:r>
        <w:t xml:space="preserve">17. Múltiplos frente a su historia</w:t>
      </w:r>
    </w:p>
    <w:p>
      <w:pPr>
        <w:pStyle w:val="Confianza"/>
        <w:spacing w:after="100"/>
      </w:pPr>
      <w:r>
        <w:t xml:space="preserve">Confianza: Baja</w:t>
      </w:r>
    </w:p>
    <w:p>
      <w:pPr>
        <w:spacing w:after="160" w:before="0"/>
      </w:pPr>
    </w:p>
    <w:p>
      <w:pPr>
        <w:spacing w:after="100"/>
      </w:pPr>
      <w:r>
        <w:t xml:space="preserve">Solo hay dos cierres de ejercicio fiables, estimados desde rentabilidades publicadas: ≈21,1 € en 2024 (29 € en octubre de 2025 con +37,5 % en el año) [64] y ≈31,1 € en 2025 (38,83 € en julio de 2026 con casi +25 % en el año) [63]; el cierre del 12-oct-2026 fue de 42,70 € [47]. Con el BPA ordinario, el PER de cierre fue de ≈11,2x en 2024 y ≈13,8x en 2025; hoy, 43,03 € sobre el BPA de 2026 del consenso (2,35 €) son 18,3x. La media de diez años del ADR que publica Wisesheets (18,6x) está distorsionada por 2019 y 2023, años de beneficio hundido. El salto de múltiplo es el centro de la tesis: el mercado paga hoy por Endesa como por una red regulada, y la mitad del EBITDA sigue siendo liberalizado.</w:t>
      </w:r>
    </w:p>
    <w:p>
      <w:pPr>
        <w:pStyle w:val="Heading1"/>
      </w:pPr>
      <w:r>
        <w:t xml:space="preserve">18. Comparables cotizados</w:t>
      </w:r>
    </w:p>
    <w:p>
      <w:pPr>
        <w:pStyle w:val="Confianza"/>
        <w:spacing w:after="100"/>
      </w:pPr>
      <w:r>
        <w:t xml:space="preserve">Confianza: Baja</w:t>
      </w:r>
    </w:p>
    <w:p>
      <w:pPr>
        <w:spacing w:after="100"/>
      </w:pPr>
      <w:r>
        <w:t xml:space="preserve">Eléctricas integradas europeas con redes reguladas y generación (Iberdrola, Enel, EDP, Naturgy, Engie, E.ON, SSE) y una red pura española (Redeia) como referencia del múltiplo regulado. Naturgy y Redeia se toman del informe de Enagás del 7-oct-2026 de este repositorio [58]; el resto solo con el PER previsto de agregadores con fechas distintas (mayo-septiembre de 2026), porque en este entorno no se pudieron abrir las fichas de cada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Endesa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Iberdrola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Naturgy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Engie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 / 14,9x / 16,5x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6" name="Gráfico 16"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La mediana del PER de los próximos 12 meses de las ocho eléctricas es de 14,9x (13,8x-16,5x entre cuartiles), y Endesa cotiza a 18,3x el BPA de consenso de 2026: con una prima del ≈23 % frente a las integradas europeas y por encima incluso de Redeia (15,9x), que es una red pura [58]. Solo Iberdrola, con un PER previsto de ≈19,6x según MarketScreener, cotiza más cara [60]; Enel, su matriz, a ≈13,4x [61], Engie a 13,9x [59] y SSE a 13,5x [62]. El valor implícito por la mediana es de 35,02 € (−18,6 %). La prima solo se justificaría si Endesa creciera más o tuviera más peso regulado, y no es así: su BPA crece un 2-4 % al año en el plan y la mitad del EBITDA sigue siendo generación y comercialización [1]. Los PER de seis de los ocho comparables vienen de agregadores con fechas distintas (mayo-septiembre de 2026), por eso el peso de este método es del 20 %.</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casi planos: +2,2 % en 2026e (fijo: 1S26 publicado, ventas de 10.995 M, +1,1 %) [1], −0,8 % en 2027e y +1,0 % en 2028e, en línea con el consenso (21.903 / 21.722 / 21.909 M) [50]; después, +1,5-2 % con la demanda (+2,8 % en 2025, plana en 2026) [31, 32] y la inflación. Las ventas de una eléctrica siguen al precio de la energía, que es una transferencia: lo que mueve el valor es el margen y la base regulada.</w:t>
      </w:r>
    </w:p>
    <w:p>
      <w:pPr>
        <w:keepNext/>
        <w:spacing w:after="100"/>
      </w:pPr>
      <w:r>
        <w:rPr>
          <w:b/>
          <w:bCs/>
        </w:rPr>
        <w:t xml:space="preserve">Márgenes.</w:t>
      </w:r>
    </w:p>
    <w:p>
      <w:pPr>
        <w:spacing w:after="100"/>
      </w:pPr>
      <w:r>
        <w:t xml:space="preserve">Margen EBITDA del 27,6 % en 2026e (≈6.045 M, frente a 6.002 M del consenso y 6.296 M de los doce meses a junio) [1, 50], 28,0 % en 2027e y 28,6 % en 2028e (6.274 M, en la parte baja de la guía de 6.200-6.500 M) [2]. Después baja al 27,5 % por el cierre de Almaraz en junio de 2030 [29], la canibalización solar de los precios y una revisión regulatoria en 2032. El margen de 2025 fue del 26,9 % y el de 2022-2023 está distorsionado por la crisis del gas.</w:t>
      </w:r>
    </w:p>
    <w:p>
      <w:pPr>
        <w:keepNext/>
        <w:spacing w:after="100"/>
      </w:pPr>
      <w:r>
        <w:rPr>
          <w:b/>
          <w:bCs/>
        </w:rPr>
        <w:t xml:space="preserve">Inversión y circulante.</w:t>
      </w:r>
    </w:p>
    <w:p>
      <w:pPr>
        <w:spacing w:after="100"/>
      </w:pPr>
      <w:r>
        <w:t xml:space="preserve">Inversión del 16 % de las ventas en 2026-2028 (≈3.500 M al año, el plan de 10.600 M) [2, 33], que baja al 12,5 % desde 2032, por encima de la amortización (12 %) en el terminal. No se usa la inversión del estado de flujos de los agregadores (1.844 M en 2025) porque no recoge intangibles ni la captación de clientes [5]. Circulante en cero por falta de datos.</w:t>
      </w:r>
    </w:p>
    <w:p>
      <w:pPr>
        <w:keepNext/>
        <w:spacing w:after="100"/>
      </w:pPr>
      <w:r>
        <w:rPr>
          <w:b/>
          <w:bCs/>
        </w:rPr>
        <w:t xml:space="preserve">Coste del capital.</w:t>
      </w:r>
    </w:p>
    <w:p>
      <w:pPr>
        <w:spacing w:after="100"/>
      </w:pPr>
      <w:r>
        <w:t xml:space="preserve">Bund a 10 años del 3,53 % (12-oct-2026) [55]; beta de 0,65, en el rango de 0,52-0,66 de Yahoo según la línea cotizada [57]; prima de mercado del 5,5 %; coste de la deuda antes de impuestos del 3,3 % (el medio de Endesa es del 3,2 %) [13]; peso de la deuda del 20 %, a valor de mercado. WACC resultante del 6,18 %. Sin prima país: vende en España, pero el Bund ya es la referencia y el rating es BBB con perspectiva positiva [19].</w:t>
      </w:r>
    </w:p>
    <w:p>
      <w:pPr>
        <w:keepNext/>
        <w:spacing w:after="100"/>
      </w:pPr>
      <w:r>
        <w:rPr>
          <w:b/>
          <w:bCs/>
        </w:rPr>
        <w:t xml:space="preserve">Valor terminal.</w:t>
      </w:r>
    </w:p>
    <w:p>
      <w:pPr>
        <w:spacing w:after="100"/>
      </w:pPr>
      <w:r>
        <w:t xml:space="preserve">Crecimiento a perpetuidad del 2,0 %, la inflación esperada en euros, por debajo de la tasa libre menos medio punto. El valor terminal pesa el 71 % del DCF. El múltiplo de salida de referencia (8,5x EBITDA) queda cerca del EV/EBITDA actual de 8,7x.</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4.610 M (17 %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(ROIC 13,4 %)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(histórico: 23,4 %)</w:t>
            </w:r>
          </w:p>
        </w:tc>
      </w:tr>
    </w:tbl>
    <w:p>
      <w:pPr>
        <w:spacing w:after="160" w:before="0"/>
      </w:pPr>
    </w:p>
    <w:p>
      <w:pPr>
        <w:spacing w:after="100"/>
      </w:pPr>
      <w:r>
        <w:t xml:space="preserve">La proyección reinvierte el 17 % del NOPAT. Con el ROIC del último ejercicio (13,4 %), eso financia un crecimiento del 2,2 % anual, frente al 1,5 % de ingresos proyectado. Supone que el capital nuevo rinde un 7,5 %, frente a un ROIC incremental histórico del 23,4 %.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demanda y clientes estables; precio: tarifas de redes con la nueva tasa del 6,58 % [27]. Coincide con el consenso [50].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mayorista más bajo (normalización tras 2026) que compensa la subida de la red; el consenso también da ventas a la baja [50].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regulada mayor por la inversión del plan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Electrificación y red; inflación.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Almaraz cierra en junio de 2030: menos energía propia, compensada en ventas por la compra en el mercado [29].</w:t>
            </w:r>
          </w:p>
        </w:tc>
      </w:tr>
    </w:tbl>
    <w:p>
      <w:pPr>
        <w:spacing w:after="160" w:before="0"/>
      </w:pPr>
    </w:p>
    <w:p>
      <w:pPr>
        <w:spacing w:after="100"/>
      </w:pPr>
      <w:r>
        <w:t xml:space="preserve">El crecimiento proyectado es bajo (1,5 % de ingresos al año) y la reinversión lo financia de sobra: el 17 % del NOPAT reinvertido al ROIC actual da un 2,2 %, y la proyección supone que el capital nuevo rinde un 7,5 %, muy por debajo del incremental histórico (23,4 %) y cerca del 6,58 % regulado de la red [27]. No se usa la prueba de cuota (mercado final en null): la cuota disponible es de 2019 y de un solo negocio [34]. La calidad sostiene la proyección porque la proyección no pide casi nada: la duda no es el crecimiento sino el múltiplo.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(base: 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27,4 % (base: 27,5 %)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 (WACC: 6,2 %)</w:t>
            </w:r>
          </w:p>
        </w:tc>
      </w:tr>
    </w:tbl>
    <w:p>
      <w:pPr>
        <w:spacing w:after="160" w:before="0"/>
      </w:pPr>
    </w:p>
    <w:p>
      <w:pPr>
        <w:spacing w:after="100"/>
      </w:pPr>
      <w:r>
        <w:t xml:space="preserve">El DCF da 43,36 € por acción, un 0,8 % sobre el precio, con un WACC del 6,18 % y un valor terminal que pesa el 71 %. El DCF inverso dice que el precio descuenta un crecimiento del 1,4 % anual en 2027-2035 con un margen del 27,4 %, prácticamente nuestro caso base (1,5 % y 27,5 %), y una rentabilidad implícita del 6,2 %, igual a nuestro WACC. Es decir, el precio ya incorpora el plan 2026-2028 completo, con la red creciendo y Almaraz hasta 2030: no queda margen de seguridad. La sensibilidad es alta: medio punto más de WACC baja el valor a 37,41 €, y medio punto menos lo sube a 50,95 €. Con la prima implícita del mercado (4,2 %) el valor sube a 54,13 €: Endesa solo parece barata si se acepta que una eléctrica con la mitad del negocio liberalizado merece la prima de riesgo de hoy del S&amp;P 500, que está en mínimos.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precios mayoristas caen con la solar y la retribución de redes no compensa: el margen EBITDA vuelve al 25-26 % de 2023-2025 y el real decreto de inversión no llega, como en 2023 el laudo del gas recortó el EBITDA un 32 % [7].</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el plan con algo de holgura a la baja: EBITDA de ≈6.270 M en 2028, beneficio ordinario de ≈2.420 M, dividendo con pay-out del 70 % y la recompra de 2.000 M terminada.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Llega el real decreto, la red crece por encima del plan y los márgenes de generación aguantan con la nuclear prorrogada: EBITDA en la parte alta de la guía (≈6.560 M en 2028).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EUR) · precio actual 43,0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41,26 EUR (-4,1 %).</w:t>
      </w:r>
    </w:p>
    <w:p>
      <w:pPr>
        <w:spacing w:after="100"/>
      </w:pPr>
      <w:r>
        <w:t xml:space="preserve">La asimetría es desfavorable: el alcista gana un 14,9 % y el bajista pierde un 33,0 %, con una ratio de 0,45x. El bajista es verosímil: en 2023 el EBITDA cayó a 3.777 M [7]. El alcista está limitado porque el precio ya descuenta el caso base completo. Con la prima implícita del mercado la asimetría pasa a 2,54x, pero eso depende del coste de capital, no del negocio.</w:t>
      </w:r>
    </w:p>
    <w:p>
      <w:pPr>
        <w:pStyle w:val="Heading1"/>
      </w:pPr>
      <w:r>
        <w:t xml:space="preserve">22. Suma de partes</w:t>
      </w:r>
    </w:p>
    <w:p>
      <w:pPr>
        <w:pStyle w:val="Confianza"/>
        <w:spacing w:after="100"/>
      </w:pPr>
      <w:r>
        <w:t xml:space="preserve">Confianza: Baja</w:t>
      </w:r>
    </w:p>
    <w:p>
      <w:pPr>
        <w:spacing w:after="100"/>
      </w:pPr>
      <w:r>
        <w:t xml:space="preserve">No se hace: falta el desglose de EBITDA por negocio con histórico (hueco de la sección de negocio). Solo se conoce el de redes del 1S26 (1.200 M, 36 % del total) [1].</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EUR) · precio actual 43,0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41,06 EUR (-4,6 % sobre 43,03).</w:t>
      </w:r>
    </w:p>
    <w:p>
      <w:pPr>
        <w:spacing w:after="100"/>
      </w:pPr>
      <w:r>
        <w:t xml:space="preserve">Pesos: DCF 50 %, escenarios 30 % y comparables 20 %. El DCF es el método más fiable para una eléctrica con flujos regulados y un plan de inversión explícito, pero es muy sensible al WACC (±0,5 puntos mueven el valor entre 34 € y 58 €). Los comparables pesan poco porque seis de los ocho PER son de agregadores con fechas distintas. No hay transacciones con múltiplo (hueco) ni RAB publicada para el EV/RAB. La dispersión es amplia: comparables 32-39 €, DCF 34-58 €, escenarios 29-49 €; el valor ponderado (41,06 €) queda un 4,6 % por debajo del precio. Solo el DCF con la prima implícita del mercado (54,13 €) justifica comprar.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(18.3x) ÷ 1.1 (tope: la mediana de 5 años, 10.2x,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spacing w:after="100"/>
      </w:pPr>
      <w:r>
        <w:rPr>
          <w:b/>
          <w:bCs/>
        </w:rPr>
        <w:t xml:space="preserve">Objetivo a 12 meses (ponderado):</w:t>
      </w:r>
      <w:r>
        <w:t xml:space="preserve"> 35,58 EUR · rentabilidad -13,6 % (base -2,2 %) · señal Vender.</w:t>
      </w:r>
    </w:p>
    <w:p>
      <w:pPr>
        <w:spacing w:after="100"/>
      </w:pPr>
      <w:r>
        <w:t xml:space="preserve">Para comparar, con la regla v2 (historia al cierre, mismo precio): 11,2x / 12,5x / 14,9x, -24,6 % Vender; con el tope anterior del base (×1,3, 14-oct mediodía): -23,4 % Vender. Decide la regla vigente (v3 con tope ×1,1; METODO-VIGENTE.md).</w:t>
      </w:r>
    </w:p>
    <w:p>
      <w:pPr>
        <w:keepNext/>
        <w:spacing w:after="100"/>
      </w:pPr>
      <w:r>
        <w:rPr>
          <w:b/>
          <w:bCs/>
        </w:rPr>
        <w:t xml:space="preserve">Frente al consenso (solo contraste).</w:t>
      </w:r>
    </w:p>
    <w:p>
      <w:pPr>
        <w:spacing w:after="100"/>
      </w:pPr>
      <w:r>
        <w:t xml:space="preserve">Nuestro BPA base de 2028e (2,44 €) está un 2 % por encima del implícito en el consenso (2,39 €) [50] y un 4 % por debajo de la guía de la empresa (2.500-2.600 M de beneficio, 2,53-2,63 € con 990 M de acciones) [2]: no hay discrepancia de beneficio. La diferencia está en el múltiplo: nuestro base usa 12,5x (la mediana de los cierres de 2024-2025) frente a los ≈15x implícitos en el objetivo medio de 35,71 € [48]. Nuestro base (30,50 €) queda un 14,6 % por debajo de ese objetivo medio, y el objetivo medio, a su vez, un 17 % por debajo del precio.</w:t>
      </w:r>
    </w:p>
    <w:p>
      <w:pPr>
        <w:keepNext/>
        <w:spacing w:after="100"/>
      </w:pPr>
      <w:r>
        <w:rPr>
          <w:b/>
          <w:bCs/>
        </w:rPr>
        <w:t xml:space="preserve">Del valor intrínseco al objetivo a 12 meses.</w:t>
      </w:r>
    </w:p>
    <w:p>
      <w:pPr>
        <w:spacing w:after="100"/>
      </w:pPr>
      <w:r>
        <w:t xml:space="preserve">El objetivo a 12 meses (30,87 €) queda un 25 % por debajo del valor intrínseco (41,06 €) y del precio. Para cerrar esa distancia haría falta que el mercado mantuviera el PER de 18x de hoy, el más alto de su historia reciente, sin un catalizador que lo sostenga: los resultados del 3T (28-oct), el real decreto de redes y la recompra son ya conocidos. La regla común de múltiplos es exigente con Endesa porque solo hay dos cierres fiables (11,2x y 13,8x) y los dos son de antes del cambio de perfil; si el mercado consolida el múltiplo de las redes reguladas (15-16x), el base subiría a 37-39 €, todavía por debajo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de &gt; 2.400 M de beneficio ordinario; el mercado mirará la parte no recurrente del 1S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Real decreto que eleve el límite de inversión en distribución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Desbloquea los 5.500 M del plan en redes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a cuenta de 2026 (≈0,5 €)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del ≈3,7 %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actualización del plan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guía 2027-2029; posible nueva recompra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Sentencias sobre los recursos contra las circulares de la CNMC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de retribución de redes (6,58 %)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 la recompra de 2.000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Desaparece un comprador recurrente del valor (1.100 M ejecutados a junio) [13, 68]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Contracción del múltiplo hacia su historia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(objetivo a 12 meses base, PER de 12,5x)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peso regulado y dividendo creciente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del sector por debajo de 15x o Bund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precio mayorista por la solar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a precio fijo de nuclear e hidráulica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semestral por debajo del 25 %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Real decreto de inversión en redes que no llega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del 6,58 % ya fijada [27]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inversión en redes recortado en febrero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Fiscalidad y calendario nuclear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Almaraz prorrogada hasta 2030 [29]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la tasa de Enresa o nuevos impuestos autonómicos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 de interés con Enel (operaciones vinculadas, exclusión futura)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auditoría y CNMV</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en la financiación intragrupo o en el pay-out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 más estirado por la recompra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DN/EBITDA de 1,6x y BBB con perspectiva positiva [13,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DN/EBITDA por encima de 2,5x</w:t>
            </w:r>
          </w:p>
        </w:tc>
      </w:tr>
    </w:tbl>
    <w:p>
      <w:pPr>
        <w:spacing w:after="160" w:before="0"/>
      </w:pPr>
    </w:p>
    <w:p>
      <w:pPr>
        <w:pStyle w:val="Heading2"/>
      </w:pPr>
      <w:r>
        <w:t xml:space="preserve">Pre-mortem</w:t>
      </w:r>
    </w:p>
    <w:p>
      <w:pPr>
        <w:spacing w:after="100"/>
      </w:pPr>
      <w:r>
        <w:t xml:space="preserve">Octubre de 2029: la acción ha perdido un 40 %. Lo que pasó: en 2027 los precios mayoristas siguieron bajando con la solar y las baterías, y el margen de generación y comercialización volvió a los niveles de 2023-2025; el EBITDA de 2028 se quedó en 5.700 M, por debajo de la guía. A la vez, el Bund subió por encima del 4 % y las utilities perdieron su atractivo como bonos: el PER volvió a 12x, su nivel de 2024. La recompra terminó y Enel, con el 72 % tras las amortizaciones, dejó de tener incentivos para sostener la cotización. El real decreto de redes salió tarde y recortado. La señal que lo habría anticipado: un margen EBITDA semestral por debajo del 25 % en 2027 y una guía de 2027 sin crecimiento del beneficio ordinario.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que más afecta a las cifras: (1) la nuclear, que da energía sin CO₂ pero con tasas de residuos y un calendario de cierre que ya se ha movido una vez [29]; (2) la descarbonización de las islas (Canarias y Baleares), donde la generación térmica cobra por coste regulado; (3) la inversión en redes para la electrificación, que la taxonomía europea considera alineada.</w:t>
      </w:r>
    </w:p>
    <w:p>
      <w:pPr>
        <w:pStyle w:val="Heading2"/>
      </w:pPr>
      <w:r>
        <w:t xml:space="preserve">Controversias</w:t>
      </w:r>
    </w:p>
    <w:p>
      <w:pPr>
        <w:spacing w:after="100"/>
      </w:pPr>
      <w:r>
        <w:t xml:space="preserve">El laudo del contrato de gas con Sonatrach y el gravamen temporal recortaron el beneficio de 2023 a 742 M [7]. Endesa recurre las circulares de retribución de redes de la CNMC [28]. No se han encontrado sanciones relevantes recientes en las fuentes consultadas.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recurrente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EBITDA del 1S26 (3.240 M, +20 %) es no recurrente y qué esperan para el 2S?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&gt; 2.400 M implica un 2S más flojo que el 1S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inversión en redes harán si el real decreto no llega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5.500 M del plan dependen de él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más recompras tras los 2.000 M, o el exceso de caja irá a inversión?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ha sostenido la cotización (1.100 M a junio) [13].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objetivo de participación de Enel y descartan una exclusión de bolsa?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sube su participación sin coste [19].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suman las provisiones de plantilla, pensiones y desmantelamiento a junio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están en el puente; podrían restar 1-3 €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Nuclear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¿Pedirán la prórroga de Ascó y Vandellós? ¿Con qué condiciones fiscales?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Almaraz ya está prorrogada hasta 2030 [29].</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(hilo de seguimiento de Endesa)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hilo gira en torno a los comunicados de la recompra (compras semanales a ≈37 € en mayo), el sexto tramo de 500 M y el complementario de 1,084 €; el tono es de accionista de dividendo satisfecho, con dudas sobre si a estos precios compensa seguir comprando [70].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narrativas con valores razonables de 44,30 € (electrificación y redes), 35,42 € (rebajas de rating sectorial que limitan la inversión en redes) y 27,40 € (regulación y riesgos de red), frente a ≈41 € de cotización entonces [71, 72].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Webull / Simply Wall St (comentario de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1S26 el debate se centra en si el salto de beneficio justifica una valoración que ya consideran cara [73].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TipRanks vía Naga (indicador de sentimiento)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indicador agregado de sentimiento de los inversores particulares marca negativo [74].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Bolsamanía y Estrategias de Inversión (análisis técnico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Tendencia alcista de largo plazo, cotizando por encima de la resistencia de 41-42 €, con soporte lejano en ≈31 €; el consenso de 20 brokers da 2,60 sobre 5 [67, 75].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OCU Inversiones (consejo al pequeño inversor)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Cobrar el dividendo de julio y no ampliar a estos precios [76].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y recompra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en el fondo: pay-out ≥ 70 % y recompra de 2.000 M [2, 13]. Pero a 43 € la rentabilidad por dividendo baja a ≈3,8 %, por debajo del Bund más la prima de una eléctrica.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cara tras doblar en dos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le dan la razón: PER de ≈18x frente a 11-14x de cierre en 2024-2025 y objetivo medio de los analistas un 17 % por debajo [48].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redes (tasa del 6,58 %, real decreto de inversión)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tasa sube 100 pb, pero el plan de 5.500 M depende del real decreto [2, 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Almaraz y la nuclear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prórroga hasta 2030 ya está aprobada [29]: es un riesgo despejado, no un catalizador pendiente.</w:t>
            </w:r>
          </w:p>
        </w:tc>
      </w:tr>
    </w:tbl>
    <w:p>
      <w:pPr>
        <w:spacing w:after="160" w:before="0"/>
      </w:pPr>
    </w:p>
    <w:p>
      <w:pPr>
        <w:spacing w:after="100"/>
      </w:pPr>
      <w:r>
        <w:t xml:space="preserve">El particular español está contento con el dividendo y la recompra, y el foro no muestra euforia; pero los agregadores de sentimiento y las narrativas de Simply Wall St ya hablan de valoración exigente, en la misma línea que el consenso de analistas (9 de 23 en vender). No anticipa un riesgo que el informe no recoja: confirma que la discusión es el múltiplo, no el negocio.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76 (10 primarias); citas distintas en el texto: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7,5 % frente a un ROIC de 13,4 % y un incremental histórico de 23,4 %: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13,4 %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14, 18, 36,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clientes, proveedores, inmovilizado, intangibles y reservas 2021-2025; caja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en endesa.com y CNMV: no accesibles (solo búsqueda web); 2) Stock Analysis y TipRanks vía búsqueda: solo activo total, corriente, pasivo corriente y fondo de comercio; 3) Simply Wall St y Google Finance: solo patrimonio y caja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dividendos pagados, recompras y adquisiciones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de Stock Analysis vía búsqueda: el extracto se corta antes de la financiación; 2) Stockopedia: valores vacíos; 3) notas de prensa: solo dividendo por acción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vencimientos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no accesible; 2) presentación de resultados: no accesible; 3) prensa: solo coste medio (3,2 %)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no accesible; 2) IAGC: no accesible; 3) prensa: sin mención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minoritarios 2021-2024 (incluidos en impuestos) e impuestos separados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el extracto se corta antes de la línea de impuestos; 2) TipRanks: columnas ambiguas; 3) prensa: no los 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 5-8 años, TCAC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REE, balance eléctrico anual: no accesible; 2) búsqueda de demanda 2021-2024: solo 2025 y meses de 2026; 3) CNMC, informe de supervisión: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márgenes de los competidores en España; cuota actual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Iberdrola y Naturgy: no accesibles; 2) búsqueda de cuotas 2025: solo datos de 2019; 3) CNMC: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con histórico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y presentación de resultados: no accesibles; 2) búsqueda de EBITDA por negocio 2025: solo redes del 1S26; 3) prensa: sin desglose completo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Endesa: no accesible; 2) MSCI y Sustainalytics: no accesibles;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completo, comisiones, votos de remuneración, remuneración del consejero delegado e 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e IARC 2025 en CNMV y endesa.com: no accesibles; 2) resultados de la junta 2026 (PDF): no accesible, la búsqueda no da porcentajes; 3) prensa: solo nombramientos sueltos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compras de redes eléctricas en España y Europa con EV/RAB: sin cifras en los extractos; 2) informe de Enagás del repositorio: solo transacciones de gas; 3) prensa: operaciones sin múltiplo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precios de cierre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 Yahoo: sin red en este entorno; 2) búsqueda de cierres anuales en Bolsamanía e Investing: sin datos en los extractos; 3) Wisesheets y Digrin: PER del ADR sin serie anual limpia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por periodo, anuales, caída máxima, posición corta y volumen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 históricos: solo cotizaciones sueltas; 3) CNMV posiciones cortas: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capitalización, EV/EBITDA, crecimiento y deuda de Iberdrola, Enel, EDP, Engie, E.ON y SSE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de cada empresa: no accesible; 2) Stock Analysis vía búsqueda: sin fichas; 3) agregadores (ValueInvesting, Chartmill, Yahoo): solo PER previsto con fechas distintas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 activos regulada (RAB) de distribución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del plan 2026-2028: no accesible; 2) búsqueda de RAB de Endesa: sin cifra; 3) CNMC: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Seeking Alpha recientes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Stocktwits y Reddit sobre Endesa: sin hilos; 2) Seeking Alpha: último artículo de marzo de 2024; 3) comentarios de Investing: no aparecen en la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provisiones de plantilla, pensiones y desmantelamiento en el puente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semestral de junio de 2026 en la CNMV: no accesible; 2) informe anual 2025: no accesible; 3) prensa y agregadores: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primer semestre de 2026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Endesa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https://www.endesa.com/es/prensa/sala-de-prensa/noticias/informacion-economica/resultado-primer-semestre-2026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2025 y Plan Estratégico 2026-2028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Endesa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https://www.endesa.com/es/prensa/sala-de-prensa/noticias/informacion-economica/resultados-2025-plan-estrategico-2026-2028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(BME:ELE)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https://stockanalysis.com/quote/bme/ELE/financials/income-statement/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(BME:ELE)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https://stockanalysis.com/quote/bme/ELE/financials/balance-sheet/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(BME:ELE)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https://stockanalysis.com/quote/bme/ELE/financials/cash-flow-statement/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balance sheet (pasivo total y patrimonio)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https://www.tipranks.com/stocks/es:ele/financials/balance-sheet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recorta un 71 % sus ganancias en 2023, hasta 742 millones, por el laudo del gas y el impuesto extraordinario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 /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https://www.bolsamania.com/noticias_print/empresas/economia-amp-endesa-recorta-un-71-ganancias-en-2023-hasta-742-millones-por-impacto-de-laudo-del-gas-e-impuestazo--16341819.html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registra un beneficio neto ordinario de 1.902 millones en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Energías Renovables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https://www.energias-renovables.com/panorama/endesa-registra-un-beneficio-neto-ordinario-de-20220223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neto de 1.404 millones hasta septiembre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https://www.endesa.com/es/prensa/sala-de-prensa/noticias/informacion-economica/beneficio-neto-1404-millones-hasta-septiembre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gana 1.888 millones en 2024, un 154 % más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Mallorcadiario /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https://www.mallorcadiario.com/endesa-se-forra-gano-1888-millones-2024-154-por-ciento-mas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enero-septiembre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https://www.endesa.com/es/prensa/sala-de-prensa/noticias/informacion-economica/resultados-septiembre-2025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dispara un 41,2 % su beneficio hasta junio y eleva su previsión para el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https://www.estrategiasdeinversion.com/actualidad/noticias/bolsa-espana/endesa-dispara-un-412-su-beneficio-hasta-junio-n-938959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cierra el primer semestre con un beneficio de 1.470 millones (deuda neta y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Energías Renovables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https://www.energias-renovables.com/panorama/endesa-cierra-el-primer-semestre-con-un-20260729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recorta un 9 % sus ganancias a junio de 2024, hasta 800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Alicante Plaza /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https://alicanteplaza.es/alicanteplaza/endesarecortaun9susgananciasajuniohastalos800millonesperoreafirmaobjetivospara2024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Lucro da Endesa sobe 16,4 % em 2025 para 2.198 milhões de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RTP / Lusa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https://www.rtp.pt/noticias/economia/lucro-da-endesa-sobe-164-em-2025-para-2198-milhoes-de-euros_n1721205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en cifras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https://endesa.com/es/sobre-endesa/nuestro-negocio/cifras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Endesa's 2025 results beat guidance (net debt 10.1 bn, leverage 1.8x, cost of debt 3.3 %)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https://thecorner.eu/companies/endesas-results-show-solid-cash-generation-and-allow-year-guidance-to-be-reiterated/121356/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gana 1.394 millones en 2020 y propone un dividendo de 2,01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https://www.bolsamania.com/noticias/resultados-anuncios/endesa-gana-1394-millones-euros-2020-propone-dividendo-201-euros--7822439.html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mantiene la calificación BBB/A-2 de Endesa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https://www.merca2.es/2026/03/21/endesa-spglobal-calificacion-bbb-2361989/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reducción de capital por amortización de acciones propias (BORME-C-2026-5281)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BORME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https://www.boe.es/borme/dias/2026/10/01/pdfs/BORME-C-2026-5281.pdf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social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https://www.endesa.com/es/accionistas-e-inversores/la-accion/capital-social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incrementa su beneficio neto un 10 % (1S22: deuda neta 10.275 M; cierre 2021: 8.806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Energías Renovables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https://www.energias-renovables.com/panorama/endesa-incrementa-su-beneficio-neto-un-10-20220728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gana 2.541 millones en 2022, un 77 % más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Onda Vasca /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https://www.ondavasca.com/endesa-gana-2-541-millones-en-2022-un-77-mas/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análisis tras el plan 2026-2028 (recompra, dividendo)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https://www.r4.com/articulos-y-analisis/valores/endesa-incremento-de-la-inversion-en-redes-siendo-selectivos-en-renovables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paga hoy un dividendo de 1,084 euros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Finect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https://www.finect.com/usuario/davidcarmona/articulos/endesa-paga-hoy-un-dividendo-de-1084-euros-por-accion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estado de salud financiera (patrimonio 9,57 bn)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https://simplywall.st/stocks/es/utilities/bme-ele/endesa-shares/health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CNMC ejecuta un recorte sin precedentes (circulares de retribución de redes 2026-2031, tasa del 6,58 %)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Energías Renovables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https://www.energias-renovables.com/panorama/la-cnmc-ejecuta-un-recorte-sin-precedentes-20251223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peleará en los tribunales la regulación de la CNMC sobre las redes eléctricas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https://forbes.es/economia/879315/endesa-peleara-en-los-tribunales-la-regulacion-de-la-cnmc-sobre-las-redes-electricas/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Gobierno de España prorroga la central nuclear de Almaraz hasta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https://es.euronews.com/my-europe/2026/08/14/el-gobierno-de-espana-prorroga-la-central-nuclear-de-almaraz-hasta-2030-y-aplaza-su-cierre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CSN aprueba la prórroga de Almaraz hasta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Roams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https://roams.es/actualidad/energia/csn-aprueba-prorroga-almaraz-2030-gobierno-hasta-octubre-decidir/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demanda de electricidad hoy en España (REE: +2,8 %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Energías Renovables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https://www.energias-renovables.com/panorama/la-demanda-de-electricidad-hoy-en-espa-20260401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demanda nacional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Eléctrica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https://www.ree.es/sites/default/files/2026-07/0207_NP%20_Demanda_nacional_junio.pdf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invertirá 10.600 M hasta 2028, la mitad en redes de distribución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https://es.ara.cat/economia/energia/endesa-invertira-10-600-m-2028-mitad-ira-redes-distribucion_1_5657738.html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redujo en 2019 un 20 % su beneficio (cuotas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Energías Renovables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https://www.energias-renovables.com/panorama/endesa-redujo-en-2019-un-20-su-20200225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eléctricas advierten que la retribución a las redes de la CNMC compromete la electrificación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https://forbes.es/economia/821042/las-electricas-advierten-que-la-retribucion-a-las-redes-de-la-cnmc-compromete-la-electrificacion-del-pais/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 energético español: qué valores ofrecen más potencial, dividendo y crecimiento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CapitalBolsa (Bolsamanía)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https://www.bolsamania.com/capitalbolsa/noticias/recomendaciones/sector-energetico-espanol-que-valores-ofrecen-mas-potencial-dividendo-y-crecimiento--23203422.html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aceleran la inversión en redes siendo selectivos en renovables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https://www.r4.com/articulos-y-analisis/valores/endesa-aceleran-la-inversion-en-redes-siendo-selectivos-en-renovables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de Accionistas 2026 (nombramiento de Gianni Vittorio Armani)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https://www.endesa.com/es/prensa/sala-de-prensa/noticias/informacion-economica/junta-general-accionistas-2026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Bogas pone fin en abril a su etapa de consejero delegado de Endesa tras 12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 /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https://www.bolsamania.com/noticias_amp/empresas/economia-amp-bogas-pone-fin-en-abril-a-su-etapa-de-consejero-delegado-de-endesa-tras-12-anos-al-frente-de-la-electrica--22150504.html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prescinde de José Bogas tras 12 años como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Vozpópuli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https://www.vozpopuli.com/economia/energia/endesa-prescinde-de-jose-bogas-tras-12-anos-como-ceo-de-endesa.html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Ordinaria de Accionistas 2026 (orden del día y documentación)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https://www.endesa.com/es/accionistas-e-inversores/gobierno-corporativo/junta-general-ordinaria-de-accionistas-2026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aprueba una nueva composición de los comités de su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https://www.merca2.es/2024/06/03/endesa-nueva-composicion-comites-consejo-incorporacion-nuevos-consejeros-1695540/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Enel prepara el relevo de Bogas en Endesa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Objective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https://theobjective.com/economia/energia/2025-10-03/enel-relevo-bogas-endesa/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2024 y 2025 frente a lo logrado (resultados 9M24 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Alicante Plaza /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https://alicanteplaza.es/alicanteplaza/endesadisparaun326susgananciasaseptiembrehasta1404millones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convence: los analistas celebran unas guías que baten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https://www.bolsamania.com/noticias/empresas/endesa-convence-analistas-celebran-guias-baten-consenso-elevan-precios-objetivos--21823148.html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Endesa hoy en bolsa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https://www.rankia.com/acciones/endesa-ele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(ELE): datos históricos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https://www.investing.com/equities/endesa-historical-data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(ELE): consenso de 23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https://mx.investing.com/equities/endesa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S.A.: valoración y consenso (Underperform, objetivo medio 35,97 €)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https://www.marketscreener.com/quote/stock/ENDESA-S-A-69599/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S.A.: estimaciones (ventas, EBITDA, PER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https://uk.marketscreener.com/quote/stock/ENDESA-S-A-69599/valuation/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estimaciones tras el 1S26 (BPA 2026e 2,33 €)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https://www.webull.com/news/15326170454451200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Endesa (41,94 € a 2-oct-2026; capitalización 43.691 M; Bankinter, objetivo 45 €)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https://www.bolsamania.com/capitalbolsa/accion/ENDESA-1632486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Jefferies raises Endesa's target price ahead of results, but sees no upside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https://thecorner.eu/?p=126868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sube con fuerza tras sus cuentas y su Plan Estratégico: esto opinan los expertos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https://www.bolsamania.com/noticias_amp/analisis-fundamental/endesa-sube-fuerza-cuentas-plan-estrategico-opinan-expertos--21805406.html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(12-oct-2026), serie BBSIS (vía informes de ASML y Adyen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S.A. (ELEZF / ELE.MC): beta a 5 años mensual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https://ca.finance.yahoo.com/quote/ELEZF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Naturgy y Redeia del informe de Enagás de este repositorio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(informes/enagas-2026-10-07)</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informes/enagas-2026-10-07/datos-v3.json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 (ENGI.PA) Forward P/E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ValueInvesting.io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https://valueinvesting.io/ENGI.PA/metric/forward-pe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Iberdrola's grid ambitions power shares (PER previsto de MarketScreener)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Finimize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https://finimize.com/content/ibdsf-asset-snapshot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Utilities Sector Stocks in Europe (PER previsto de Enel, EDP y E.ON)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https://www.chartmill.com/stock/markets/europe/sector/234-utilities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SSE plc: Forward P/E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https://finance.yahoo.com/quote/SSEZY/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en la bolsa (38,83 € y casi +25 % en el año,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https://www.estrategiasdeinversion.com/analisis/los-brokers-recomiendan/recomendaciones-espana/una-accion-del-ibex-35-con-energia-para-pulverizar-n-916341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brilla en el Ibex 35 pero Jefferies enfría (≈29 € y +37,5 %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https://www.estrategiasdeinversion.com/actualidad/noticias/bolsa-espana/endesa-brilla-en-el-ibex-35-pero-jefferies-enfria-n-854231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(ELE.MC)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https://www.etoro.com/es/markets/ele.mc/stats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ADR (ELEZY) forecast: consensus rating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https://www.marketbeat.com/stocks/OTCMKTS/ELEZY/forecast/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consenso de 20 brokers (2,60 sobre 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https://www.estrategiasdeinversion.com/cotizacion/endesa-/analisis/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la recompra de acciones debería seguir apoyando la cotización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https://www.r4.com/articulos-y-analisis/valores/endesa-la-recompra-de-acciones-deberia-seguir-apoyando-la-cotizacion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(ELE.MC): fecha de resultados (28-oct-2026)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https://finance.yahoo.com/quote/ELE.MC/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Seguimiento de Endesa (ELE): resultados, noticias y dividendos (foro)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https://www.rankia.com/foros/bolsa/temas/2491364-seguimiento-endesa-ele-resultados-noticias-dividendos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narrativas de la comunidad (valores razonables 27,40 €, 35,42 € y 44,30 €)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https://simplywall.st/community/narratives/es/utilities/bme-ele/endesa-shares/yhar1qh0-downgraded-sector-ratings-will-limit-network-investment-upside-ahead/updates/10-analysts-have-modestly-increased-their-fair-value-price-targ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Narrativa: Spain energy regulation and grid risks will crush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https://simplywall.st/community/narratives/es/utilities/bme-ele/endesa-shares/yhar1qh0-spain-energy-regulation-and-grid-risks-will-crush-outlook-daqj</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Endesa (BME:ELE) Earnings Lift Puts Its Pricey Valuation Narrative In Focus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https://www.webull.com/news/15332745068160000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Acción de Endesa: sentimiento de los inversores (TipRanks)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https://naga.com/lat/instruments/ELE.re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Estas dos eléctricas del Ibex son un regalo técnico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https://www.bolsamania.com/noticias/analisis-tecnico/estas-dos-electricas-ibex-son-regalo-tecnico--21542525.html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de Endesa en julio: fechas, importe y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OCU Inversiones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https://www.ocu.org/inversiones/invertir/acciones/articulos/2026/06/dividendo-de-endesa-en-julio-fechas-importe-y-consejo</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74,1 %</w:t>
      </w:r>
      <w:r>
        <w:t xml:space="preserve"> · Secciones con menos del 60 % de campos cubiertos: </w:t>
      </w:r>
      <w:r>
        <w:rPr>
          <w:b/>
          <w:bCs/>
        </w:rPr>
        <w:t xml:space="preserve">capital, gobierno, transacciones, calidad, bolsa</w:t>
      </w:r>
      <w:r>
        <w:t xml:space="preserve"> · Generado el 14 oct 2026.</w:t>
      </w:r>
    </w:p>
    <w:p>
      <w:pPr>
        <w:pStyle w:val="Nota"/>
        <w:spacing w:after="100"/>
      </w:pPr>
      <w:r>
        <w:t xml:space="preserve">Análisis hecho desde la nube con la red limitada a la búsqueda web: endesa.com, la CNMV, los proveedores de datos y Yahoo no se pudieron abrir, así que las cifras salen de los extractos de búsqueda de las notas de prensa de la empresa, de Stock Analysis, TipRanks y MarketScreener y de la prensa financiera, cruzadas cuando fue posible; la confianza es menor que en un análisis normal y lo que no cuadró está en null y en los huecos. Precio: 43,03 € a media sesión del 14-oct-2026 (Rankia; el cierre del 12-oct fue de 42,70 €) [46, 47]. Acciones: ≈1.006 M, estimación propia: 1.041,7 M de capital tras la amortización de marzo [21], menos ≈29 M de los tramos tercero y cuarto de la recompra (1.000 M a un precio medio estimado de ≈34 €, cuya amortización se acordó el 29-sep) [20] y ≈6 M del quinto tramo; eToro da 41.590 M de capitalización a 40,42 € (≈1.029 M) [65]. La deuda neta de la empresa incluye los arrendamientos. El balance histórico solo tiene las líneas que publican los agregadores (sin circulante comercial), así que ROIC, circulante y Altman/Beneish se leen con cautela. Las provisiones de plantilla, pensiones y desmantelamiento no están en el puente (hueco).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Endesa, S.A. (ELE)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43,03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(29,29 – 43,20)</c:v>
                </c:pt>
                <c:pt idx="1">
                  <c:v>Comparables: PER NTM (32,43 – 38,72)</c:v>
                </c:pt>
                <c:pt idx="2">
                  <c:v>DCF (WACC y g ± 0,5) (34,06 – 58,44)</c:v>
                </c:pt>
                <c:pt idx="3">
                  <c:v>Escenarios (bajista – alcista) (28,85 – 49,45)</c:v>
                </c:pt>
                <c:pt idx="4">
                  <c:v>DCF con la prima implícita del mercado (4,2 %)</c:v>
                </c:pt>
                <c:pt idx="5">
                  <c:v>Precio actual (43,03)</c:v>
                </c:pt>
              </c:strCache>
            </c:strRef>
          </c:cat>
          <c:val>
            <c:numRef>
              <c:f>Hoja1!$B$2:$B$7</c:f>
              <c:numCache>
                <c:formatCode>#,##0.0</c:formatCode>
                <c:ptCount val="6"/>
                <c:pt idx="0">
                  <c:v>29.29</c:v>
                </c:pt>
                <c:pt idx="1">
                  <c:v>32.43</c:v>
                </c:pt>
                <c:pt idx="2">
                  <c:v>34.06</c:v>
                </c:pt>
                <c:pt idx="3">
                  <c:v>28.85</c:v>
                </c:pt>
                <c:pt idx="4">
                  <c:v>45.82</c:v>
                </c:pt>
                <c:pt idx="5">
                  <c:v>42.81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(29,29 – 43,20)</c:v>
                </c:pt>
                <c:pt idx="1">
                  <c:v>Comparables: PER NTM (32,43 – 38,72)</c:v>
                </c:pt>
                <c:pt idx="2">
                  <c:v>DCF (WACC y g ± 0,5) (34,06 – 58,44)</c:v>
                </c:pt>
                <c:pt idx="3">
                  <c:v>Escenarios (bajista – alcista) (28,85 – 49,45)</c:v>
                </c:pt>
                <c:pt idx="4">
                  <c:v>DCF con la prima implícita del mercado (4,2 %)</c:v>
                </c:pt>
                <c:pt idx="5">
                  <c:v>Precio actual (43,03)</c:v>
                </c:pt>
              </c:strCache>
            </c:strRef>
          </c:cat>
          <c:val>
            <c:numRef>
              <c:f>Hoja1!$C$2:$C$7</c:f>
              <c:numCache>
                <c:formatCode>#,##0.0</c:formatCode>
                <c:ptCount val="6"/>
                <c:pt idx="0">
                  <c:v>13.910000000000004</c:v>
                </c:pt>
                <c:pt idx="1">
                  <c:v>6.289999999999999</c:v>
                </c:pt>
                <c:pt idx="2">
                  <c:v>24.379999999999995</c:v>
                </c:pt>
                <c:pt idx="3">
                  <c:v>20.6</c:v>
                </c:pt>
                <c:pt idx="4">
                  <c:v>19.419999999999995</c:v>
                </c:pt>
                <c:pt idx="5">
                  <c:v>0.4399999999999977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(GWh de demanda nacional)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c:formatCode>
                <c:ptCount val="1"/>
                <c:pt idx="0">
                  <c:v>256086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Endesa</c:v>
                </c:pt>
                <c:pt idx="1">
                  <c:v>Iberdrola (España)</c:v>
                </c:pt>
                <c:pt idx="2">
                  <c:v>Naturgy</c:v>
                </c:pt>
                <c:pt idx="3">
                  <c:v>Repsol (Cliente)</c:v>
                </c:pt>
                <c:pt idx="4">
                  <c:v>EDP España</c:v>
                </c:pt>
              </c:strCache>
            </c:strRef>
          </c:cat>
          <c:val>
            <c:numRef>
              <c:f>Hoja1!$B$2:$B$6</c:f>
              <c:numCache>
                <c:formatCode>0.0"%"</c:formatCode>
                <c:ptCount val="5"/>
                <c:pt idx="0">
                  <c:v>15.5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20899</c:v>
                </c:pt>
                <c:pt idx="1">
                  <c:v>32896</c:v>
                </c:pt>
                <c:pt idx="2">
                  <c:v>25459</c:v>
                </c:pt>
                <c:pt idx="3">
                  <c:v>21307</c:v>
                </c:pt>
                <c:pt idx="4">
                  <c:v>21424</c:v>
                </c:pt>
                <c:pt idx="5">
                  <c:v>21895</c:v>
                </c:pt>
                <c:pt idx="6">
                  <c:v>21720</c:v>
                </c:pt>
                <c:pt idx="7">
                  <c:v>21937</c:v>
                </c:pt>
                <c:pt idx="8">
                  <c:v>22376</c:v>
                </c:pt>
                <c:pt idx="9">
                  <c:v>22712</c:v>
                </c:pt>
                <c:pt idx="10">
                  <c:v>23052</c:v>
                </c:pt>
                <c:pt idx="11">
                  <c:v>23513</c:v>
                </c:pt>
                <c:pt idx="12">
                  <c:v>23984</c:v>
                </c:pt>
                <c:pt idx="13">
                  <c:v>24463</c:v>
                </c:pt>
                <c:pt idx="14">
                  <c:v>24953</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4278</c:v>
                </c:pt>
                <c:pt idx="1">
                  <c:v>5565</c:v>
                </c:pt>
                <c:pt idx="2">
                  <c:v>3777</c:v>
                </c:pt>
                <c:pt idx="3">
                  <c:v>5293</c:v>
                </c:pt>
                <c:pt idx="4">
                  <c:v>5756</c:v>
                </c:pt>
                <c:pt idx="5">
                  <c:v>6043</c:v>
                </c:pt>
                <c:pt idx="6">
                  <c:v>6082</c:v>
                </c:pt>
                <c:pt idx="7">
                  <c:v>6274</c:v>
                </c:pt>
                <c:pt idx="8">
                  <c:v>6400</c:v>
                </c:pt>
                <c:pt idx="9">
                  <c:v>6359</c:v>
                </c:pt>
                <c:pt idx="10">
                  <c:v>6362</c:v>
                </c:pt>
                <c:pt idx="11">
                  <c:v>6466</c:v>
                </c:pt>
                <c:pt idx="12">
                  <c:v>6596</c:v>
                </c:pt>
                <c:pt idx="13">
                  <c:v>6727</c:v>
                </c:pt>
                <c:pt idx="14">
                  <c:v>6862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20.5</c:v>
                </c:pt>
                <c:pt idx="1">
                  <c:v>16.9</c:v>
                </c:pt>
                <c:pt idx="2">
                  <c:v>14.8</c:v>
                </c:pt>
                <c:pt idx="3">
                  <c:v>24.8</c:v>
                </c:pt>
                <c:pt idx="4">
                  <c:v>26.9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9.4</c:v>
                </c:pt>
                <c:pt idx="1">
                  <c:v>11.2</c:v>
                </c:pt>
                <c:pt idx="2">
                  <c:v>6.5</c:v>
                </c:pt>
                <c:pt idx="3">
                  <c:v>14.4</c:v>
                </c:pt>
                <c:pt idx="4">
                  <c:v>15.5</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6.9</c:v>
                </c:pt>
                <c:pt idx="1">
                  <c:v>7.7</c:v>
                </c:pt>
                <c:pt idx="2">
                  <c:v>2.9</c:v>
                </c:pt>
                <c:pt idx="3">
                  <c:v>8.9</c:v>
                </c:pt>
                <c:pt idx="4">
                  <c:v>10.3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-20.6</c:v>
                </c:pt>
                <c:pt idx="2">
                  <c:v>4.5</c:v>
                </c:pt>
                <c:pt idx="3">
                  <c:v>-3.2</c:v>
                </c:pt>
                <c:pt idx="4">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539</c:v>
                </c:pt>
                <c:pt idx="1">
                  <c:v>-460</c:v>
                </c:pt>
                <c:pt idx="2">
                  <c:v>2413</c:v>
                </c:pt>
                <c:pt idx="3">
                  <c:v>1721</c:v>
                </c:pt>
                <c:pt idx="4">
                  <c:v>2207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1435</c:v>
                </c:pt>
                <c:pt idx="1">
                  <c:v>2541</c:v>
                </c:pt>
                <c:pt idx="2">
                  <c:v>742</c:v>
                </c:pt>
                <c:pt idx="3">
                  <c:v>1888</c:v>
                </c:pt>
                <c:pt idx="4">
                  <c:v>2198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10.2</c:v>
                </c:pt>
                <c:pt idx="1">
                  <c:v>17.3</c:v>
                </c:pt>
                <c:pt idx="2">
                  <c:v>6.7</c:v>
                </c:pt>
                <c:pt idx="3">
                  <c:v>12.5</c:v>
                </c:pt>
                <c:pt idx="4">
                  <c:v>13.4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6.2</c:v>
                </c:pt>
                <c:pt idx="1">
                  <c:v>6.2</c:v>
                </c:pt>
                <c:pt idx="2">
                  <c:v>6.2</c:v>
                </c:pt>
                <c:pt idx="3">
                  <c:v>6.2</c:v>
                </c:pt>
                <c:pt idx="4">
                  <c:v>6.2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25.9</c:v>
                </c:pt>
                <c:pt idx="1">
                  <c:v>44.5</c:v>
                </c:pt>
                <c:pt idx="2">
                  <c:v>11.4</c:v>
                </c:pt>
                <c:pt idx="3">
                  <c:v>23.2</c:v>
                </c:pt>
                <c:pt idx="4">
                  <c:v>23.6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2.06</c:v>
                </c:pt>
                <c:pt idx="1">
                  <c:v>1.96</c:v>
                </c:pt>
                <c:pt idx="2">
                  <c:v>2.75</c:v>
                </c:pt>
                <c:pt idx="3">
                  <c:v>1.76</c:v>
                </c:pt>
                <c:pt idx="4">
                  <c:v>1.76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Recompras</c:v>
                </c:pt>
              </c:strCache>
            </c:strRef>
          </c:tx>
          <c:spPr>
            <a:solidFill>
              <a:srgbClr val="2A78D6"/>
            </a:solidFill>
            <a:ln w="12700">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Independiente</c:v>
                </c:pt>
                <c:pt idx="1">
                  <c:v>Ejecutivo</c:v>
                </c:pt>
                <c:pt idx="2">
                  <c:v>Otro externo</c:v>
                </c:pt>
                <c:pt idx="3">
                  <c:v>Dominical</c:v>
                </c:pt>
              </c:strCache>
            </c:strRef>
          </c:cat>
          <c:val>
            <c:numRef>
              <c:f>Hoja1!$B$2:$B$5</c:f>
              <c:numCache>
                <c:formatCode>0</c:formatCode>
                <c:ptCount val="4"/>
                <c:pt idx="0">
                  <c:v>2</c:v>
                </c:pt>
                <c:pt idx="1">
                  <c:v>1</c:v>
                </c:pt>
                <c:pt idx="2">
                  <c:v>1</c:v>
                </c:pt>
                <c:pt idx="3">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Enel S.p.A.</c:v>
                </c:pt>
                <c:pt idx="1">
                  <c:v>Autocartera (recompra pendiente de amortizar)</c:v>
                </c:pt>
              </c:strCache>
            </c:strRef>
          </c:cat>
          <c:val>
            <c:numRef>
              <c:f>Hoja1!$B$2:$B$3</c:f>
              <c:numCache>
                <c:formatCode>0.0"%"</c:formatCode>
                <c:ptCount val="2"/>
                <c:pt idx="0">
                  <c:v>70.1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Endesa</c:v>
                </c:pt>
                <c:pt idx="1">
                  <c:v>Iberdrola</c:v>
                </c:pt>
                <c:pt idx="2">
                  <c:v>Naturgy</c:v>
                </c:pt>
                <c:pt idx="3">
                  <c:v>Redeia</c:v>
                </c:pt>
                <c:pt idx="4">
                  <c:v>Enel</c:v>
                </c:pt>
                <c:pt idx="5">
                  <c:v>EDP</c:v>
                </c:pt>
                <c:pt idx="6">
                  <c:v>Engie</c:v>
                </c:pt>
                <c:pt idx="7">
                  <c:v>E.ON</c:v>
                </c:pt>
                <c:pt idx="8">
                  <c:v>SSE</c:v>
                </c:pt>
              </c:strCache>
            </c:strRef>
          </c:cat>
          <c:val>
            <c:numRef>
              <c:f>Hoja1!$B$2:$B$10</c:f>
              <c:numCache>
                <c:formatCode>0.0"x"</c:formatCode>
                <c:ptCount val="9"/>
                <c:pt idx="0">
                  <c:v>9.1</c:v>
                </c:pt>
                <c:pt idx="2">
                  <c:v>7.3</c:v>
                </c:pt>
                <c:pt idx="3">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Endesa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0.8</c:v>
                </c:pt>
              </c:numCache>
            </c:numRef>
          </c:xVal>
          <c:yVal>
            <c:numRef>
              <c:f>Hoja1!$C$2</c:f>
              <c:numCache>
                <c:formatCode>0.0"x"</c:formatCode>
                <c:ptCount val="1"/>
                <c:pt idx="0">
                  <c:v>9.1</c:v>
                </c:pt>
              </c:numCache>
            </c:numRef>
          </c:yVal>
          <c:smooth val="0"/>
        </c:ser>
        <c:ser>
          <c:idx val="1"/>
          <c:order val="1"/>
          <c:tx>
            <c:strRef>
              <c:f>Hoja1!$A$3</c:f>
              <c:strCache>
                <c:ptCount val="1"/>
                <c:pt idx="0">
                  <c:v>Naturgy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0.8</c:v>
                </c:pt>
              </c:numCache>
            </c:numRef>
          </c:xVal>
          <c:yVal>
            <c:numRef>
              <c:f>Hoja1!$C$3</c:f>
              <c:numCache>
                <c:formatCode>0.0"x"</c:formatCode>
                <c:ptCount val="1"/>
                <c:pt idx="0">
                  <c:v>7.3</c:v>
                </c:pt>
              </c:numCache>
            </c:numRef>
          </c:yVal>
          <c:smooth val="0"/>
        </c:ser>
        <c:ser>
          <c:idx val="2"/>
          <c:order val="2"/>
          <c:tx>
            <c:strRef>
              <c:f>Hoja1!$A$4</c:f>
              <c:strCache>
                <c:ptCount val="1"/>
                <c:pt idx="0">
                  <c:v>Redeia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5.3</c:v>
                </c:pt>
              </c:numCache>
            </c:numRef>
          </c:xVal>
          <c:yVal>
            <c:numRef>
              <c:f>Hoja1!$C$4</c:f>
              <c:numCache>
                <c:formatCode>0.0"x"</c:formatCode>
                <c:ptCount val="1"/>
                <c:pt idx="0">
                  <c:v>10</c:v>
                </c:pt>
              </c:numCache>
            </c:numRef>
          </c:yVal>
          <c:smooth val="0"/>
        </c:ser>
        <c:axId val="10"/>
        <c:axId val="20"/>
      </c:scatterChart>
      <c:valAx>
        <c:axId val="10"/>
        <c:scaling>
          <c:orientation val="minMax"/>
          <c:max val="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1653</c:v>
                </c:pt>
                <c:pt idx="1">
                  <c:v>1710</c:v>
                </c:pt>
                <c:pt idx="2">
                  <c:v>1832</c:v>
                </c:pt>
                <c:pt idx="3">
                  <c:v>2215</c:v>
                </c:pt>
                <c:pt idx="4">
                  <c:v>2385</c:v>
                </c:pt>
                <c:pt idx="5">
                  <c:v>2467</c:v>
                </c:pt>
                <c:pt idx="6">
                  <c:v>2616</c:v>
                </c:pt>
                <c:pt idx="7">
                  <c:v>2668</c:v>
                </c:pt>
                <c:pt idx="8">
                  <c:v>2722</c:v>
                </c:pt>
                <c:pt idx="9">
                  <c:v>2776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16286</c:v>
                </c:pt>
                <c:pt idx="1">
                  <c:v>38999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43,03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28.85</c:v>
                </c:pt>
                <c:pt idx="1">
                  <c:v>43.36</c:v>
                </c:pt>
                <c:pt idx="2">
                  <c:v>49.45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43,03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(29,29 – 43,20)</c:v>
                </c:pt>
                <c:pt idx="1">
                  <c:v>Comparables: PER NTM (32,43 – 38,72)</c:v>
                </c:pt>
                <c:pt idx="2">
                  <c:v>DCF (WACC y g ± 0,5) (34,06 – 58,44)</c:v>
                </c:pt>
                <c:pt idx="3">
                  <c:v>Escenarios (bajista – alcista) (28,85 – 49,45)</c:v>
                </c:pt>
                <c:pt idx="4">
                  <c:v>DCF con la prima implícita del mercado (4,2 %)</c:v>
                </c:pt>
                <c:pt idx="5">
                  <c:v>Precio actual (43,03)</c:v>
                </c:pt>
              </c:strCache>
            </c:strRef>
          </c:cat>
          <c:val>
            <c:numRef>
              <c:f>Hoja1!$B$2:$B$7</c:f>
              <c:numCache>
                <c:formatCode>#,##0.0</c:formatCode>
                <c:ptCount val="6"/>
                <c:pt idx="0">
                  <c:v>29.29</c:v>
                </c:pt>
                <c:pt idx="1">
                  <c:v>32.43</c:v>
                </c:pt>
                <c:pt idx="2">
                  <c:v>34.06</c:v>
                </c:pt>
                <c:pt idx="3">
                  <c:v>28.85</c:v>
                </c:pt>
                <c:pt idx="4">
                  <c:v>45.82</c:v>
                </c:pt>
                <c:pt idx="5">
                  <c:v>42.81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(29,29 – 43,20)</c:v>
                </c:pt>
                <c:pt idx="1">
                  <c:v>Comparables: PER NTM (32,43 – 38,72)</c:v>
                </c:pt>
                <c:pt idx="2">
                  <c:v>DCF (WACC y g ± 0,5) (34,06 – 58,44)</c:v>
                </c:pt>
                <c:pt idx="3">
                  <c:v>Escenarios (bajista – alcista) (28,85 – 49,45)</c:v>
                </c:pt>
                <c:pt idx="4">
                  <c:v>DCF con la prima implícita del mercado (4,2 %)</c:v>
                </c:pt>
                <c:pt idx="5">
                  <c:v>Precio actual (43,03)</c:v>
                </c:pt>
              </c:strCache>
            </c:strRef>
          </c:cat>
          <c:val>
            <c:numRef>
              <c:f>Hoja1!$C$2:$C$7</c:f>
              <c:numCache>
                <c:formatCode>#,##0.0</c:formatCode>
                <c:ptCount val="6"/>
                <c:pt idx="0">
                  <c:v>13.910000000000004</c:v>
                </c:pt>
                <c:pt idx="1">
                  <c:v>6.289999999999999</c:v>
                </c:pt>
                <c:pt idx="2">
                  <c:v>24.379999999999995</c:v>
                </c:pt>
                <c:pt idx="3">
                  <c:v>20.6</c:v>
                </c:pt>
                <c:pt idx="4">
                  <c:v>19.419999999999995</c:v>
                </c:pt>
                <c:pt idx="5">
                  <c:v>0.4399999999999977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