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EssilorLuxottica Société anonyme</w:t>
      </w:r>
    </w:p>
    <w:p>
      <w:pPr>
        <w:spacing w:after="60"/>
        <w:rPr>
          <w:color w:val="52514E"/>
          <w:sz w:val="22"/>
          <w:szCs w:val="22"/>
        </w:rPr>
      </w:pPr>
      <w:r>
        <w:rPr>
          <w:color w:val="52514E"/>
          <w:sz w:val="22"/>
          <w:szCs w:val="22"/>
        </w:rPr>
        <w:t xml:space="preserve">EL · Euronext París · ISIN FR0000121667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146,30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175,98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+23,0 % (base +23,3 %)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158,34 EUR · mercado 195,58</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67.239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10,5x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EssilorLuxottica Société anonyme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EL / FR0000121667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40 / Euro Stoxx 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Equipos y suministros sanitarios (óptica)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Charenton-le-Pont (París) · 2018</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www.essilorluxottica.com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146,30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 323,80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459,6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67.239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81.629 M EUR</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175,98 EUR</w:t>
      </w:r>
      <w:r>
        <w:t xml:space="preserve"> frente a 146,30 · Rentabilidad a 12 meses </w:t>
      </w:r>
      <w:r>
        <w:rPr>
          <w:b/>
          <w:bCs/>
        </w:rPr>
        <w:t xml:space="preserve">+23,0 % (base +23,3 %)</w:t>
      </w:r>
      <w:r>
        <w:t xml:space="preserve"> · Valor intrínseco 158,34 EUR · con la prima implícita del mercado: 195,58 (+33,7 %) · Alcista / bajista +37,9 % / -16,4 %</w:t>
      </w:r>
    </w:p>
    <w:p>
      <w:pPr>
        <w:spacing w:after="100"/>
      </w:pPr>
      <w:r>
        <w:rPr>
          <w:b/>
        </w:rPr>
        <w:t xml:space="preserve">La recomendación y por qué.</w:t>
      </w:r>
      <w:r>
        <w:t xml:space="preserve"> Mantener, con convicción baja. Con nuestro BPA ajustado y la regla común de múltiplos, el objetivo a 12 meses es de 160,39 EUR frente a 146,30 EUR de cierre del 13 de octubre: +12,4 % con el dividendo, y +12,5 % en el caso base. Supera el umbral del base (12 %) pero no el de la ponderada (15 %). El valor intrínseco de la síntesis es de 158,34 EUR (+8,2 %) y el DCF de 174,69 EUR; el objetivo medio de los ocho analistas que han revisado desde septiembre es de 199,75 EUR (157-260), por encima de nuestro rango a 12 meses en el base. La asimetría es buena (bajista −16,9 %, alcista +55,8 %), pero el bajista pesa un 30 % mientras los recortes de estimaciones no paren. La convicción es baja porque la rentabilidad decisiva está a 2,6 puntos del umbral y porque las cifras salen de extractos de búsqueda; subiría si las ventas del 3T (20 de octubre) crecen más de un 8 % a tipo constante sin nuevos recortes.</w:t>
      </w:r>
    </w:p>
    <w:p>
      <w:pPr>
        <w:spacing w:after="100"/>
      </w:pPr>
      <w:r>
        <w:rPr>
          <w:b/>
        </w:rPr>
        <w:t xml:space="preserve">El negocio.</w:t>
      </w:r>
      <w:r>
        <w:t xml:space="preserve"> Primer grupo mundial de óptica: lentes (Varilux, Transitions), monturas (Ray-Ban, Oakley) y tiendas propias, 28.491 M EUR de ventas en 2025 con un 11,2 % de crecimiento a tipo constante y 2.800 M de flujo libre récord [1]. El foso en lentes es amplio, pero las compras con prima pesan: el ROIC sobre el capital total (5-6 %) está por debajo del WACC (7,32 %), aunque el negocio sin fondo de comercio rinde más del 25 %. La calidad del negocio sí sostiene el crecimiento que proyectamos (veredicto de sostenibilidad: Sí): pedimos un 5,2 % anual, por debajo del 6-11 % orgánico de 2024-2026.</w:t>
      </w:r>
    </w:p>
    <w:p>
      <w:pPr>
        <w:spacing w:after="100"/>
      </w:pPr>
      <w:r>
        <w:rPr>
          <w:b/>
        </w:rPr>
        <w:t xml:space="preserve">Finanzas.</w:t>
      </w:r>
      <w:r>
        <w:t xml:space="preserve"> El beneficio neto ajustado apenas creció en 2025 (3.157 M frente a 3.122 M) por los aranceles de EE. UU. (≈300 M) y la mezcla de las gafas con IA; en el 1S26 el margen operativo ajustado subió al 18,6 % (+80 pb) [1, 3, 21]. La deuda neta con arrendamientos es de 13.390 M EUR, 2,0 veces el EBITDA [4].</w:t>
      </w:r>
    </w:p>
    <w:p>
      <w:pPr>
        <w:spacing w:after="100"/>
      </w:pPr>
      <w:r>
        <w:rPr>
          <w:b/>
        </w:rPr>
        <w:t xml:space="preserve">Equipo y gobierno.</w:t>
      </w:r>
      <w:r>
        <w:t xml:space="preserve"> Resta. Delfin (32,4 %) controla la junta y su nuevo dueño, Leonardo Maria Del Vecchio, cuestiona al presidente y consejero delegado Francesco Milleri, que concentra los dos cargos; el consejo le renovó su confianza en septiembre [37, 38].</w:t>
      </w:r>
    </w:p>
    <w:p>
      <w:pPr>
        <w:spacing w:after="100"/>
      </w:pPr>
      <w:r>
        <w:rPr>
          <w:b/>
        </w:rPr>
        <w:t xml:space="preserve">Valoración.</w:t>
      </w:r>
      <w:r>
        <w:t xml:space="preserve"> A 146,30 EUR el DCF inverso descuenta un crecimiento del 2,3 % anual y el margen de 2025, frente a nuestro 5,1 %: un supuesto conservador para una empresa que nunca ha crecido tan poco fuera de la pandemia. Cotiza a 12,5 veces el EBITDA, en la mediana de sus comparables, y a 18,4 veces nuestro BPA ajustado de 2027e, el PER más bajo en al menos cinco años. Nuestro base queda un 19,6 % por debajo del consenso por el múltiplo, no por el beneficio: aplicamos el PER actual, no el histórico.</w:t>
      </w:r>
    </w:p>
    <w:p>
      <w:pPr>
        <w:spacing w:after="100"/>
      </w:pPr>
      <w:r>
        <w:rPr>
          <w:b/>
        </w:rPr>
        <w:t xml:space="preserve">Riesgos y catalizadores.</w:t>
      </w:r>
      <w:r>
        <w:t xml:space="preserve"> El mayor riesgo es que las gafas con IA se estanquen frente a Google, Samsung y Apple (bajista −16,9 %); el segundo, la disputa de gobierno. Catalizadores: ventas del 3T el 20 de octubre y resultados de 2026 en febrero. Los foros están divididos: el particular ve una ganga y la prensa sigue recortando; el riesgo de gobierno aparece más en ellos que en los analistas.</w:t>
      </w:r>
    </w:p>
    <w:p>
      <w:pPr>
        <w:spacing w:after="100"/>
      </w:pPr>
      <w:r>
        <w:rPr>
          <w:b/>
        </w:rPr>
        <w:t xml:space="preserve">Qué cambiaría la decisión.</w:t>
      </w:r>
      <w:r>
        <w:t xml:space="preserve"> Compraríamos por debajo de 142,95 EUR o si el 3T confirma un crecimiento a tipo constante de más del 8 % y frena los recortes; venderíamos por encima de 182,65 EUR o si Milleri sale sin un sucesor claro. Aun por debajo de 142,95 EUR, la acción no cumpliría nuestro requisito de calidad (ROIC 5 puntos sobre el WACC) mientras el capital lleve 40.766 M de fondo de comercio e intangibles.</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Baja · Horizonte: 12 meses · Objetivo a 12 meses: </w:t>
      </w:r>
      <w:r>
        <w:rPr>
          <w:b/>
          <w:bCs/>
        </w:rPr>
        <w:t xml:space="preserve">175,98 EUR</w:t>
      </w:r>
      <w:r>
        <w:t xml:space="preserve"> (rentabilidad +23,0 % (base +23,3 %)) · Valor intrínseco: 158,34 EUR (+8,2 % sobre 146,30) · con la prima implícita del mercado: 195,58 (+33,7 %)</w:t>
      </w:r>
    </w:p>
    <w:p>
      <w:pPr>
        <w:spacing w:after="100"/>
      </w:pPr>
      <w:r>
        <w:t xml:space="preserve">EssilorLuxottica es el líder mundial de la óptica: fabrica las lentes de gama alta (61 % de margen bruto ajustado), posee las marcas de monturas más vendidas y controla el canal minorista en Norteamérica y Europa, con 28.491 M EUR de ventas y 2.800 M de flujo libre en 2025 [1]. Sus motores, el envejecimiento, la miopía infantil y las gafas con IA con Meta, le dieron en 2025 su primer año de crecimiento de dos dígitos.</w:t>
      </w:r>
    </w:p>
    <w:p>
      <w:pPr>
        <w:spacing w:after="100"/>
      </w:pPr>
      <w:r>
        <w:t xml:space="preserve">El precio, 146,30 EUR (un 55 % por debajo del máximo de noviembre de 2025), descuenta un crecimiento del 2,3 % anual con el margen de 2025, y 18,4 veces nuestro BPA ajustado de 2027e [57]. El mercado ha pasado de pagar las gafas con IA como una opción tecnológica a tratarlas como un riesgo.</w:t>
      </w:r>
    </w:p>
    <w:p>
      <w:pPr>
        <w:spacing w:after="100"/>
      </w:pPr>
      <w:r>
        <w:t xml:space="preserve">Para invertir hay que creer que el núcleo de lentes y tiendas sigue creciendo al 6-7 % y que el margen operativo ajustado sigue subiendo, como en el 1S26 (18,6 %) [3], sin necesidad de que las gafas con IA triunfen. Eso da una rentabilidad a 12 meses del 12-13 %, cerca pero por debajo de lo que pedimos para comprar, con el gobierno como riesgo nuevo.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 × 7,54 = 122,15 · 20,2x × 8,73 = 176,35 · 27,3x × 9,37 = 255,80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 / 23,3 %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pendiente de confirmar (confianza de datos baja)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La regla da Comprar; se queda en Mantener hasta confirmar las cifras con fuente primaria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199,75 (nuestro base -11,7 %)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158,34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37,9 % / -16,4 %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 frente a 7,3 % y 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195,58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 frente a 6,5 %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(5,2 %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156,50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156,50 y 199,98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199,98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142,95 EUR, la rentabilidad a 12 meses pasaría del 15 % (Comprar a 12 meses, aunque sin pasar nuestro filtro de calidad).</w:t>
      </w:r>
    </w:p>
    <w:p>
      <w:pPr>
        <w:pStyle w:val="ListParagraph"/>
        <w:numPr>
          <w:ilvl w:val="0"/>
          <w:numId w:val="2"/>
        </w:numPr>
        <w:spacing w:after="60"/>
      </w:pPr>
      <w:r>
        <w:t xml:space="preserve">Si el precio supera 182,65 EUR, Vender o reducir.</w:t>
      </w:r>
    </w:p>
    <w:p>
      <w:pPr>
        <w:pStyle w:val="ListParagraph"/>
        <w:numPr>
          <w:ilvl w:val="0"/>
          <w:numId w:val="2"/>
        </w:numPr>
        <w:spacing w:after="60"/>
      </w:pPr>
      <w:r>
        <w:t xml:space="preserve">Si las ventas del 3T crecen menos de un 6 % a tipo constante, bajaríamos el base y la recomendación iría hacia Vender.</w:t>
      </w:r>
    </w:p>
    <w:p>
      <w:pPr>
        <w:pStyle w:val="ListParagraph"/>
        <w:numPr>
          <w:ilvl w:val="0"/>
          <w:numId w:val="2"/>
        </w:numPr>
        <w:spacing w:after="60"/>
      </w:pPr>
      <w:r>
        <w:t xml:space="preserve">Si Delfin no renueva a Milleri sin un plan de sucesión claro, subiríamos el peso del bajista.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crecimiento de 2025 fue un pico de las gafas con IA que no se repetirá, que la competencia de Google, Samsung y Apple comerá esa línea y que el margen se queda en el nivel de 2025 con los aranceles: un 2,3 % de crecimiento anual en el DCF inverso.</w:t>
      </w:r>
    </w:p>
    <w:p>
      <w:pPr>
        <w:keepNext/>
        <w:spacing w:after="100"/>
      </w:pPr>
      <w:r>
        <w:rPr>
          <w:b/>
          <w:bCs/>
        </w:rPr>
        <w:t xml:space="preserve">Lo que creemos nosotros.</w:t>
      </w:r>
    </w:p>
    <w:p>
      <w:pPr>
        <w:spacing w:after="100"/>
      </w:pPr>
      <w:r>
        <w:t xml:space="preserve">El núcleo de lentes y tiendas crece al 6-7 % por sí solo (6 % en 2024, antes de las gafas con IA) y el margen se recupera, como ya muestra el 1S26. Pero el mercado no volverá a pagar el PER de 2024-25 mientras los analistas recorten, así que la revalorización a 12 meses es moderada.</w:t>
      </w:r>
    </w:p>
    <w:p>
      <w:pPr>
        <w:keepNext/>
        <w:spacing w:after="100"/>
      </w:pPr>
      <w:r>
        <w:rPr>
          <w:b/>
          <w:bCs/>
        </w:rPr>
        <w:t xml:space="preserve">Por qué podemos tener razón.</w:t>
      </w:r>
    </w:p>
    <w:p>
      <w:pPr>
        <w:spacing w:after="100"/>
      </w:pPr>
      <w:r>
        <w:t xml:space="preserve">La historia de crecimiento orgánico (6-11 % en 2024-2026) y la subida del margen ajustado de 80 pb en el 1S26 contradicen el 2,3 % que descuenta el precio [1, 3]. Coincidimos con el mercado en que el múltiplo no se recuperará pronto.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146,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El precio descuenta muy poco</w:t>
      </w:r>
      <w:r>
        <w:t xml:space="preserve">: un crecimiento del 2,3 % anual frente al 6-11 % orgánico de 2024-2026.</w:t>
      </w:r>
    </w:p>
    <w:p>
      <w:pPr>
        <w:pStyle w:val="ListParagraph"/>
        <w:numPr>
          <w:ilvl w:val="0"/>
          <w:numId w:val="2"/>
        </w:numPr>
        <w:spacing w:after="60"/>
      </w:pPr>
      <w:r>
        <w:rPr>
          <w:b/>
        </w:rPr>
        <w:t xml:space="preserve">Caja récord</w:t>
      </w:r>
      <w:r>
        <w:t xml:space="preserve">: 2.800 M EUR de flujo libre en 2025 (4,2 % de rentabilidad sobre la capitalización) [1].</w:t>
      </w:r>
    </w:p>
    <w:p>
      <w:pPr>
        <w:pStyle w:val="ListParagraph"/>
        <w:numPr>
          <w:ilvl w:val="0"/>
          <w:numId w:val="2"/>
        </w:numPr>
        <w:spacing w:after="60"/>
      </w:pPr>
      <w:r>
        <w:rPr>
          <w:b/>
        </w:rPr>
        <w:t xml:space="preserve">El margen ya sube</w:t>
      </w:r>
      <w:r>
        <w:t xml:space="preserve">: margen operativo ajustado del 18,6 % en el 1S26, +80 pb [3].</w:t>
      </w:r>
    </w:p>
    <w:p>
      <w:pPr>
        <w:pStyle w:val="ListParagraph"/>
        <w:numPr>
          <w:ilvl w:val="0"/>
          <w:numId w:val="2"/>
        </w:numPr>
        <w:spacing w:after="60"/>
      </w:pPr>
      <w:r>
        <w:rPr>
          <w:b/>
        </w:rPr>
        <w:t xml:space="preserve">Motores estructurales</w:t>
      </w:r>
      <w:r>
        <w:t xml:space="preserve">: control de miopía +24 % en el 2T26 y envejecimiento [18].</w:t>
      </w:r>
    </w:p>
    <w:p>
      <w:pPr>
        <w:pStyle w:val="ListParagraph"/>
        <w:numPr>
          <w:ilvl w:val="0"/>
          <w:numId w:val="2"/>
        </w:numPr>
        <w:spacing w:after="60"/>
      </w:pPr>
      <w:r>
        <w:rPr>
          <w:b/>
        </w:rPr>
        <w:t xml:space="preserve">Múltiplo en mínimos</w:t>
      </w:r>
      <w:r>
        <w:t xml:space="preserve">: 18,4 veces el BPA ajustado de 2027e frente a 27,5-39,8 veces en 2022-2025.</w:t>
      </w:r>
    </w:p>
    <w:p>
      <w:pPr>
        <w:pStyle w:val="Heading2"/>
      </w:pPr>
      <w:r>
        <w:t xml:space="preserve">En contra</w:t>
      </w:r>
    </w:p>
    <w:p>
      <w:pPr>
        <w:pStyle w:val="ListParagraph"/>
        <w:numPr>
          <w:ilvl w:val="0"/>
          <w:numId w:val="2"/>
        </w:numPr>
        <w:spacing w:after="60"/>
      </w:pPr>
      <w:r>
        <w:rPr>
          <w:b/>
        </w:rPr>
        <w:t xml:space="preserve">Gafas con IA en duda</w:t>
      </w:r>
      <w:r>
        <w:t xml:space="preserve">: crecieron a un dígito medio en el 1T26 frente al 18 % del final de 2025 [21].</w:t>
      </w:r>
    </w:p>
    <w:p>
      <w:pPr>
        <w:pStyle w:val="ListParagraph"/>
        <w:numPr>
          <w:ilvl w:val="0"/>
          <w:numId w:val="2"/>
        </w:numPr>
        <w:spacing w:after="60"/>
      </w:pPr>
      <w:r>
        <w:rPr>
          <w:b/>
        </w:rPr>
        <w:t xml:space="preserve">Gobierno en conflicto</w:t>
      </w:r>
      <w:r>
        <w:t xml:space="preserve">: el dueño de Delfin (32,4 %) cuestiona al presidente y consejero delegado [37].</w:t>
      </w:r>
    </w:p>
    <w:p>
      <w:pPr>
        <w:pStyle w:val="ListParagraph"/>
        <w:numPr>
          <w:ilvl w:val="0"/>
          <w:numId w:val="2"/>
        </w:numPr>
        <w:spacing w:after="60"/>
      </w:pPr>
      <w:r>
        <w:rPr>
          <w:b/>
        </w:rPr>
        <w:t xml:space="preserve">ROIC del capital total del 5-6 %</w:t>
      </w:r>
      <w:r>
        <w:t xml:space="preserve">, por debajo del WACC del 7,32 %, por el fondo de comercio.</w:t>
      </w:r>
    </w:p>
    <w:p>
      <w:pPr>
        <w:pStyle w:val="ListParagraph"/>
        <w:numPr>
          <w:ilvl w:val="0"/>
          <w:numId w:val="2"/>
        </w:numPr>
        <w:spacing w:after="60"/>
      </w:pPr>
      <w:r>
        <w:rPr>
          <w:b/>
        </w:rPr>
        <w:t xml:space="preserve">Recortes continuos</w:t>
      </w:r>
      <w:r>
        <w:t xml:space="preserve">: ocho bancos bajaron su objetivo en septiembre-octubre (hasta 157 EUR) [50, 51, 52].</w:t>
      </w:r>
    </w:p>
    <w:p>
      <w:pPr>
        <w:pStyle w:val="ListParagraph"/>
        <w:numPr>
          <w:ilvl w:val="0"/>
          <w:numId w:val="2"/>
        </w:numPr>
        <w:spacing w:after="60"/>
      </w:pPr>
      <w:r>
        <w:rPr>
          <w:b/>
        </w:rPr>
        <w:t xml:space="preserve">Aranceles y dólar</w:t>
      </w:r>
      <w:r>
        <w:t xml:space="preserve">: 300 M de coste en 2025 y 4 puntos de divisa en el 1S26 [3, 21].</w:t>
      </w:r>
    </w:p>
    <w:p>
      <w:pPr>
        <w:pStyle w:val="Heading2"/>
      </w:pPr>
      <w:r>
        <w:t xml:space="preserve">Qué tiene que pasar para que la tesis funcione</w:t>
      </w:r>
    </w:p>
    <w:p>
      <w:pPr>
        <w:spacing w:after="100"/>
      </w:pPr>
      <w:r>
        <w:t xml:space="preserve">La tesis depende de que el núcleo de lentes y tiendas siga creciendo al 6-7 % a tipo constante y de que el margen operativo ajustado siga subiendo. La señal de que no se cumple sería un crecimiento a tipo constante por debajo del 6 % en el 3T o el 4T de 2026 con el margen ajustado plano, o la salida de Milleri sin sucesor en 2027.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6 % en un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caso central.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interanual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palanca del BPA de 2028e.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Gafas con IA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Casi el doble en el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interanual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base y bajista.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2,5x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o caída del EBITDA.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199,75 EUR (8 revisados)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debajo de 160 EUR</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recortes mueven el múltiplo.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12,5x / 10,5x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29,4x / 22,7x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2,1x · 2,1x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de 13 (6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EssilorLuxottica nace en octubre de 2018 de la fusión entre Essilor (lentes oftálmicas, Francia, fundada en 1849 como cooperativa de ópticos) y Luxottica (monturas y gafas de sol, Italia, fundada en 1961 por Leonardo Del Vecchio). Delfin, el holding de la familia Del Vecchio, es el primer accionista con el 32,4 %. En 2021 compró GrandVision, la mayor cadena óptica europea, a HAL [35]. Desde 2019 fabrica con Meta las gafas Ray-Ban Stories, y desde 2023 las Ray-Ban Meta con IA, que se han convertido en la tercera palanca de crecimiento [1, 28]. En 2024 compró Supreme y el 80 % de Heidelberg Engineering (diagnóstico) [34].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Essilor y Luxottica.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GrandVision (76,72 % a HAL a 28 EUR por acción y OPA posterior) [35].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Muere Leonardo Del Vecchio; Francesco Milleri, presidente y consejero delegado.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Ray-Ban Meta con IA.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Supreme y del 80 % de Heidelberg Engineering [34].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con crecimiento de dos dígitos a tipo constante (11,2 %); máximo histórico de la acción (323,80 EUR, 13-nov)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acción cae más de un 45 % desde el máximo por la desaceleración de las gafas con IA y la competencia; disputa de gobierno en Delfin [28, 29].</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EssilorLuxottica diseña, fabrica y distribuye lentes oftálmicas (Varilux, Transitions, Stellest), monturas y gafas de sol (Ray-Ban, Oakley, licencias de lujo) y equipos de diagnóstico, y los vende a ópticas independientes y cadenas (Professional Solutions, 13.600 M EUR en 2025) y al público en sus propias tiendas y webs (Direct to Consumer, 14.891 M EUR: Sunglass Hut, LensCrafters, GrandVision, Supreme) [1]. Desde 2023 suma una tercera palanca: las gafas con inteligencia artificial que fabrica con Meta (Ray-Ban Meta, Oakley Meta), que vendieron unos 7 millones de pares en 2025 [21]. Norteamérica es el 45 % de las ventas [1].</w:t>
      </w:r>
    </w:p>
    <w:p>
      <w:pPr>
        <w:pStyle w:val="Heading2"/>
      </w:pPr>
      <w:r>
        <w:t xml:space="preserve">Cómo gana dinero</w:t>
      </w:r>
    </w:p>
    <w:p>
      <w:pPr>
        <w:spacing w:after="100"/>
      </w:pPr>
      <w:r>
        <w:t xml:space="preserve">El grueso del beneficio sale de las lentes graduadas: un producto médico de reposición (cada 2-3 años), con marca y tecnología propias y un margen bruto del 61 % para el grupo en 2025 (ajustado) [1, 2]. Las monturas y gafas de sol aportan marca y volumen; las tiendas propias capturan el margen minorista. El margen operativo ajustado fue del 16,0 % a tipo constante en 2025, 70 puntos básicos menos que en 2024 por los aranceles de EE. UU. (unos 300 M EUR) y por la mezcla de gafas inteligentes, de menor margen [1, 21]; en el primer semestre de 2026 subió al 18,6 % (18,9 % a tipo constante) [3]. La amortización del precio de la fusión de 2018 y de GrandVision (no caja) explica la diferencia entre el beneficio publicado (2.315 M EUR) y el ajustado (3.157 M EUR)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Professional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 to Consumer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14.891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Professional Solutions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 to Consumer</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13.960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14.891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Base muy atomizada: cientos de miles de ópticas independientes y cadenas en Professional Solutions y consumidores finales en Direct to Consumer; ningún cliente relevante en las cuentas [1]. El poder de precios se ve en la mezcla: el crecimiento a tipo constante del 11,2 % en 2025 combinó volumen (gafas con IA, control de miopía, que creció un 24 % en el 2T26) con precio y mezcla en lentes de gama alta [1, 18]. El riesgo de cliente está en el canal: Meta es socio y a la vez accionista (al menos un 3 % del capital) y sus decisiones de lanzamiento mueven las ventas de gafas inteligentes [21].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tipo constante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 (2025); +9,7 %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Acelera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con crecimiento de dos dígitos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 (2024, tipo constante)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 (2025); 18,6 %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pb y recuperación</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y mezcla de gafas con IA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Gafas con IA (unidades)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millones de pares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Casi se duplicaron en el 2T26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Socio Meta [3,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de caja libre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 M EUR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 M EUR (2025); 1.070 M EUR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M</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Control de miopía (Stellest)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 en el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Acelera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El mercado relevante es el de la óptica mundial (lentes graduadas, monturas, gafas de sol y lentes de contacto, a precio de venta al público), donde EssilorLuxottica está en todos los eslabones: fabricación de lentes, marcas de monturas y venta minorista. Las estimaciones públicas varían mucho según el perímetro: Ken Research da unos 222.000 M USD en 2025 y Global Market Insights 161.000 M USD [26, 27]. Usamos el punto medio, unos 190.000 M USD (≈170.000 M EUR), como orden de magnitud. Las gafas con IA son un mercado nuevo que aún no recogen estas series.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161.000-222.000 M USD en 2025 según la fuente (≈ 170.000 M EUR en el punto medio) [26, 27]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Envejecimiento y presbicia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lentes progresivas (Varilux) son el producto de mayor precio; la población mayor de 50 años crece en todos los mercados desarrollados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Miopía infantil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cartera de control de miopía creció un 24 % en el 2T26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Gafas con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 millones de pares en 2025, pero crecimiento de un dígito medio en el 1T26 y rivales de Google, Samsung y Apple [28, 30].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y dólar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300 M EUR de coste en 2025; el dólar débil restó 4 puntos al crecimiento en el 1S26 (9,7 % a tipo constante, 5,7 % publicado) [1,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Consumo de lujo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analistas citan el retroceso del lujo como freno de las gafas de sol de licencia [29].</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Duopolio de hecho en lentes con Hoya (2.º mundial) y Zeiss (privada) [31].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Ópticas muy atomizadas; las grandes cadenas (Fielmann, Specsavers, National Vision) negocian más [32, 36].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Materias primas comunes; en gafas con IA depende de la tecnología y la plataforma de Meta.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en lentes (tecnología, regulación médica); alta en gafas inteligentes (Google, Samsung, Apple) [29].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Cirugía refractiva y lentes de contacto, de crecimiento lento frente a las gafas.</w:t>
            </w:r>
          </w:p>
        </w:tc>
      </w:tr>
    </w:tbl>
    <w:p>
      <w:pPr>
        <w:spacing w:after="160" w:before="0"/>
      </w:pPr>
    </w:p>
    <w:p>
      <w:pPr>
        <w:pStyle w:val="Heading2"/>
      </w:pPr>
      <w:r>
        <w:t xml:space="preserve">Ciclo</w:t>
      </w:r>
    </w:p>
    <w:p>
      <w:pPr>
        <w:spacing w:after="100"/>
      </w:pPr>
      <w:r>
        <w:t xml:space="preserve">La óptica graduada es poco cíclica (es un producto de salud de reposición); las gafas de sol y las marcas de lujo sí lo son. En 2020 las ventas del grupo cayeron con el cierre de tiendas y se recuperaron en 2021; en 2022 el crecimiento a tipo constante se mantuvo. Hoy el ciclo lo marcan los aranceles, el consumo de lujo y la adopción de las gafas con IA [1, 29].</w:t>
      </w:r>
    </w:p>
    <w:p>
      <w:pPr>
        <w:pStyle w:val="Heading2"/>
      </w:pPr>
      <w:r>
        <w:t xml:space="preserve">Regulación</w:t>
      </w:r>
    </w:p>
    <w:p>
      <w:pPr>
        <w:spacing w:after="100"/>
      </w:pPr>
      <w:r>
        <w:t xml:space="preserve">Las lentes graduadas son productos sanitarios (en la UE, reglamento de productos sanitarios), lo que exige registro y frena la entrada. En EE. UU., los aranceles a las importaciones desde 2025 costaron unos 300 M EUR al grupo, que fabrica buena parte de las monturas en Italia y China [21]. Las gafas con IA abren un frente de privacidad y protección de datos: el lanzamiento de nuevos modelos en septiembre de 2026 insistió en la confidentialidad [29].</w:t>
      </w:r>
    </w:p>
    <w:p>
      <w:pPr>
        <w:pStyle w:val="Heading2"/>
      </w:pPr>
      <w:r>
        <w:t xml:space="preserve">Tendencias y disrupción</w:t>
      </w:r>
    </w:p>
    <w:p>
      <w:pPr>
        <w:spacing w:after="100"/>
      </w:pPr>
      <w:r>
        <w:t xml:space="preserve">Tres tendencias: la tecnología médica (diagnóstico, control de miopía, audición con Nuance Audio), en la que el grupo invierte para salir del comercio de monturas [1]; las gafas inteligentes, donde la alianza con Meta da ventaja pero llegan Google, Samsung y probablemente Apple en 2027 [29, 30]; y la presión de precios en la gama de entrada (Meta Glasses desde 299 USD en junio de 2026) [30].</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lentes oftálmicas (por delante de Hoya y Zeiss), en monturas y gafas de sol de marca y en óptica minorista; socio de Meta en gafas con IA [1, 31].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Hoya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7741</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2.º en lentes oftálmicas; su negocio de óptica crece a un dígito bajo y gana más con los semiconductores [31,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Carl Zeiss Vision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3.º en lentes; de la fundación Carl Zeiss, no cotiza.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Fielmann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cadena de Alemania, cliente y rival en minorista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National Vision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EYE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Óptica de precio bajo en EE. UU. [36].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Safilo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SFL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Monturas y gafas de sol con licencias; perdió licencias de lujo frente a Kering Eyewear y Thélios.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red de ópticas y tiendas propias da distribución a los lanzamientos (Ray-Ban Meta), pero no es un efecto de red en sentido estricto.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ópticas trabajan con su sistema de pedidos, laboratorio y crédito; el consumidor repite marca de lente.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Ray-Ban, Oakley, Varilux, Transitions, Stellest; margen bruto ajustado del 61 %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industrial mundial en lentes y monturas.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28.491 M EUR de ventas, más que el siguiente competidor en lentes multiplicado por varias veces [3, 9].</w:t>
            </w:r>
          </w:p>
        </w:tc>
      </w:tr>
    </w:tbl>
    <w:p>
      <w:pPr>
        <w:spacing w:after="160" w:before="0"/>
      </w:pPr>
    </w:p>
    <w:p>
      <w:pPr>
        <w:pStyle w:val="Heading2"/>
      </w:pPr>
      <w:r>
        <w:t xml:space="preserve">Amenazas</w:t>
      </w:r>
    </w:p>
    <w:p>
      <w:pPr>
        <w:spacing w:after="100"/>
      </w:pPr>
      <w:r>
        <w:t xml:space="preserve">La amenaza principal no está en las lentes sino en las gafas con IA: si Google (con Warby Parker y Gentle Monster), Samsung o Apple ganan cuota, el grupo pierde el motor de crecimiento que el mercado pagó en 2025 y se queda con un producto de menor margen [28, 29]. Probabilidad media en tres años. En lentes, la amenaza es más lenta: Hoya y Zeiss en gama alta y los fabricantes asiáticos en la de entrada. La compra de Supreme muestra que el grupo puede dispersarse fuera de su foso.</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6.529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2021-2025: ingresos </w:t>
      </w:r>
      <w:r>
        <w:rPr>
          <w:b/>
          <w:bCs/>
        </w:rPr>
        <w:t xml:space="preserve">9,5 %</w:t>
      </w:r>
      <w:r>
        <w:t xml:space="preserve">, EBITDA </w:t>
      </w:r>
      <w:r>
        <w:rPr>
          <w:b/>
          <w:bCs/>
        </w:rPr>
        <w:t xml:space="preserve">8,2 %</w:t>
      </w:r>
      <w:r>
        <w:t xml:space="preserve">, BPA </w:t>
      </w:r>
      <w:r>
        <w:rPr>
          <w:b/>
          <w:bCs/>
        </w:rPr>
        <w:t xml:space="preserve">11,3 %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Las ventas pasaron de 19.820 M EUR en 2021 a 28.491 M en 2025 (TCAC del 9,5 %), con dos saltos inorgánicos: GrandVision en 2021 (+37 % ese año) y Supreme y Heidelberg en el 4T24 [5, 23]. Sin compras, el grupo crece al 6-11 % a tipo constante (6,0 % en 2024, 11,2 % en 2025, 9,7 % en el 1S26) [1, 3, 14]. El margen EBIT publicado sube del 11,6 % en 2021 al 13,0 % en 2024 y cae al 11,9 % en 2025 por los aranceles de EE. UU. (≈300 M EUR) y la mezcla de gafas con IA [5, 21]. El beneficio neto atribuido se estanca en 2.289-2.359 M EUR desde 2023 [5]. Las amortizaciones de 2023 y 2025 son estimación propia: la de 2024 sale del EBITDA de los 12 meses a junio de 2025 (6.648 M) y de los semestres publicados [11]; la de 2025 duplica la del 1S25 (1.556 M), y la de 2023 interpola entre 2022 y 2024.</w:t>
      </w:r>
    </w:p>
    <w:p>
      <w:pPr>
        <w:pStyle w:val="Heading2"/>
      </w:pPr>
      <w:r>
        <w:t xml:space="preserve">Ajustes y partidas no recurrentes</w:t>
      </w:r>
    </w:p>
    <w:p>
      <w:pPr>
        <w:spacing w:after="100"/>
      </w:pPr>
      <w:r>
        <w:t xml:space="preserve">La empresa publica cifras «ajustadas» que excluyen sobre todo la amortización de los intangibles reconocidos en la fusión Essilor-Luxottica (2018) y en las compras posteriores, además de costes de integración y otros no recurrentes. El beneficio neto ajustado fue de 3.157 M EUR en 2025 (3.122 M en 2024; 2.946 M en 2023, según el comunicado de 2023) frente a 2.315 M publicados, una diferencia de 842 M EUR (1,81 EUR por acción) [1, 13, 14]. En 2022, el margen neto ajustado fue del 11,7 % de las ventas [13]. Usamos el BPA publicado en las cuentas y el ajustado para el objetivo a 12 meses, porque es el que mira el mercado.</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14"/>
        <w:gridCol w:w="1220"/>
        <w:gridCol w:w="1220"/>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 línea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febrero, con las cuentas de 2025, la dirección presentó el primer año de crecimiento de dos dígitos a tipo constante (11,2 %, con un 4T de +18,4 %) y sustituyó los objetivos a 2026 por una guía a cinco años: «crecimiento sólido» de las ventas y del beneficio operativo ajustado «ampliamente alineado» a tipo constante [1, 15]. En abril (1T26, +10,8 %) el mensaje cambió de tono: las gafas con IA crecieron solo a un dígito medio frente al 18 % del final de 2025, y el director financiero cifró en 300 M EUR el coste de los aranceles de 2025 [20, 21]. Las preguntas se repitieron sobre la desaceleración de las gafas inteligentes, su margen y la competencia de Google, Samsung y Apple; el consejero delegado dijo que no había visto productos rivales reales en el mercado [21]. En julio (1S26: +9,7 %, margen operativo ajustado del 18,6 %, +80 pb) la dirección avisó de una base de comparación más dura en el segundo semestre [3, 4]; los analistas leyeron después que había rebajado las expectativas de ventas de 2026.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9"/>
        <w:gridCol w:w="1064"/>
        <w:gridCol w:w="1171"/>
        <w:gridCol w:w="958"/>
        <w:gridCol w:w="851"/>
        <w:gridCol w:w="958"/>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63.895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7.307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90"/>
        <w:gridCol w:w="1472"/>
        <w:gridCol w:w="1338"/>
        <w:gridCol w:w="1338"/>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(2021: GrandVision, consolidada desde julio de 2021 (adquisiciones de 7.078 M EUR en el año); 2024: Supreme (≈1.500 M USD) y el 80 % de Heidelberg Engineering, consolidadas desde el 4T24).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El activo está dominado por el fondo de comercio (31.013 M EUR) y los intangibles (9.753 M), herencia de la fusión de 2018 y de GrandVision: el 64 % del activo total [7]. La deuda neta con arrendamientos subió de 10.250 M EUR a finales de 2022 a 13.390 M en junio de 2026, por Supreme y Heidelberg (2024) y por el pago del dividendo [4, 12]; aun así, la ratio sobre EBITDA es de 2,0 veces [4].</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2021-2025: FCF </w:t>
      </w:r>
      <w:r>
        <w:rPr>
          <w:b/>
          <w:bCs/>
        </w:rPr>
        <w:t xml:space="preserve">14.326</w:t>
      </w:r>
      <w:r>
        <w:t xml:space="preserve">, conversión </w:t>
      </w:r>
      <w:r>
        <w:rPr>
          <w:b/>
          <w:bCs/>
        </w:rPr>
        <w:t xml:space="preserve">136 %</w:t>
      </w:r>
      <w:r>
        <w:t xml:space="preserve"> del beneficio neto; adquisiciones 10.823, dividendos 0, recompras 0.</w:t>
      </w:r>
    </w:p>
    <w:p>
      <w:pPr>
        <w:spacing w:after="100"/>
      </w:pPr>
      <w:r>
        <w:t xml:space="preserve">El flujo operativo crece de 4.545 M EUR en 2021 a 5.291 M en 2025 y el capex se estabiliza en unos 1.525 M (5,4 % de las ventas) [6]. La empresa calcula el flujo de caja libre restando también los pagos de arrendamientos: 2.400 M en 2023 y 2024, y un récord de 2.800 M en 2025; 1.070 M en el 1S26, más de 100 M por encima del 1S25 [1, 3, 13, 14]. Los pagos de arrendamientos de 2023-2025 (930-966 M) son estimación propia: flujo operativo menos capex menos el flujo libre publicado. Los dividendos se pagan en parte en acciones (opción de dividendo en acciones a 175,06 EUR en 2026), por lo que la caja que sale es menor que el dividendo bruto. Las compras suman 10.823 M EUR en cinco años, dos tercios en 2021 (GrandVision) [6].</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(cuentas de 2025 auditadas; informe en emisión a 11-feb-2026)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Debilidad (0-3).</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n.d.</w:t>
            </w:r>
          </w:p>
        </w:tc>
      </w:tr>
    </w:tbl>
    <w:p>
      <w:pPr>
        <w:spacing w:after="160" w:before="0"/>
      </w:pPr>
    </w:p>
    <w:p>
      <w:pPr>
        <w:pStyle w:val="Heading2"/>
      </w:pPr>
      <w:r>
        <w:t xml:space="preserve">Ajustes, criterios contables y remuneración en acciones</w:t>
      </w:r>
    </w:p>
    <w:p>
      <w:pPr>
        <w:spacing w:after="100"/>
      </w:pPr>
      <w:r>
        <w:t xml:space="preserve">Las cuentas de 2025 estaban auditadas al publicar los resultados [1]. La calidad del beneficio depende de la lectura de los ajustes: el beneficio ajustado supera al publicado en 842 M EUR (36 %), sobre todo por la amortización de intangibles de la fusión, que no es caja; eso es razonable, pero el mercado y los analistas valoran sobre la cifra ajustada y la diferencia no se reduce deprisa [1]. El flujo de caja libre (2.800 M) es un 21 % mayor que el beneficio publicado y un 11 % menor que el ajustado, lo que da credibilidad a la cifra ajustada [1]. El motor no puede calcular bien Altman, Piotroski ni Beneish con el balance incompleto que tenemos: no los interpretamos.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e intangibles = 64 % del activo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deterioro (GrandVision, Supreme) no afectaría a la caja pero sí al beneficio publicado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Diferencia persistente entre beneficio ajustado y publicado (≈840 M EUR)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amortización de intangibles de compras; el FCF la respalda [1].</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22.271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rPr>
          <w:b/>
          <w:bCs/>
        </w:rPr>
        <w:t xml:space="preserve">ROIC incremental</w:t>
      </w:r>
      <w:r>
        <w:t xml:space="preserve"> (variación del NOPAT sobre variación del capital invertido en el periodo): 4,0 % · </w:t>
      </w:r>
      <w:r>
        <w:rPr>
          <w:b/>
          <w:bCs/>
        </w:rPr>
        <w:t xml:space="preserve">WACC</w:t>
      </w:r>
      <w:r>
        <w:t xml:space="preserve">: 7,3 %.</w:t>
      </w:r>
    </w:p>
    <w:p>
      <w:pPr>
        <w:spacing w:after="100"/>
      </w:pPr>
      <w:r>
        <w:t xml:space="preserve">El ROIC del motor (11,6 % en 2025) está inflado porque el balance que tenemos está incompleto. Medido sobre el capital total (patrimonio de 39.493 M más la deuda neta de 13.390 M), el rendimiento es bajo: un 4,8 % con el EBIT publicado y un 6,3 % con el EBIT ajustado de 4.459 M, ambos por debajo del WACC del 7,32 % [1, 7]. Es la huella de haber pagado con prima la fusión de 2018 y GrandVision: el fondo de comercio y los intangibles suman 40.766 M, el 64 % del activo [7]. Sin ellos, el negocio operativo rinde más del 25 % sobre unos 12.000 M de capital tangible (estimación propia), señal de foso. El ROIC incremental histórico que calcula el motor (4 %) confirma que el crecimiento reciente, muy apoyado en compras (Supreme, Heidelberg), ha creado poco valor. Hoya, su rival en lentes, rinde el 45 % sin fondo de comercio relevante [58].</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13.390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3.544 M EUR a cierre de 2025 [7]; deuda neta de 13.390 M EUR a 30-jun-2026 incluidos arrendamientos, 2,0 veces el EBITDA de 12 meses [4].</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Covenants, pasivos fuera de la deuda y contingencias</w:t>
      </w:r>
    </w:p>
    <w:p>
      <w:pPr>
        <w:spacing w:after="100"/>
      </w:pPr>
      <w:r>
        <w:t xml:space="preserve">No hemos podido leer las notas del informe anual (entorno sin acceso a la web de la empresa). La deuda neta sin arrendamientos ronda 7.300 M EUR según MarketScreener [19]; con arrendamientos, 13.390 M EUR a junio de 2026 [4]. La deuda financiera bruta de 2025 (10.844 M) es estimación propia: deuda neta sin arrendamientos más caja. Los minoritarios (128 M EUR de resultado en 2025) vienen de filiales no participadas al 100 % [5].</w:t>
      </w:r>
    </w:p>
    <w:p>
      <w:pPr>
        <w:pStyle w:val="Heading1"/>
      </w:pPr>
      <w:r>
        <w:t xml:space="preserve">12. Asignación de capital</w:t>
      </w:r>
    </w:p>
    <w:p>
      <w:pPr>
        <w:pStyle w:val="Confianza"/>
        <w:spacing w:after="100"/>
      </w:pPr>
      <w:r>
        <w:t xml:space="preserve">Confianza: Media</w:t>
      </w:r>
    </w:p>
    <w:p>
      <w:pPr>
        <w:spacing w:after="100"/>
      </w:pPr>
      <w:r>
        <w:t xml:space="preserve">Dividendo de 4,00 EUR por acción con cargo a 2025 (3,95 EUR en 2023 y 2024), con opción de cobro en acciones, lo que diluye ligeramente el capital (de 445,5 a 464,9 millones de acciones diluidas entre 2021 y 2025) [1, 5, 24]. La prioridad declarada es crecer: compras de complemento (Supreme, Heidelberg, cadenas en EE. UU. y Europa), inversión en gafas inteligentes y tecnología médica, y mantener la deuda neta en torno a 2 veces el EBITDA [1,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28"/>
        <w:gridCol w:w="1126"/>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GrandVision (cadena óptica europea)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el canal propio crece al 6,7 % (2025) [1,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Supreme (marca de ropa)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(1.500 M USD)</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Diversificación lejos del núcleo; sin cifras propias publicadas [23].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Heidelberg Engineering (80 %, diagnóstico oftálmico)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Base del negocio de tecnología médica [23].</w:t>
            </w:r>
          </w:p>
        </w:tc>
      </w:tr>
    </w:tbl>
    <w:p>
      <w:pPr>
        <w:spacing w:after="160" w:before="0"/>
      </w:pPr>
    </w:p>
    <w:p>
      <w:pPr>
        <w:spacing w:after="100"/>
      </w:pPr>
      <w:r>
        <w:t xml:space="preserve">La dirección ha usado el balance sobre todo para comprar: 10.823 M EUR en cinco años, frente a un dividendo que sube despacio y sin recompras relevantes [6]. El rendimiento de ese capital es bajo: el ROIC publicado (≈5 %) está por debajo del coste del capital, porque el capital invertido incluye 40.766 M EUR de fondo de comercio e intangibles [7]. Con el beneficio ajustado el ROIC ronda el 8 %, apenas por encima del WACC. Supreme, una marca de ropa, es la compra más difícil de justificar por negocio. La dilución del dividendo en acciones (+4 % de acciones en cinco años) resta al BPA.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Francesco Milleri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Consultor y empresario; consejero delegado de Luxottica desde 2017 y artífice de la fusión con Essilor. Presidente y consejero delegado desde 2022; bajo su mandato las ventas pasaron de 19.820 a 28.491 M EUR (2021-2025)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Paul du Saillant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adjunto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Procedente de Essilor; responsable de la integración y de las operaciones.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Stefano Grassi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 de Luxottica antes de la fusión; cuantificó en 300 M EUR el coste de los aranceles de 2025 [21].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Objetivos 2022-2026: crecimiento anual de un dígito alto a tipo constante y margen operativo ajustado del 19-20 % en 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+11,2 % a tipo constante en 2025; margen ajustado del 16,0 %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a cinco años: crecimiento sólido de ventas y beneficio operativo ajustado alineado (feb-26)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+9,7 % y margen del 18,6 % en el 1S26; la dirección rebajó después las expectativas de ventas del año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El equipo es estable y viene de la fusión (Milleri, du Saillant, Grassi). La credibilidad está tocada en dos frentes: el objetivo de margen del 19-20 % de 2026 se abandonó en febrero por una guía cualitativa a cinco años, y en septiembre la dirección empujó a los analistas a bajar las ventas de 2026 [1]. La sucesión es el riesgo: Milleri concentra presidencia y dirección y su continuidad al frente de Delfin está en cuestión [37].</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de 13 (6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Francesco Milleri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Paul du Saillant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 adjunto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(cuentas de 2025 auditadas; informe en emisión a 11-feb-2026)</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Delfin (familia Del Vecchio)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Holding familiar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Leonardo Maria Del Vecchio compra el 25 % de sus hermanos en Delfin (≈10.000 M EUR, abril de 2026) y pasaría al 37,5 % del holding [38].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Meta Platforms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Socio industrial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 menos un 3 %, confirmado por un consejero a finales de 2025 [41, 43].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7" name="Gráfico 17"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política de 2026 (resoluciones 9 y 10 de la junta del 28 de abril) permite una remuneración excepcional de hasta una vez la remuneración total máxima del directivo, algo que la AFG señaló como alerta [39, 40]. No hemos podido leer el informe de remuneraciones ni el resultado de las votaciones: no damos cifras.</w:t>
      </w:r>
    </w:p>
    <w:p>
      <w:pPr>
        <w:pStyle w:val="Heading2"/>
      </w:pPr>
      <w:r>
        <w:t xml:space="preserve">Operaciones vinculadas, estructura de control y defensas</w:t>
      </w:r>
    </w:p>
    <w:p>
      <w:pPr>
        <w:spacing w:after="100"/>
      </w:pPr>
      <w:r>
        <w:t xml:space="preserve">Delfin controla de hecho la junta con el 32,4 % y el presidente y consejero delegado (Milleri) preside también Delfin [37, 38]. En septiembre de 2026, Leonardo Maria Del Vecchio, que se hace con el control de Delfin, se opuso al control de facto de Milleri y sugirió que los accionistas de Delfin podrían no renovarle la presidencia del holding el año próximo; el consejo de EssilorLuxottica respondió renovándole por unanimidad su confianza como presidente y consejero delegado [37]. Meta, socio comercial, tiene al menos un 3 % [41].</w:t>
      </w:r>
    </w:p>
    <w:p>
      <w:pPr>
        <w:pStyle w:val="Heading2"/>
      </w:pPr>
      <w:r>
        <w:t xml:space="preserve">Señales de alerta</w:t>
      </w:r>
    </w:p>
    <w:p>
      <w:pPr>
        <w:pStyle w:val="ListParagraph"/>
        <w:numPr>
          <w:ilvl w:val="0"/>
          <w:numId w:val="2"/>
        </w:numPr>
        <w:spacing w:after="60"/>
      </w:pPr>
      <w:r>
        <w:t xml:space="preserve">Disputa entre el heredero que controla Delfin y el presidente y consejero delegado (septiembre de 2026) [37].</w:t>
      </w:r>
    </w:p>
    <w:p>
      <w:pPr>
        <w:pStyle w:val="ListParagraph"/>
        <w:numPr>
          <w:ilvl w:val="0"/>
          <w:numId w:val="2"/>
        </w:numPr>
        <w:spacing w:after="60"/>
      </w:pPr>
      <w:r>
        <w:t xml:space="preserve">Presidencia y dirección ejecutiva en la misma persona, que preside además el accionista de control [37].</w:t>
      </w:r>
    </w:p>
    <w:p>
      <w:pPr>
        <w:pStyle w:val="ListParagraph"/>
        <w:numPr>
          <w:ilvl w:val="0"/>
          <w:numId w:val="2"/>
        </w:numPr>
        <w:spacing w:after="60"/>
      </w:pPr>
      <w:r>
        <w:t xml:space="preserve">Política de remuneración con cláusula de remuneración excepcional señalada por la AFG [39].</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En febrero de 2026, con las cuentas de 2025, la empresa sustituyó los objetivos del plan 2022-2026 por una guía a cinco años: crecimiento «sólido» de las ventas y del beneficio operativo ajustado «ampliamente alineado», a tipo constante [1]. La confirmó en abril y en julio, avisando de una base de comparación más exigente en el segundo semestre. A finales de septiembre, según Bernstein, la dirección empujó al mercado a rebajar las previsiones de ventas de 2026 [29]. Las ventas del tercer trimestre se publican el 20 de octubre [73].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84"/>
        <w:gridCol w:w="1302"/>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23-sep-2026 (BPA = beneficio neto 2.650 M / 459,6 M acciones, base publicada) [47]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7.936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23-sep-2026 (beneficio neto ≈3.040 M) [47]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30.200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30.266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32.465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32.871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7.857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7.936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157,00 – 300,00</w:t>
            </w:r>
          </w:p>
        </w:tc>
      </w:tr>
    </w:tbl>
    <w:p>
      <w:pPr>
        <w:spacing w:after="160" w:before="0"/>
      </w:pPr>
    </w:p>
    <w:p>
      <w:pPr>
        <w:pStyle w:val="Heading2"/>
      </w:pPr>
      <w:r>
        <w:t xml:space="preserve">Revisiones de estimaciones</w:t>
      </w:r>
    </w:p>
    <w:p>
      <w:pPr>
        <w:spacing w:after="100"/>
      </w:pPr>
      <w:r>
        <w:t xml:space="preserve">Las revisiones son a la baja y continuas desde abril. En septiembre y octubre: Goldman de 200 a 165 EUR (neutral), RBC de 230 a 190 EUR, Barclays de 265 a 260 EUR, Deutsche Bank de 174 a 157 EUR (mantener), Oddo BHF de 220 a 186 EUR, Bernstein de 200 a 185 EUR, BofA de 237 a 205 EUR (comprar) y Jefferies a 250 EUR (comprar) [29, 50, 51, 52, 74]. El motivo es la desaceleración de las gafas con IA frente a una base alta, la competencia y los aranceles. Los objetivos medios publicados por los agregadores (261-279 EUR) son anteriores a estos recortes y no los usamos [48, 49].</w:t>
      </w:r>
    </w:p>
    <w:p>
      <w:pPr>
        <w:pStyle w:val="Heading1"/>
      </w:pPr>
      <w:r>
        <w:t xml:space="preserve">17. Múltiplos frente a su historia</w:t>
      </w:r>
    </w:p>
    <w:p>
      <w:pPr>
        <w:pStyle w:val="Confianza"/>
        <w:spacing w:after="100"/>
      </w:pPr>
      <w:r>
        <w:t xml:space="preserve">Confianza: Baja</w:t>
      </w:r>
    </w:p>
    <w:p>
      <w:pPr>
        <w:spacing w:after="160" w:before="0"/>
      </w:pPr>
    </w:p>
    <w:p>
      <w:pPr>
        <w:spacing w:after="100"/>
      </w:pPr>
      <w:r>
        <w:t xml:space="preserve">Solo tenemos dos cierres anuales fiables: unos 177 EUR al final de 2022 y unos 270 EUR al final de 2025 (deducido de la caída del 39,09 % en el año hasta 164,40 EUR del 22 de julio) [54, 55]. En 2024 la acción subió más de un 31 % [56]. Con el BPA ajustado, el PER fue de unas 27,5 veces en 2022 y 39,8 veces en 2025, máximo alcanzado con la euforia de las gafas con IA (323,80 EUR el 13-nov-2025) [57]. Hoy, a 146,30 EUR, cotiza a unas 21,5 veces el BPA ajustado de 2025 y a 18,4 veces nuestro BPA ajustado de 2027e: el múltiplo más bajo en al menos cinco años.</w:t>
      </w:r>
    </w:p>
    <w:p>
      <w:pPr>
        <w:pStyle w:val="Heading1"/>
      </w:pPr>
      <w:r>
        <w:t xml:space="preserve">18. Comparables cotizados</w:t>
      </w:r>
    </w:p>
    <w:p>
      <w:pPr>
        <w:pStyle w:val="Confianza"/>
        <w:spacing w:after="100"/>
      </w:pPr>
      <w:r>
        <w:t xml:space="preserve">Confianza: Media</w:t>
      </w:r>
    </w:p>
    <w:p>
      <w:pPr>
        <w:spacing w:after="100"/>
      </w:pPr>
      <w:r>
        <w:t xml:space="preserve">Nueve cotizadas de salud visual y auditiva y tecnología médica de consumo: Hoya (2.º en lentes), Alcon, Cooper y Bausch + Lomb (lentes de contacto y cirugía ocular), Fielmann y National Vision (cadenas ópticas), Sonova y Demant (audición, mismo modelo de fabricante con red propia) y Terumo (tecnología médica). Warby Parker queda fuera (PER de 87 veces, sin beneficio estable). No hay comparable puro de monturas y gafas de sol de lujo cotizado y líquido (Safilo es pequeño). Cifras de los informes del repo de Hoya (14-oct), Cooper y Fielmann (9-oct), convertidas a EUR con 180,2 JPY y 1,1186 USD por EUR [36, 58, 59, 60, 61, 62, 63, 64].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EssilorLuxottica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67.239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Hoya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46.421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Alcon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27.281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 Companies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Bausch + Lomb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Fielmann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National Vision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Sonova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Terumo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18.896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 / 10,2x / 11,2x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158,36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 / 11,7x / 15,1x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183,20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 / 18,7x / 22,1x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28.491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 / 3,1x / 3,5x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93,29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159,00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186,28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8" name="Gráfico 18"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9" name="Gráfico 19"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rPr>
          <w:b/>
        </w:rPr>
        <w:t xml:space="preserve">Regresión EV/EBITDA NTM sobre crecimiento</w:t>
      </w:r>
      <w:r>
        <w:t xml:space="preserve"> (8 comparables): múltiplo = 5,9 + 0,65 × crecimiento; R² = 0,27. El crecimiento explica poco los múltiplos de estos comparables (R² &lt; 0,3): la regresión no se usa en la valoración.</w:t>
      </w:r>
    </w:p>
    <w:p>
      <w:pPr>
        <w:spacing w:after="100"/>
      </w:pPr>
      <w:r>
        <w:t xml:space="preserve">EssilorLuxottica cotiza a 12,5 veces el EBITDA de los últimos 12 meses y 10,5 veces el de los próximos, en la mediana de los comparables (11,7x y 10,2x), y a 22,7 veces el BPA publicado de los próximos 12 meses frente a 18,7x de mediana [36, 58, 59, 60, 61, 62]. Ese PER exagera la prima: el BPA publicado lleva unos 1,8 EUR por acción de amortización de intangibles de la fusión, mientras que la mayoría de los comparables (Hoya, Sonova, Demant, Cooper) cotizan sobre beneficio ajustado; con el BPA ajustado el PER es de unas 18-20 veces, en línea con la mediana. Por eso el valor por PER (120,40 EUR) es un suelo y el de EV/EBITDA (140,58 EUR) la referencia. El margen EBITDA (22,9 %) está en la mediana (24 %) y el crecimiento esperado (6,3 %) también; la prima de Hoya (31,7x) se debe a sus semiconductores [58]. La regresión múltiplo-crecimiento no explica nada (R² 0,27) y no se usa.</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GN Hearing (audífonos)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Amplifon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≈2.300 M EUR sin caja ni deuda; ventas ≈1.000 M y EBITDA ajustado ≈220 M EUR, sin sinergias [65].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Hologic (tecnología médica)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Blackstone y TPG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16.360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79 USD por acción; EBITDA ajustado de 1.339,7 M USD [66].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Xiidra (Novartis)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Bausch + Lomb</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 inicial de 1.750 M USD [68].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Generate Life Sciences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Cooper Companies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Fertilidad y bancos de células; ventas ≈250 M USD [67].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Shopko Optical (cadena óptica de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Fielmann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proforma de 171,4 M EUR [69].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2019-07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GrandVision (76,72 %)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EUR por acción; el 76,72 % costaba unos 5.500 M EUR con 3.700 M EUR de ventas; sin valor empresa ni EBITDA publicados [35].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191,24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111,27 – 245,17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Las dos operaciones con EBITDA publicado se pagaron a 10,5 y 13,7 veces, por debajo o en línea con lo que hoy paga el mercado por EssilorLuxottica (unas 12 veces el EBITDA de 2025). Con Delfin al 32,4 % y una capitalización de 67.000 M EUR, una opa es improbable; la disputa en Delfin podría, como mucho, llevar a cambios en el holding, no en el capital de la cotizada [65, 66].</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Partimos de 2026e con un +6,0 % publicado (fijo: dos trimestres cerrados): +9,7 % a tipo constante en el 1S26 y un segundo semestre más flojo por la base de comparación, menos unos 3 puntos de dólar [3]. Para 2027-28 usamos 7,5 % y 7,0 %, por debajo del consenso (32.871 M en 2027e, +8,6 %) [47] y del crecimiento orgánico de 2025 (11,2 %), porque suponemos que las gafas con IA crecen menos [21]. Bajamos al 3 % en 2035, cerca del terminal. La media de la proyección es del 5,2 %, frente al 6-11 % a tipo constante de 2024-2026.</w:t>
      </w:r>
    </w:p>
    <w:p>
      <w:pPr>
        <w:keepNext/>
        <w:spacing w:after="100"/>
      </w:pPr>
      <w:r>
        <w:rPr>
          <w:b/>
          <w:bCs/>
        </w:rPr>
        <w:t xml:space="preserve">Márgenes.</w:t>
      </w:r>
    </w:p>
    <w:p>
      <w:pPr>
        <w:spacing w:after="100"/>
      </w:pPr>
      <w:r>
        <w:t xml:space="preserve">El margen EBITDA publicado fue del 22,9 % en 2025, con los aranceles (≈300 M) y la mezcla de gafas con IA en contra [1, 21]. El consenso de 2026 (7.221 M) implica un 23,9 %; usamos 23,8 % y subimos medio punto al año hasta el 25 %, coherente con el margen operativo ajustado del 18,6 % del 1S26 (+80 pb) [3, 47]. No llegamos al objetivo antiguo del 19-20 % de margen ajustado. El margen de 2025 es el más bajo desde 2022 (24,8 % en 2022 según nuestras cifras).</w:t>
      </w:r>
    </w:p>
    <w:p>
      <w:pPr>
        <w:keepNext/>
        <w:spacing w:after="100"/>
      </w:pPr>
      <w:r>
        <w:rPr>
          <w:b/>
          <w:bCs/>
        </w:rPr>
        <w:t xml:space="preserve">Inversión y circulante.</w:t>
      </w:r>
    </w:p>
    <w:p>
      <w:pPr>
        <w:spacing w:after="100"/>
      </w:pPr>
      <w:r>
        <w:t xml:space="preserve">La amortización (10,8 % de las ventas en 2026e) incluye unos 2,5-3 puntos de intangibles de la fusión, que no hay que reponer; baja al 7 % en 2035. El capex (8,7 % al principio, 7,5 % al final) suma el capex del estado de flujos (5,4 % de las ventas en 2025) y las altas de derechos de uso (≈3,3 %, igual a los pagos de arrendamientos), porque los arrendamientos están en la deuda del puente [6]. En el último año el capex (7,5 %) supera a la amortización (7,0 %). El circulante se mantiene en el 25,5 % de las ventas: existencias más clientes, sin proveedores (no los tenemos), lo que exagera algo la inversión en circulante y es conservador.</w:t>
      </w:r>
    </w:p>
    <w:p>
      <w:pPr>
        <w:keepNext/>
        <w:spacing w:after="100"/>
      </w:pPr>
      <w:r>
        <w:rPr>
          <w:b/>
          <w:bCs/>
        </w:rPr>
        <w:t xml:space="preserve">Coste del capital.</w:t>
      </w:r>
    </w:p>
    <w:p>
      <w:pPr>
        <w:spacing w:after="100"/>
      </w:pPr>
      <w:r>
        <w:t xml:space="preserve">Bund a 10 años del 3,2 % (agosto de 2026, nivel más alto desde 2011) [71]; beta de 0,9, por encima de la de Yahoo para la línea extrabursátil (0,55) y en línea con la histórica de la línea de París (0,90) [72]; prima de mercado del 5,5 %; sin prima adicional (vende en todo el mundo). Coste de la deuda del 3,5 % antes de impuestos y peso de la deuda del 15 % (13.390 M sobre 67.239 M de capitalización más deuda). WACC del 7,32 %.</w:t>
      </w:r>
    </w:p>
    <w:p>
      <w:pPr>
        <w:keepNext/>
        <w:spacing w:after="100"/>
      </w:pPr>
      <w:r>
        <w:rPr>
          <w:b/>
          <w:bCs/>
        </w:rPr>
        <w:t xml:space="preserve">Valor terminal.</w:t>
      </w:r>
    </w:p>
    <w:p>
      <w:pPr>
        <w:spacing w:after="100"/>
      </w:pPr>
      <w:r>
        <w:t xml:space="preserve">Gordon con un 2,5 % de crecimiento: inflación del euro del 2 % más medio punto real, por debajo de la tasa libre (3,2 %) menos medio punto. El valor terminal pesa el 68 % del valor. Implica un múltiplo de salida de unas 12-13 veces el EBITDA, en línea con lo que hoy pagan el mercado (12,5x) y los comparables (11,7x) [36, 58, 59, 60, 61, 62].</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47.259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123.151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141.776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64.230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-13.390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174,69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250,23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161,76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168,22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172,20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185,94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227,30</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1.574 M (3 % del NOPAT)</w:t>
            </w:r>
          </w:p>
        </w:tc>
      </w:tr>
    </w:tbl>
    <w:p>
      <w:pPr>
        <w:spacing w:after="160" w:before="0"/>
      </w:pPr>
    </w:p>
    <w:p>
      <w:pPr>
        <w:spacing w:after="100"/>
      </w:pPr>
      <w:r>
        <w:t xml:space="preserve">La proyección apenas necesita inversión neta de la amortización (reinversión acumulada de 1.574 M, el 3 % del NOPAT, con un capex bruto medio del 8,2 % de las ventas). En un negocio de activos ligeros, el crecimiento medio del 5,2 %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(gafas con IA que casi se duplican en el 2T, miopía +24 %) y precio y mezcla en lentes dan +9 % a tipo constante; el dólar resta unos 3 puntos [3, 18].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4,5 % (lentes, tiendas propias, gafas con IA a menor ritmo), 2,5 % de precio y medio punto de compras pequeñas.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4,5 % y precio del 2,5 %, por debajo del 6-11 % orgánico de 2024-2026 [1, 14].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se modera al 3,5 %; precio en línea con la inflación más mezcla.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3 % (envejecimiento y miopía) y precio del 2,5 %.</w:t>
            </w:r>
          </w:p>
        </w:tc>
      </w:tr>
    </w:tbl>
    <w:p>
      <w:pPr>
        <w:spacing w:after="160" w:before="0"/>
      </w:pPr>
    </w:p>
    <w:p>
      <w:pPr>
        <w:spacing w:after="100"/>
      </w:pPr>
      <w:r>
        <w:t xml:space="preserve">La proyección pide un 5,2 % de crecimiento medio, por debajo de lo que la empresa ha hecho sin compras (6,0 % en 2024, 11,2 % en 2025 y 9,7 % en el 1S26 a tipo constante) [1, 3, 14]. El motor no puede hacer la prueba de reinversión porque la amortización incluye unos 800 M de intangibles de la fusión que no hay que reponer (reinversión del 3 % del NOPAT): hecha a mano, el capex con derechos de uso (8,2 % medio) supera a la amortización sin esos intangibles (≈7,5-8 %), así que la proyección sí financia el crecimiento. El poder de precios está demostrado en lentes (margen bruto ajustado del 61 %) y el foso es amplio; la cuota no la conocemos (mercado_final nulo) y el riesgo está en las gafas con IA, no en el núcleo.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 (base: 5,1 %)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22,8 % (base: 25,0 %)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 (WACC: 7,3 %)</w:t>
            </w:r>
          </w:p>
        </w:tc>
      </w:tr>
    </w:tbl>
    <w:p>
      <w:pPr>
        <w:spacing w:after="160" w:before="0"/>
      </w:pPr>
    </w:p>
    <w:p>
      <w:pPr>
        <w:spacing w:after="100"/>
      </w:pPr>
      <w:r>
        <w:t xml:space="preserve">El DCF da 174,69 EUR por acción (rango de 143,90 a 221,35 con el WACC y el crecimiento terminal ±0,5 puntos), un 19,4 % sobre el precio, con el valor terminal en el 68 %. El DCF inverso dice que a 146,30 EUR el mercado descuenta un crecimiento anual del 2,3 % en 2027-2035 (frente a nuestro 5,1 %) con un margen EBITDA del 22,8 %, el de 2025, o una rentabilidad implícita del 8,1 %, por encima de nuestro WACC del 7,32 %. Es un supuesto conservador: la empresa nunca ha crecido tan poco sin una pandemia, y el margen operativo ajustado ya sube en 2026. El precio descuenta que las gafas con IA no aportan y que los aranceles se quedan; no descuenta que el núcleo de lentes siga creciendo al 5-6 %. Con la prima implícita del mercado (4,2 %) el DCF sube a 229,69 EUR: la acción está barata frente al mercado, pero no tanto frente a un coste del capital exigente.</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gafas con IA se estancan ante Google, Samsung y Apple, los aranceles se quedan y el lujo sigue flojo: el crecimiento cae 2,5 puntos al año y el margen EBITDA 1,5 puntos, como en 2025 cuando los aranceles y la mezcla le quitaron 70 pb de margen ajustado.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174,69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núcleo de lentes y tiendas crece al 6-7 % con precio y mezcla, las gafas con IA crecen más despacio y el margen EBITDA sube al 25 % en 2030.</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201,75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gafas con IA y el control de miopía mantienen el crecimiento cerca del 9 % y el margen recupera el camino del antiguo objetivo del 19-20 % de margen operativo ajustado.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Valor por acción por escenario (EUR) · precio actual 146,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bCs/>
        </w:rPr>
        <w:t xml:space="preserve">Valor ponderado por probabilidad:</w:t>
      </w:r>
      <w:r>
        <w:t xml:space="preserve"> 164,40 EUR (+12,4 %).</w:t>
      </w:r>
    </w:p>
    <w:p>
      <w:pPr>
        <w:spacing w:after="100"/>
      </w:pPr>
      <w:r>
        <w:t xml:space="preserve">En el DCF, el bajista (122,34 EUR) pierde un 16,4 % y el alcista (201,75 EUR) gana un 37,9 %: asimetría de 2,31 veces, favorable. A 12 meses, con el PER de la regla común, la asimetría es parecida (bajista −16,9 %, alcista +55,8 %), pero el bajista pesa un 30 % porque la desaceleración de las gafas con IA ya se está viendo en los recortes de los analistas [29, 50, 51, 52].</w:t>
      </w:r>
    </w:p>
    <w:p>
      <w:pPr>
        <w:pStyle w:val="Heading1"/>
      </w:pPr>
      <w:r>
        <w:t xml:space="preserve">22. Suma de partes</w:t>
      </w:r>
    </w:p>
    <w:p>
      <w:pPr>
        <w:pStyle w:val="Confianza"/>
        <w:spacing w:after="100"/>
      </w:pPr>
      <w:r>
        <w:t xml:space="preserve">Confianza: Baja</w:t>
      </w:r>
    </w:p>
    <w:p>
      <w:pPr>
        <w:spacing w:after="100"/>
      </w:pPr>
      <w:r>
        <w:t xml:space="preserve">No aplica: los segmentos (Professional Solutions y Direct to Consumer) no publican resultado y comparten marcas y fábricas; las gafas con IA no se desglosan.</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4" name="Gráfico 24" descr="Valor por acción según cada método (EUR) · precio actual 146,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191,24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245,17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174,69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221,35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201,75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229,69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269,85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147,03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158,34 EUR (+8,2 % sobre 146,30).</w:t>
      </w:r>
    </w:p>
    <w:p>
      <w:pPr>
        <w:spacing w:after="100"/>
      </w:pPr>
      <w:r>
        <w:t xml:space="preserve">Pesamos el DCF un 40 %, los escenarios un 30 % y los comparables un 30 %; las transacciones, nada (Delfin controla el 32,4 %, no hay opa posible). El DCF es el método más fiable aquí porque el negocio es estable y genera caja (2.800 M de FCF en 2025) [1]. Los comparables dan menos (120-141 EUR) porque el PER se aplica a un BPA publicado lastrado por la amortización de intangibles, y el EV/EBITDA de los próximos 12 meses queda en la mediana. La dispersión (106-245 EUR entre métodos) es amplia y el centro de gravedad está en 155-175 EUR, un 6-20 % por encima del precio.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122,15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(18.4x) × 1.1 (tope: la mediana de 5 años, 36.4x,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176,35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255,80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+77,6 %</w:t>
            </w:r>
          </w:p>
        </w:tc>
      </w:tr>
    </w:tbl>
    <w:p>
      <w:pPr>
        <w:spacing w:after="160" w:before="0"/>
      </w:pPr>
    </w:p>
    <w:p>
      <w:pPr>
        <w:spacing w:after="100"/>
      </w:pPr>
      <w:r>
        <w:rPr>
          <w:b/>
          <w:bCs/>
        </w:rPr>
        <w:t xml:space="preserve">Objetivo a 12 meses (ponderado):</w:t>
      </w:r>
      <w:r>
        <w:t xml:space="preserve"> 175,98 EUR · rentabilidad +23,0 % (base +23,3 %) · señal Mantener.</w:t>
      </w:r>
    </w:p>
    <w:p>
      <w:pPr>
        <w:spacing w:after="100"/>
      </w:pPr>
      <w:r>
        <w:t xml:space="preserve">Para comparar, con la regla v2 (historia al cierre, mismo precio): 15,6x / 18,4x / 23,9x, 12,4 % Mantener; con el tope anterior del base (×1,3, 14-oct mediodía): 44,9 % Mantener. Decide la regla vigente (v3 con tope ×1,1; METODO-VIGENTE.md).</w:t>
      </w:r>
    </w:p>
    <w:p>
      <w:pPr>
        <w:keepNext/>
        <w:spacing w:after="100"/>
      </w:pPr>
      <w:r>
        <w:rPr>
          <w:b/>
          <w:bCs/>
        </w:rPr>
        <w:t xml:space="preserve">Frente al consenso (solo contraste).</w:t>
      </w:r>
    </w:p>
    <w:p>
      <w:pPr>
        <w:spacing w:after="100"/>
      </w:pPr>
      <w:r>
        <w:t xml:space="preserve">Nuestro base a 12 meses (160,63 EUR) queda un 19,6 % por debajo del objetivo medio de los ocho analistas que han revisado en septiembre-octubre (199,75 EUR; 157-260). El BPA no explica la diferencia: nuestro BPA publicado de 2027e (≈6,45 EUR) está cerca del consenso de MarketScreener (6,62) [47]. La explica el múltiplo: aplicamos el PER actual (18,4x el BPA ajustado de 2027e) porque es menor que la mediana de cinco años, mientras que los objetivos de los analistas implican 22-25 veces, a medio camino de la historia. La tendencia de los objetivos es a la baja y algunos ya están por debajo de nuestro base (Deutsche Bank 157, Goldman 165) [50, 51, 52].</w:t>
      </w:r>
    </w:p>
    <w:p>
      <w:pPr>
        <w:keepNext/>
        <w:spacing w:after="100"/>
      </w:pPr>
      <w:r>
        <w:rPr>
          <w:b/>
          <w:bCs/>
        </w:rPr>
        <w:t xml:space="preserve">Del valor intrínseco al objetivo a 12 meses.</w:t>
      </w:r>
    </w:p>
    <w:p>
      <w:pPr>
        <w:spacing w:after="100"/>
      </w:pPr>
      <w:r>
        <w:t xml:space="preserve">Con la regla común, el objetivo ponderado es de 160,39 EUR (+12,4 % con el dividendo del 2,7 %) y el base de 160,63 (+12,5 %): Mantener, con la ponderada a 2,6 puntos del umbral de compra (15 %). El valor intrínseco de la síntesis (158,34 EUR) y el DCF (174,69 EUR) están algo por encima del objetivo a 12 meses; la distancia es pequeña, así que no hace falta una tesis a varios años. Lo que la cerraría es que las ventas del 3T (20 de octubre) y la guía de 2027 dejen de bajar las estimaciones. Compraríamos por debajo de 142,95 EUR.</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3T26 [73]</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prueba del segundo semestre con base de comparación alta; un crecimiento a tipo constante por debajo del 7 % confirmaría los recortes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ajustado del año y objetivos de 2027; una guía cuantitativa devolvería visibilidad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Primavera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de Delfin y renovación de su presidencia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Milleri deja la presidencia del holding, riesgo de cambio en la dirección de EssilorLuxottica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gafas con IA de Apple y de Google con sus socios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ventaja de la alianza con Meta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Negociación arancelaria UE-EE.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arancel menor devolvería parte de los 300 M de coste de 2025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Desaceleración de las gafas con IA y competencia de Google, Samsung y Apple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−17 % (bajista a 12 meses)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Alianza con Meta y marcas Ray-Ban y Oakley; el núcleo de lentes no depende de ellas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las gafas con IA por debajo de un dígito o precios de entrada a la baja (Meta Glasses desde 299 USD) [21]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disputa entre el heredero que controla Delfin y el presidente y consejero delegado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(descuento de gobierno)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consejo renovó su confianza a Milleri por unanimidad (sep-26)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renovación de Milleri en Delfin o cambios en el consejo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y dólar débil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Macro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por cada 100 pb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precio y producción local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entre crecimiento a tipo constante y publicado superior a 4 puntos [3]</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baja del capital total (ROIC con fondo de comercio del 5-6 %, bajo el WACC)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Múltiplo limitado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FCF récord de 2.800 M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compras fuera del núcleo (como Supreme)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Deterioro del fondo de comercio (31.013 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en caja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de los negocios comprados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 ventas comparables en GrandVision o Supreme</w:t>
            </w:r>
          </w:p>
        </w:tc>
      </w:tr>
    </w:tbl>
    <w:p>
      <w:pPr>
        <w:spacing w:after="160" w:before="0"/>
      </w:pPr>
    </w:p>
    <w:p>
      <w:pPr>
        <w:pStyle w:val="Heading2"/>
      </w:pPr>
      <w:r>
        <w:t xml:space="preserve">Pre-mortem</w:t>
      </w:r>
    </w:p>
    <w:p>
      <w:pPr>
        <w:spacing w:after="100"/>
      </w:pPr>
      <w:r>
        <w:t xml:space="preserve">Es octubre de 2029 y la acción vale 90 EUR. Las gafas de Apple y Google se comieron el segmento de gama media en 2027-28 y Meta reabrió su acuerdo con otros fabricantes; las ventas de gafas con IA cayeron y dejaron capacidad ociosa. A la vez, Leonardo Maria Del Vecchio no renovó a Milleri en Delfin y el relevo en la dirección paralizó las decisiones un año. El núcleo de lentes siguió creciendo al 4 %, pero el margen cayó al 22 % por los aranceles y la mezcla, y el mercado dejó de pagar 18 veces el beneficio. La señal temprana fue la diferencia entre el crecimiento de las gafas con IA y el del grupo en los trimestres de 2026-27 y los recortes de objetivos, que nunca pararon.</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materiales son la gobernanza (control de Delfin y disputa entre Leonardo Maria Del Vecchio y el presidente y consejero delegado Francesco Milleri en 2026), la privacidad de los datos de las gafas con IA y la cadena de suministro en China e Italia, expuesta a aranceles [29]. No hemos encontrado calificaciones ESG recientes en fuentes accesibles.</w:t>
      </w:r>
    </w:p>
    <w:p>
      <w:pPr>
        <w:pStyle w:val="Heading2"/>
      </w:pPr>
      <w:r>
        <w:t xml:space="preserve">Controversias</w:t>
      </w:r>
    </w:p>
    <w:p>
      <w:pPr>
        <w:spacing w:after="100"/>
      </w:pPr>
      <w:r>
        <w:t xml:space="preserve">Litigio con GrandVision y HAL resuelto a favor de EssilorLuxottica (2021). En 2026, disputa en el holding Delfin sobre la presidencia de Milleri; el consejo de EssilorLuxottica le renovó por unanimidad su confianza en septiembre.</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Gafas con 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y del beneficio operativo de 2026 dan las gafas con IA, y con qué margen frente al del grupo?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el escenario base y el bajista y la empresa no la desglosa.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pasa con la dirección de EssilorLuxottica si Delfin no renueva a Milleri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accionista de control y el primer ejecutivo están enfrentados.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¿Mantiene el grupo el objetivo de un margen operativo ajustado del 19-20 % a medio plazo?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retiró en febrero y es la palanca del alcista.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rentabilidad esperan de Supreme y qué criterio de ROIC aplican a las 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ROIC del capital total está por debajo del WACC.</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Meta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exclusividad y duración tiene el acuerdo con Meta y qué papel tiene su participación del 3 %?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plataforma es de Meta; el riesgo de que abra el acuerdo a otros fabricantes no está cuantificado.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particulares, vía Webull)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narrativas de la comunidad sitúan el valor razonable muy por encima del precio (un 38 % de descuento en la última) y ven la caída como exagerada, condicionada a que las gafas con IA no erosionen el margen [75, 76].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Tradingsat / BFM Bourse (noticia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los recortes de objetivos de finales de septiembre, la conversación gira en torno a la caída continua y a la falta de suelo; se repite la idea de que la empresa vendió una historia tecnológica que no se cumple [74].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getquin (comunidad de inversores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ven una oportunidad de comprar a la mitad del máximo una empresa con foso; otros temen una «trampa de valor» por la competencia de Google, Samsung y Apple en gafas con IA [78].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económica italiana y francesa (Il Sole 24 Ore, Option Finance)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 divididos entre optimistas y prudentes; preocupación nueva por la gobernanza tras la disputa en Delfin [37, 77].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Las gafas con IA: motor o trampa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dan razón a las dos partes: casi se duplicaron en el 2T26, pero frenaron en el 1T26 y su margen es menor que el del grupo. Nuestro base no depende de ellas.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barata frente a la historia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el PER sobre BPA ajustado (18,4 veces 2027e) es el más bajo en al menos cinco años; pero los foros usan valores razonables de modelos automáticos, no cifras propias.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Del Vecchio frente a Milleri</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real y reciente (septiembre de 2026) [37]; lo recogemos en gobierno y en riesgos.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Recortes de objetivos de los analistas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Ocho recortes en un mes (157-250 EUR); el sentimiento sigue al consenso, no se adelanta [53].</w:t>
            </w:r>
          </w:p>
        </w:tc>
      </w:tr>
    </w:tbl>
    <w:p>
      <w:pPr>
        <w:spacing w:after="160" w:before="0"/>
      </w:pPr>
    </w:p>
    <w:p>
      <w:pPr>
        <w:spacing w:after="100"/>
      </w:pPr>
      <w:r>
        <w:t xml:space="preserve">El sentimiento está dividido y empeorando: el particular ve una ganga a la mitad del máximo, y la prensa y los analistas siguen recortando. No es capitulación (no vemos ventas masivas ni pánico), sino cansancio tras una caída del 47 %. Lo que aporta a la decisión es el riesgo de gobierno, que apenas aparecía en el discurso de los analistas, y la confirmación de que el catalizador que falta es que las gafas con IA dejen de bajar las estimaciones; las ventas del 3T del 20 de octubre son la prueba.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20 controles correctos y 1 explicados. Fuentes: 78 (15 primarias); citas distintas en el texto: 67.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25,5 % frente a 25,6 % real: genera una variación de circulante de 394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0,27: el crecimiento no explica los múltiplos de estos comparables; no uses el valor de la regresión. Explicación: Con R² de 0,27 la regresión no se usa; los comparables mezclan óptica, audición y tecnología médica.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-11,7 %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Comprar pendiente de confirmar los datos (confianza baja)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a 12 meses da «Comprar» pero la confianza del resumen es Baja: la señal se queda en Mantener; di en la síntesis qué cifras hay que confirmar con fuente primaria.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78 fuentes (15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8, 9, 10, 16, 17, 22, 25, 42, 44, 45, 46.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completo 2021-2024 (activo corriente, proveedores, deuda bruta, arrendamientos, patrimonio)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y comunicados en essilorluxottica.com: WebFetch y curl bloqueados; 2) Stock Analysis y Fintel por búsqueda: solo pasivo total y algunas partidas de 2024-2025; 3) Yahoo y Kalkine: sin balance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Calendario de vencimientos, rating, coste y vida media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deuda del informe anual: sin acceso; 2) búsqueda de rating y folletos: sin resultado; 3) prensa: sin resultado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Dividendos y recompras pagados en caja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Estado de flujos: sin acceso; 2) Stock Analysis por búsqueda: no los da; 3) MarketScreener: solo dividendo por acción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y BPA trimestral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solo ventas trimestrales; 2) Quartr: solo semestre; 3) prensa: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 y años en el cargo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sin acceso; 2) búsqueda: sin resultado; 3) prensa: sin resultado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de tamaño del mercado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de la empresa: sin acceso; 2) estudios de mercado por búsqueda: rangos de 161.000-222.000 M USD sin serie homogénea; 3) asociaciones (Vision Council): sin resultado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mercado de EssilorLuxottica y márgenes EBIT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de Hoya y Fielmann vía otros informes del repo: sin cuota global; 2) búsqueda: sin cifra; 3) Morningstar: solo posición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sin acceso; 2) búsqueda MSCI/Sustainalytics: sin resultado; 3) prensa: sin resultado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completo, comisiones, votaciones de remuneración y remuneración del primer ejecutivo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Documento de registro universal 2025: sin acceso; 2) resultados de la junta de 2026 por búsqueda: no publicados en los extractos; 3) AFG y prensa: solo la alerta sobre la política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directivos de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API de BDIF (AMF): sin red; 2) búsqueda: solo PDF sueltos sin contenido legible; 3) prensa: sin resultado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Rentabilidades totales, beta calculada, volatilidad, caída máxima y 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WebFetch a Yahoo bloqueado; 3) búsqueda: solo cifras sueltas (beta de 0,55-0,92 según línea)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Precios de cierre de 2021, 2023 y 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búsqueda en francés e inglés de los cierres anuales: sin cifra; 3) informes anuales (DEU) con el cierre: sin acceso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Número de analistas, reparto de recomendaciones y objetivo medio actualizado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e Investing: sin acceso directo; 2) agregadores (stocksguide, aktien.guide): datos anteriores a los recortes de sep-oct; 3) prensa: objetivos sueltos (157-300 EUR)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Stocktwits y foro de Boursorama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y Stocktwits por búsqueda: sin hilos recientes en los resultados; 2) Boursorama por búsqueda: sin resultados; 3) getquin y narrativas de Simply Wall St: leídas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Q4/FY 2025 Results –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EssilorLuxottica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https://www.essilorluxottica.com/cap/content/283060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EssilorLuxottica Q4/FY 2025 results (copia del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BioSpace / EssilorLuxottica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https://www.biospace.com/press-releases/essilorluxottica-q4-fy-2025-results-revenue-growing-18-4-in-q4-and-11-2-in-the-fy-adj-operating-margin-at-16-0-in-the-fy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Q2/H1 2026 results: solid revenue trajectory at 9.7% in H1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https://mfn.se/one/a/essilorluxottica/essilorluxottica-q2-h1-2026-results-solid-revenue-trajectory-at-9-7-in-h1-with-q2-at-8-7-increasing-profitability-with-adj-operating-profit-15-a067ffa3.iframe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(EL) H1 2026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https://quartr.com/events/essilorluxottica-soci-t-anonyme-el-h1-2026_ofYbaHZW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(EPA:EL)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https://stockanalysis.com/quote/epa/EL/financials/income-statement/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(EPA:EL) Cash Flow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https://stockanalysis.com/quote/epa/EL/financials/cash-flow-statement/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(EPA:EL) Balance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https://stockanalysis.com/quote/epa/EL/financials/balance-sheet/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Société anonyme – Balance Sheet (Annual, Capital IQ)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Fintel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https://fintel.io/bs/fr/el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(ESLOF) Financials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https://finance.yahoo.com/quote/ESLOF/financials/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(OTC ESLOF) – estados financieros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Kalkine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https://kalkine.com.au/company/otc-eslof/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Financial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https://www.essilorluxottica.com/api/getCapContent/?id=259816&amp;download=false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Q2/H1 2023 results (comunicado depositado en la AMF)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https://echanges.dila.gouv.fr/OPENDATA/AMF/MKW/2023/07/FCMKW111493_20230725.pdf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publish Q4 &amp; full year 2023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BoardSport Source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https://www.boardsportsource.com/essilorluxottica-publish-q4-full-year-2023-financial-results/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sound sales growth and margin expansion in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BoardSport Source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https://www.boardsportsource.com/essilorluxottica-sound-sales-growth-and-margin-expansion-in-2024-with-smart-glasses-a-new-driver/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FY25 profit down, revenues rise; sees growth ahead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https://fashionunited.uk/news/business/essilorluxottica-fy25-profit-down-revenues-rise-sees-growth-ahead/2026021286245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Q2/H1 2025 Results –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https://www.essilorluxottica.com/cap/content/259500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Q3/9M 2025 Revenue –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https://www.essilorluxottica.com/cap/content/262766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 Smart Glasses and Myopia Management Portfolio Drive Q2 and First Half Revenue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Vision Monday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https://www.visionmonday.com/eyecare/article/ai-smart-glasses-and-myopia-management-portfolio-drive-q2-and-first-half-revenue-growth-for-essilorluxottica/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and the price of reinventing eyewear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https://uk.marketscreener.com/news/essilorluxottica-and-the-price-of-reinventing-eyewear-ce7e51dcde8df722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Q1 revenues up 10.8 percent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https://fashionunited.uk/news/business/essilorluxottica-q1-revenues-up-10-8-percent/2026042387640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slips as doubts linger over smart glasses growth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https://www.investing.com/news/stock-market-news/essilorluxottica-slips-as-doubts-linger-over-smart-glasses-growth-4631576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(ESLOF) Full Year 2025 Earnings Call Highlights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https://finance.yahoo.com/news/essilorluxottica-eslof-full-2025-earnings-010534221.html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completa l'acquisizione di Supreme per 1,5 miliardi e dell'80% di Heidelberg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Milano Finanza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https://www.milanofinanza.it/fashion/essilorluxottica-completa-l-acquisizione-di-supreme-per-1-5-miliardi-e-dell-80-di-heidelberg-202410021207237518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Financial Data, Forecasts (dividendos por acción)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https://uk.marketscreener.com/quote/stock/ESSILORLUXOTTICA-50911031/finances/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Moodie Davitt: EssilorLuxottica delivers strong first-half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Moodie Davitt Report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https://moodiedavittreport.com/essilorluxottica-delivers-strong-first-half-growth-amid-challenging-market-conditions/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Eyewear Market Size, Share &amp; Forecast 2026-2031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Ken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https://www.kenresearch.com/global-eyewear-market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Eyewear Market Size report 2025-2034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https://www.gminsights.com/industry-analysis/eyewear-Market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AI glasses hype fades as Ray-Ban maker shares slip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Malay Mail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https://www.malaymail.com/news/money/2026/04/23/meta-ai-glasses-hype-fades-as-ray-ban-maker-shares-slip/217404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recule, les analystes rabotent toujours leurs objectifs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Option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https://www.optionfinance.fr/info-financiere-en-continu/d/2026-09-25-essilorluxottica-recule-les-analystes-rabotent-toujours-leurs-objectifs.html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et Meta lancent une version plus accessible de leurs lunettes 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Option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https://www.optionfinance.fr/info-financiere-en-continu/d/2026-06-23-essilorluxottica-et-meta-lancent-une-version-plus-accessible-de-leurs-lunettes-ia.html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Is the Second-Largest Eyeglass Lensmaker and the Dominant Leader in Mask Blanks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Morningstar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https://www.morningstar.com/company-reports/1485209-hoya-is-the-second-largest-eyeglass-lensmaker-and-the-dominant-leader-in-mask-blanks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https://www.fielmann-group.com/fileadmin/fielmann/Dokumente/Publikationen/Geschaeftsberichte/EN/Fielmann_Annual_Report_2025.pdf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Corporation (TYO:7741) Financials –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https://stockanalysis.com/quote/tyo/7741/financials/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acquires majority stake in Heidelberg Engineering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Eyewire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https://eyewire.news/news/essilorluxottica-acquires-majority-stake-in-heidelberg-engineering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to acquire a 76.72% stake in GrandVision from HAL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https://echanges.dila.gouv.fr/OPENDATA/AMF/MKW/2019/07/FCMKW114936_20190731.pdf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Vision Holdings: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https://www.marketscreener.com/quote/stock/NATIONAL-VISION-HOLDINGS--38226958/finances/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Mais que se passe-t-il avec la gouvernance d'EssilorLuxottica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Option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https://www.optionfinance.fr/info-financiere-en-continu/d/2026-09-07-mais-que-se-passe-t-il-avec-la-gouvernance-dessilorluxottica.html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heir buys out siblings in €10 billion deal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https://qz.com/essilorluxottica-del-vecchio-heir-sibling-buyout-delfin-042726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Alerte AFG n° 25: EssilorLuxottica, assemblée générale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AFG (Association française de la gestion financière)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https://www.afg.asso.fr/app/uploads/2026/04/Div-n°-6493_04-_Alerte-n°-25-ESSILOR.pdf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générale EssilorLuxottica 28 avril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Rendement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https://rendementbourse.com/el-essilorluxottica-sa/assemblee-generale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renforce son influence sur EssilorLuxottica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Luxury Tribune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https://www.luxurytribune.com/meta-renforce-son-influence-sur-essilorluxottica-et-parie-sur-les-lunettes-intelligentes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Déclarations des dirigeants (DD) 2026: dividende en actions à 175,06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https://bdif.amf-france.org/back/api/v1/documents/2026/2026DD1119059/09AC7264423DB045A3D16F6D87CECC860435B469A2FD084583075FB039C834CC.pdf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Milleri: Meta vuole entrare nel capitale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Milano Finanza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https://www.milanofinanza.it/fashion/essilorluxottica-francesco-milleri-conferma-meta-vuole-entrare-nel-capitale-202407252322184131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Stock (EL) – Quote Euronext Paris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https://www.marketscreener.com/quote/stock/ESSILORLUXOTTICA-4641/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SA Share Price (EPA:EL)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https://www.stockopedia.com/share-prices/essilor-luxottica-sa-EPA:EL/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Valuation EssilorLuxottica (acciones en circulación)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https://uk.marketscreener.com/quote/stock/ESSILORLUXOTTICA-438209/valuation/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Financial Data Forecasts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https://ca.marketscreener.com/quote/stock/ESSILORLUXOTTICA-4000692/finances/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Kursziel (consenso de BPA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aktien.guide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https://aktien.guide/kursziel/EssilorLuxottica-FR0000121667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forecast (objetivos de 30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https://stocksguide.com/en/forecast/EssilorLuxottica-FR0000121667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Goldman senkt Kursziel auf 165 Euro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Goldesel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https://goldesel.de/aktien/news/essilorluxottica-goldman-senkt-kursziel-auf-165-euro-und-bleibt-neutral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Deutsche Bank senkt Kursziel auf 174 Euro (157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Goldesel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https://goldesel.de/aktien/news/essilorluxottica-deutsche-bank-senkt-kursziel-auf-174-euro-aktie-mit-hold-bewertung-unter-beobachtung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Aktie: BofA senkt Kursziel auf 205 Euro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Goldesel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https://goldesel.de/aktien/news/essilorluxottica-aktie-bofa-senkt-kursziel-auf-205-euro-bleibt-bei-kaufen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stock falls 47 percent as targets reset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https://www.ad-hoc-news.de/boerse/news/corporate-news/essilorluxottica-stock-falls-47-percent-as-targets-reset/70164942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cotation et variation depuis le 1er janvier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https://www.abcbourse.com/cotation/ELp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Action EssilorLuxottica: une année record, faut-il attendre ? (cierre de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Café de la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https://www.cafedelabourse.com/bourse/action-essilorluxottica-annee-record-attendre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dans le peloton de tête du CAC40 en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Tradingsat (BFM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https://www.tradingsat.com/essilorluxottica-FR0000121667/actualites/essilorluxottica-essilorluxottica-dans-le-peloton-de-tete-du-cac40-en-2024-1129804.html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(EURONEXT:EL): máximo histórico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TradingView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https://fr.tradingview.com/symbols/EURONEXT-EL/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Corporation (TYO:7741) Statistics &amp; Valuation (comparables del informe de Hoya del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https://stockanalysis.com/quote/tyo/7741/statistics/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Previsiones de Cooper, Alcon, Bausch + Lomb (comparables del informe de Cooper del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https://www.marketscreener.com/quote/stock/THE-COOPER-COMPANIES-INC-12149/finances/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Sonova Holding AG: previsiones financieras (comparables del informe de Fielmann del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https://www.marketscreener.com/quote/stock/SONOVA-HOLDING-AG-70127/finances/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 A/S: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https://www.marketscreener.com/quote/stock/DEMANT-A-S-56225597/finances/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Terumo Corporation: previsiones financieras (comparables del informe de Olympus del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https://www.marketscreener.com/quote/stock/TERUMO-CORPORATION-6491240/finances/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informe semestral a 30-jun-2026 (múltiplos del informe de Fielmann del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https://www.fielmann-group.com/fileadmin/fielmann/Dokumente/Publikationen/Quartalsberichte/EN/2026/Fielmann_Group_AG_report_half_year_2026.pdf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Amplifon: Company Update tras la compra de GN Hearing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Intermonte SIM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https://www.websim.it/static/upload/amp/amplifon-17-03-26.pdf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to be Acquired by Blackstone and TPG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https://www.sec.gov/Archives/edgar/data/859737/000119312525244423/d72397dex991.htm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CooperCompanies to Acquire Generate Life Sciences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https://www.sec.gov/Archives/edgar/data/711404/000119312521326207/d204711dex991.htm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Bausch + Lomb to acquire XIIDRA from Novartis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Bausch + Lomb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https://www.sec.gov/Archives/edgar/data/1860742/000119312523179447/d493799dex991.htm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Annual Report 2024 (Shopko Optical)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https://www.fielmann-group.com/fileadmin/fielmann/Dokumente/Publikationen/Geschaeftsberichte/EN/Fielmann_Annual_Report_2024.pdf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NYU Stern (A. Damodaran)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German 10-year Bund yield eases from 15-year high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https://tradingeconomics.com/germany/government-bond-yield/news/577250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(ESLOF) key statistics (beta a 5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https://finance.yahoo.com/quote/ESLOF/key-statistics/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Aufnahme: EssilorLuxottica Umsatzzahlen kommen am 20. Oktober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https://www.finanztrends.de/news/essilorluxottica-aktie-umsatzzahlen-kommen-am-20-oktober/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Jefferies / Bernstein / Stifel: objetivos tras la presentación de las nuevas gafas 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Tradingsat (BFM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https://www.tradingsat.com/essilorluxottica-FR0000121667/actualites/essilorluxottica-essilorluxottica-recule-les-analystes-rabotent-toujours-leurs-objectifs-1170792.html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(ENXTPA:EL) Expands Smart Eyewear, Is It Still 38% Below Fair Value? (narrativas de la comunidad de Simply Wall 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 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https://www.webull.com/news/15699434643063808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(ENXTPA:EL) Results Put Its Valuation Narrative Back In Focus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 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https://www.webull.com/news/15310544008012800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 Paris, EssiLux falls; analysts divided between optimistic and cautious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Il Sole 24 Ore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https://en.ilsole24ore.com/art/in-paris-essilux-accounts-fall-analysts-divided-optimistic-and-cautious-AIhf0ueC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forum discussion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getquin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https://app.getquin.com/es/acciones/FR0000121667/essilorluxottica</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79,9 %</w:t>
      </w:r>
      <w:r>
        <w:t xml:space="preserve"> · Secciones con menos del 60 % de campos cubiertos: </w:t>
      </w:r>
      <w:r>
        <w:rPr>
          <w:b/>
          <w:bCs/>
        </w:rPr>
        <w:t xml:space="preserve">gobierno, bolsa, balance, consenso</w:t>
      </w:r>
      <w:r>
        <w:t xml:space="preserve"> · Generado el 14 oct 2026.</w:t>
      </w:r>
    </w:p>
    <w:p>
      <w:pPr>
        <w:pStyle w:val="Nota"/>
        <w:spacing w:after="100"/>
      </w:pPr>
      <w:r>
        <w:t xml:space="preserve">Análisis hecho desde la nube con la red limitada a la búsqueda web: la web de la empresa, la AMF, Yahoo y los proveedores de datos no se pudieron abrir, así que las cifras salen de los extractos de búsqueda de los comunicados de resultados (2023-2026), de Stock Analysis, Fintel, Yahoo y Kalkine citados en la búsqueda y de la prensa financiera, cruzados cuando fue posible; la confianza es menor que en un análisis normal y lo que no cuadró está en null y en los huecos. Los comparables y las transacciones se toman de los informes del repo de Hoya (14-oct), Cooper y Fielmann (9-oct), convertidos a EUR con los tipos implícitos en esos informes (180,2 JPY y 1,1186 USD por EUR). El balance histórico está incompleto: el ROIC, el Altman Z y el Piotroski del motor no son fiables y damos aparte el ROIC sobre el capital total. Las amortizaciones de 2023 y 2025 y los pagos de arrendamientos son estimaciones propias explicadas en las cuentas. El puente usa la deuda neta con arrendamientos a 30-jun-2026 (13.390 M) [4] sin desglose. El objetivo a 12 meses y el PER histórico van en BPA ajustado (sin la amortización de intangibles de las compras), la base que publica la empresa y que usa el mercado.</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EssilorLuxottica Société anonyme (EL)</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146,30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Precio objetivo de los analistas (157,00 – 300,00)</c:v>
                </c:pt>
                <c:pt idx="1">
                  <c:v>Comparables: EV/EBITDA NTM (117,29 – 158,36)</c:v>
                </c:pt>
                <c:pt idx="2">
                  <c:v>Comparables: PER NTM (106,56 – 141,97)</c:v>
                </c:pt>
                <c:pt idx="3">
                  <c:v>Transacciones precedentes (EV/ventas) (111,27 – 245,17)</c:v>
                </c:pt>
                <c:pt idx="4">
                  <c:v>DCF (WACC y g ± 0,5) (143,90 – 221,35)</c:v>
                </c:pt>
                <c:pt idx="5">
                  <c:v>Escenarios (bajista – alcista) (122,34 – 201,75)</c:v>
                </c:pt>
                <c:pt idx="6">
                  <c:v>DCF con la prima implícita del mercado (4,2 %)</c:v>
                </c:pt>
                <c:pt idx="7">
                  <c:v>Precio actual (146,30)</c:v>
                </c:pt>
              </c:strCache>
            </c:strRef>
          </c:cat>
          <c:val>
            <c:numRef>
              <c:f>Hoja1!$B$2:$B$9</c:f>
              <c:numCache>
                <c:formatCode>#,##0</c:formatCode>
                <c:ptCount val="8"/>
                <c:pt idx="0">
                  <c:v>157</c:v>
                </c:pt>
                <c:pt idx="1">
                  <c:v>117.29</c:v>
                </c:pt>
                <c:pt idx="2">
                  <c:v>106.56</c:v>
                </c:pt>
                <c:pt idx="3">
                  <c:v>111.27</c:v>
                </c:pt>
                <c:pt idx="4">
                  <c:v>143.9</c:v>
                </c:pt>
                <c:pt idx="5">
                  <c:v>122.34</c:v>
                </c:pt>
                <c:pt idx="6">
                  <c:v>198.86</c:v>
                </c:pt>
                <c:pt idx="7">
                  <c:v>145.57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7"/>
            <c:invertIfNegative val="0"/>
            <c:bubble3D val="0"/>
            <c:spPr>
              <a:solidFill>
                <a:srgbClr val="C9C8C2"/>
              </a:solidFill>
            </c:spPr>
          </c:dPt>
          <c:cat>
            <c:strRef>
              <c:f>Hoja1!$A$2:$A$9</c:f>
              <c:strCache>
                <c:ptCount val="8"/>
                <c:pt idx="0">
                  <c:v>Precio objetivo de los analistas (157,00 – 300,00)</c:v>
                </c:pt>
                <c:pt idx="1">
                  <c:v>Comparables: EV/EBITDA NTM (117,29 – 158,36)</c:v>
                </c:pt>
                <c:pt idx="2">
                  <c:v>Comparables: PER NTM (106,56 – 141,97)</c:v>
                </c:pt>
                <c:pt idx="3">
                  <c:v>Transacciones precedentes (EV/ventas) (111,27 – 245,17)</c:v>
                </c:pt>
                <c:pt idx="4">
                  <c:v>DCF (WACC y g ± 0,5) (143,90 – 221,35)</c:v>
                </c:pt>
                <c:pt idx="5">
                  <c:v>Escenarios (bajista – alcista) (122,34 – 201,75)</c:v>
                </c:pt>
                <c:pt idx="6">
                  <c:v>DCF con la prima implícita del mercado (4,2 %)</c:v>
                </c:pt>
                <c:pt idx="7">
                  <c:v>Precio actual (146,30)</c:v>
                </c:pt>
              </c:strCache>
            </c:strRef>
          </c:cat>
          <c:val>
            <c:numRef>
              <c:f>Hoja1!$C$2:$C$9</c:f>
              <c:numCache>
                <c:formatCode>#,##0</c:formatCode>
                <c:ptCount val="8"/>
                <c:pt idx="0">
                  <c:v>143</c:v>
                </c:pt>
                <c:pt idx="1">
                  <c:v>41.07000000000001</c:v>
                </c:pt>
                <c:pt idx="2">
                  <c:v>35.41</c:v>
                </c:pt>
                <c:pt idx="3">
                  <c:v>133.89999999999998</c:v>
                </c:pt>
                <c:pt idx="4">
                  <c:v>77.44999999999999</c:v>
                </c:pt>
                <c:pt idx="5">
                  <c:v>79.41</c:v>
                </c:pt>
                <c:pt idx="6">
                  <c:v>70.99000000000001</c:v>
                </c:pt>
                <c:pt idx="7">
                  <c:v>1.460000000000008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8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Professional Solutions</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12547</c:v>
                </c:pt>
                <c:pt idx="1">
                  <c:v>13600</c:v>
                </c:pt>
              </c:numCache>
            </c:numRef>
          </c:val>
        </c:ser>
        <c:ser>
          <c:idx val="1"/>
          <c:order val="1"/>
          <c:tx>
            <c:strRef>
              <c:f>Hoja1!$C$1</c:f>
              <c:strCache>
                <c:ptCount val="1"/>
                <c:pt idx="0">
                  <c:v>Direct to Consumer</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13960</c:v>
                </c:pt>
                <c:pt idx="1">
                  <c:v>14891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Professional Solutions</c:v>
                </c:pt>
                <c:pt idx="1">
                  <c:v>Direct to Consumer</c:v>
                </c:pt>
              </c:strCache>
            </c:strRef>
          </c:cat>
          <c:val>
            <c:numRef>
              <c:f>Hoja1!$B$2:$B$3</c:f>
              <c:numCache>
                <c:formatCode>General</c:formatCode>
                <c:ptCount val="2"/>
                <c:pt idx="0">
                  <c:v>47.7</c:v>
                </c:pt>
                <c:pt idx="1">
                  <c:v>52.3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Norteamérica</c:v>
                </c:pt>
                <c:pt idx="1">
                  <c:v>EMEA</c:v>
                </c:pt>
                <c:pt idx="2">
                  <c:v>Asia-Pacífico</c:v>
                </c:pt>
                <c:pt idx="3">
                  <c:v>Latinoamérica</c:v>
                </c:pt>
              </c:strCache>
            </c:strRef>
          </c:cat>
          <c:val>
            <c:numRef>
              <c:f>Hoja1!$B$2:$B$5</c:f>
              <c:numCache>
                <c:formatCode>0"%"</c:formatCode>
                <c:ptCount val="4"/>
                <c:pt idx="0">
                  <c:v>44.9</c:v>
                </c:pt>
                <c:pt idx="1">
                  <c:v>38.5</c:v>
                </c:pt>
                <c:pt idx="2">
                  <c:v>11.4</c:v>
                </c:pt>
                <c:pt idx="3">
                  <c:v>5.2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2</c:v>
                </c:pt>
                <c:pt idx="2">
                  <c:v>2</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EssilorLuxottica</c:v>
                </c:pt>
                <c:pt idx="1">
                  <c:v>Hoya</c:v>
                </c:pt>
                <c:pt idx="2">
                  <c:v>Carl Zeiss Vision</c:v>
                </c:pt>
                <c:pt idx="3">
                  <c:v>Fielmann</c:v>
                </c:pt>
                <c:pt idx="4">
                  <c:v>National Vision</c:v>
                </c:pt>
                <c:pt idx="5">
                  <c:v>Safilo</c:v>
                </c:pt>
              </c:strCache>
            </c:strRef>
          </c:cat>
          <c:val>
            <c:numRef>
              <c:f>Hoja1!$B$2:$B$7</c:f>
              <c:numCache>
                <c:formatCode>0.0"%"</c:formatCode>
                <c:ptCount val="6"/>
                <c:pt idx="0">
                  <c:v>11.9</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5</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19820</c:v>
                </c:pt>
                <c:pt idx="1">
                  <c:v>24494</c:v>
                </c:pt>
                <c:pt idx="2">
                  <c:v>25395</c:v>
                </c:pt>
                <c:pt idx="3">
                  <c:v>26508</c:v>
                </c:pt>
                <c:pt idx="4">
                  <c:v>28491</c:v>
                </c:pt>
                <c:pt idx="5">
                  <c:v>30200</c:v>
                </c:pt>
                <c:pt idx="6">
                  <c:v>32465</c:v>
                </c:pt>
                <c:pt idx="7">
                  <c:v>34738</c:v>
                </c:pt>
                <c:pt idx="8">
                  <c:v>36822</c:v>
                </c:pt>
                <c:pt idx="9">
                  <c:v>38848</c:v>
                </c:pt>
                <c:pt idx="10">
                  <c:v>40790</c:v>
                </c:pt>
                <c:pt idx="11">
                  <c:v>42626</c:v>
                </c:pt>
                <c:pt idx="12">
                  <c:v>44331</c:v>
                </c:pt>
                <c:pt idx="13">
                  <c:v>45882</c:v>
                </c:pt>
                <c:pt idx="14">
                  <c:v>47259</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4768</c:v>
                </c:pt>
                <c:pt idx="1">
                  <c:v>6078</c:v>
                </c:pt>
                <c:pt idx="2">
                  <c:v>6176</c:v>
                </c:pt>
                <c:pt idx="3">
                  <c:v>6545</c:v>
                </c:pt>
                <c:pt idx="4">
                  <c:v>6529</c:v>
                </c:pt>
                <c:pt idx="5">
                  <c:v>7188</c:v>
                </c:pt>
                <c:pt idx="6">
                  <c:v>7857</c:v>
                </c:pt>
                <c:pt idx="7">
                  <c:v>8546</c:v>
                </c:pt>
                <c:pt idx="8">
                  <c:v>9132</c:v>
                </c:pt>
                <c:pt idx="9">
                  <c:v>9712</c:v>
                </c:pt>
                <c:pt idx="10">
                  <c:v>10197</c:v>
                </c:pt>
                <c:pt idx="11">
                  <c:v>10656</c:v>
                </c:pt>
                <c:pt idx="12">
                  <c:v>11083</c:v>
                </c:pt>
                <c:pt idx="13">
                  <c:v>11471</c:v>
                </c:pt>
                <c:pt idx="14">
                  <c:v>11815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3">
                  <c:v>63.4</c:v>
                </c:pt>
                <c:pt idx="4">
                  <c:v>60.6</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24.1</c:v>
                </c:pt>
                <c:pt idx="1">
                  <c:v>24.8</c:v>
                </c:pt>
                <c:pt idx="2">
                  <c:v>24.3</c:v>
                </c:pt>
                <c:pt idx="3">
                  <c:v>24.7</c:v>
                </c:pt>
                <c:pt idx="4">
                  <c:v>22.9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11.6</c:v>
                </c:pt>
                <c:pt idx="1">
                  <c:v>12.9</c:v>
                </c:pt>
                <c:pt idx="2">
                  <c:v>12.5</c:v>
                </c:pt>
                <c:pt idx="3">
                  <c:v>13</c:v>
                </c:pt>
                <c:pt idx="4">
                  <c:v>11.9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7.3</c:v>
                </c:pt>
                <c:pt idx="1">
                  <c:v>8.8</c:v>
                </c:pt>
                <c:pt idx="2">
                  <c:v>9</c:v>
                </c:pt>
                <c:pt idx="3">
                  <c:v>8.9</c:v>
                </c:pt>
                <c:pt idx="4">
                  <c:v>8.1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Hoja1!$B$2:$B$7</c:f>
              <c:numCache>
                <c:formatCode>0.0"%"</c:formatCode>
                <c:ptCount val="6"/>
                <c:pt idx="4">
                  <c:v>4</c:v>
                </c:pt>
                <c:pt idx="5">
                  <c:v>7.2</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Hoja1!$C$2:$C$7</c:f>
              <c:numCache>
                <c:formatCode>0.0"%"</c:formatCode>
                <c:ptCount val="6"/>
                <c:pt idx="2">
                  <c:v>11.7</c:v>
                </c:pt>
                <c:pt idx="3">
                  <c:v>18.4</c:v>
                </c:pt>
                <c:pt idx="4">
                  <c:v>10.8</c:v>
                </c:pt>
                <c:pt idx="5">
                  <c:v>8.7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4">
                  <c:v>48</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4">
                  <c:v>115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3515</c:v>
                </c:pt>
                <c:pt idx="1">
                  <c:v>3211</c:v>
                </c:pt>
                <c:pt idx="2">
                  <c:v>2400</c:v>
                </c:pt>
                <c:pt idx="3">
                  <c:v>2400</c:v>
                </c:pt>
                <c:pt idx="4">
                  <c:v>2800</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1448</c:v>
                </c:pt>
                <c:pt idx="1">
                  <c:v>2152</c:v>
                </c:pt>
                <c:pt idx="2">
                  <c:v>2289</c:v>
                </c:pt>
                <c:pt idx="3">
                  <c:v>2359</c:v>
                </c:pt>
                <c:pt idx="4">
                  <c:v>2315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3">
                  <c:v>-231.9</c:v>
                </c:pt>
                <c:pt idx="4">
                  <c:v>11.6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7.3</c:v>
                </c:pt>
                <c:pt idx="1">
                  <c:v>7.3</c:v>
                </c:pt>
                <c:pt idx="2">
                  <c:v>7.3</c:v>
                </c:pt>
                <c:pt idx="3">
                  <c:v>7.3</c:v>
                </c:pt>
                <c:pt idx="4">
                  <c:v>7.3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4">
                  <c:v>11.7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c:v>
                </c:pt>
                <c:pt idx="1">
                  <c:v>0</c:v>
                </c:pt>
                <c:pt idx="2">
                  <c:v>0</c:v>
                </c:pt>
                <c:pt idx="3">
                  <c:v>-0.34</c:v>
                </c:pt>
                <c:pt idx="4">
                  <c:v>1.12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7078</c:v>
                </c:pt>
                <c:pt idx="1">
                  <c:v>965</c:v>
                </c:pt>
                <c:pt idx="2">
                  <c:v>114</c:v>
                </c:pt>
                <c:pt idx="3">
                  <c:v>1755</c:v>
                </c:pt>
                <c:pt idx="4">
                  <c:v>911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Ejecutivo</c:v>
                </c:pt>
              </c:strCache>
            </c:strRef>
          </c:cat>
          <c:val>
            <c:numRef>
              <c:f>Hoja1!$B$2</c:f>
              <c:numCache>
                <c:formatCode>0</c:formatCode>
                <c:ptCount val="1"/>
                <c:pt idx="0">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Delfin (familia Del Vecchio)</c:v>
                </c:pt>
                <c:pt idx="1">
                  <c:v>Meta Platforms</c:v>
                </c:pt>
              </c:strCache>
            </c:strRef>
          </c:cat>
          <c:val>
            <c:numRef>
              <c:f>Hoja1!$B$2:$B$3</c:f>
              <c:numCache>
                <c:formatCode>0.0"%"</c:formatCode>
                <c:ptCount val="2"/>
                <c:pt idx="0">
                  <c:v>32.4</c:v>
                </c:pt>
                <c:pt idx="1">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EssilorLuxottica</c:v>
                </c:pt>
                <c:pt idx="1">
                  <c:v>Hoya</c:v>
                </c:pt>
                <c:pt idx="2">
                  <c:v>Alcon</c:v>
                </c:pt>
                <c:pt idx="3">
                  <c:v>Cooper Companies</c:v>
                </c:pt>
                <c:pt idx="4">
                  <c:v>Bausch + Lomb</c:v>
                </c:pt>
                <c:pt idx="5">
                  <c:v>Fielmann</c:v>
                </c:pt>
                <c:pt idx="6">
                  <c:v>National Vision</c:v>
                </c:pt>
                <c:pt idx="7">
                  <c:v>Sonova</c:v>
                </c:pt>
                <c:pt idx="8">
                  <c:v>Demant</c:v>
                </c:pt>
                <c:pt idx="9">
                  <c:v>Terumo</c:v>
                </c:pt>
              </c:strCache>
            </c:strRef>
          </c:cat>
          <c:val>
            <c:numRef>
              <c:f>Hoja1!$B$2:$B$11</c:f>
              <c:numCache>
                <c:formatCode>0.0"x"</c:formatCode>
                <c:ptCount val="10"/>
                <c:pt idx="0">
                  <c:v>10.5</c:v>
                </c:pt>
                <c:pt idx="2">
                  <c:v>10.6</c:v>
                </c:pt>
                <c:pt idx="3">
                  <c:v>10.3</c:v>
                </c:pt>
                <c:pt idx="4">
                  <c:v>9.5</c:v>
                </c:pt>
                <c:pt idx="5">
                  <c:v>6.6</c:v>
                </c:pt>
                <c:pt idx="6">
                  <c:v>6.5</c:v>
                </c:pt>
                <c:pt idx="7">
                  <c:v>14.5</c:v>
                </c:pt>
                <c:pt idx="8">
                  <c:v>13</c:v>
                </c:pt>
                <c:pt idx="9">
                  <c:v>10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EssilorLuxottica</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7.3</c:v>
                </c:pt>
              </c:numCache>
            </c:numRef>
          </c:xVal>
          <c:yVal>
            <c:numRef>
              <c:f>Hoja1!$C$2</c:f>
              <c:numCache>
                <c:formatCode>0.0"x"</c:formatCode>
                <c:ptCount val="1"/>
                <c:pt idx="0">
                  <c:v>10.5</c:v>
                </c:pt>
              </c:numCache>
            </c:numRef>
          </c:yVal>
          <c:smooth val="0"/>
        </c:ser>
        <c:ser>
          <c:idx val="1"/>
          <c:order val="1"/>
          <c:tx>
            <c:strRef>
              <c:f>Hoja1!$A$3</c:f>
              <c:strCache>
                <c:ptCount val="1"/>
                <c:pt idx="0">
                  <c:v>Alcon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6.2</c:v>
                </c:pt>
              </c:numCache>
            </c:numRef>
          </c:xVal>
          <c:yVal>
            <c:numRef>
              <c:f>Hoja1!$C$3</c:f>
              <c:numCache>
                <c:formatCode>0.0"x"</c:formatCode>
                <c:ptCount val="1"/>
                <c:pt idx="0">
                  <c:v>10.6</c:v>
                </c:pt>
              </c:numCache>
            </c:numRef>
          </c:yVal>
          <c:smooth val="0"/>
        </c:ser>
        <c:ser>
          <c:idx val="2"/>
          <c:order val="2"/>
          <c:tx>
            <c:strRef>
              <c:f>Hoja1!$A$4</c:f>
              <c:strCache>
                <c:ptCount val="1"/>
                <c:pt idx="0">
                  <c:v>Cooper Companies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3.2</c:v>
                </c:pt>
              </c:numCache>
            </c:numRef>
          </c:xVal>
          <c:yVal>
            <c:numRef>
              <c:f>Hoja1!$C$4</c:f>
              <c:numCache>
                <c:formatCode>0.0"x"</c:formatCode>
                <c:ptCount val="1"/>
                <c:pt idx="0">
                  <c:v>10.3</c:v>
                </c:pt>
              </c:numCache>
            </c:numRef>
          </c:yVal>
          <c:smooth val="0"/>
        </c:ser>
        <c:ser>
          <c:idx val="3"/>
          <c:order val="3"/>
          <c:tx>
            <c:strRef>
              <c:f>Hoja1!$A$5</c:f>
              <c:strCache>
                <c:ptCount val="1"/>
                <c:pt idx="0">
                  <c:v>Bausch + Lomb</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6.3</c:v>
                </c:pt>
              </c:numCache>
            </c:numRef>
          </c:xVal>
          <c:yVal>
            <c:numRef>
              <c:f>Hoja1!$C$5</c:f>
              <c:numCache>
                <c:formatCode>0.0"x"</c:formatCode>
                <c:ptCount val="1"/>
                <c:pt idx="0">
                  <c:v>9.5</c:v>
                </c:pt>
              </c:numCache>
            </c:numRef>
          </c:yVal>
          <c:smooth val="0"/>
        </c:ser>
        <c:ser>
          <c:idx val="4"/>
          <c:order val="4"/>
          <c:tx>
            <c:strRef>
              <c:f>Hoja1!$A$6</c:f>
              <c:strCache>
                <c:ptCount val="1"/>
                <c:pt idx="0">
                  <c:v>Fielmann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5.4</c:v>
                </c:pt>
              </c:numCache>
            </c:numRef>
          </c:xVal>
          <c:yVal>
            <c:numRef>
              <c:f>Hoja1!$C$6</c:f>
              <c:numCache>
                <c:formatCode>0.0"x"</c:formatCode>
                <c:ptCount val="1"/>
                <c:pt idx="0">
                  <c:v>6.6</c:v>
                </c:pt>
              </c:numCache>
            </c:numRef>
          </c:yVal>
          <c:smooth val="0"/>
        </c:ser>
        <c:ser>
          <c:idx val="5"/>
          <c:order val="5"/>
          <c:tx>
            <c:strRef>
              <c:f>Hoja1!$A$7</c:f>
              <c:strCache>
                <c:ptCount val="1"/>
                <c:pt idx="0">
                  <c:v>National Vision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4.5</c:v>
                </c:pt>
              </c:numCache>
            </c:numRef>
          </c:xVal>
          <c:yVal>
            <c:numRef>
              <c:f>Hoja1!$C$7</c:f>
              <c:numCache>
                <c:formatCode>0.0"x"</c:formatCode>
                <c:ptCount val="1"/>
                <c:pt idx="0">
                  <c:v>6.5</c:v>
                </c:pt>
              </c:numCache>
            </c:numRef>
          </c:yVal>
          <c:smooth val="0"/>
        </c:ser>
        <c:ser>
          <c:idx val="6"/>
          <c:order val="6"/>
          <c:tx>
            <c:strRef>
              <c:f>Hoja1!$A$8</c:f>
              <c:strCache>
                <c:ptCount val="1"/>
                <c:pt idx="0">
                  <c:v>Sonova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7</c:v>
                </c:pt>
              </c:numCache>
            </c:numRef>
          </c:xVal>
          <c:yVal>
            <c:numRef>
              <c:f>Hoja1!$C$8</c:f>
              <c:numCache>
                <c:formatCode>0.0"x"</c:formatCode>
                <c:ptCount val="1"/>
                <c:pt idx="0">
                  <c:v>14.5</c:v>
                </c:pt>
              </c:numCache>
            </c:numRef>
          </c:yVal>
          <c:smooth val="0"/>
        </c:ser>
        <c:ser>
          <c:idx val="7"/>
          <c:order val="7"/>
          <c:tx>
            <c:strRef>
              <c:f>Hoja1!$A$9</c:f>
              <c:strCache>
                <c:ptCount val="1"/>
                <c:pt idx="0">
                  <c:v>Demant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9.8</c:v>
                </c:pt>
              </c:numCache>
            </c:numRef>
          </c:xVal>
          <c:yVal>
            <c:numRef>
              <c:f>Hoja1!$C$9</c:f>
              <c:numCache>
                <c:formatCode>0.0"x"</c:formatCode>
                <c:ptCount val="1"/>
                <c:pt idx="0">
                  <c:v>13</c:v>
                </c:pt>
              </c:numCache>
            </c:numRef>
          </c:yVal>
          <c:smooth val="0"/>
        </c:ser>
        <c:ser>
          <c:idx val="8"/>
          <c:order val="8"/>
          <c:tx>
            <c:strRef>
              <c:f>Hoja1!$A$10</c:f>
              <c:strCache>
                <c:ptCount val="1"/>
                <c:pt idx="0">
                  <c:v>Terumo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9</c:v>
                </c:pt>
              </c:numCache>
            </c:numRef>
          </c:xVal>
          <c:yVal>
            <c:numRef>
              <c:f>Hoja1!$C$10</c:f>
              <c:numCache>
                <c:formatCode>0.0"x"</c:formatCode>
                <c:ptCount val="1"/>
                <c:pt idx="0">
                  <c:v>10</c:v>
                </c:pt>
              </c:numCache>
            </c:numRef>
          </c:yVal>
          <c:smooth val="0"/>
        </c:ser>
        <c:axId val="10"/>
        <c:axId val="20"/>
      </c:scatterChart>
      <c:valAx>
        <c:axId val="10"/>
        <c:scaling>
          <c:orientation val="minMax"/>
          <c:max val="12"/>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4"/>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GN Hearing (audífonos)</c:v>
                </c:pt>
                <c:pt idx="1">
                  <c:v>Hologic (tecnología médica)</c:v>
                </c:pt>
                <c:pt idx="2">
                  <c:v>Xiidra (Novartis)</c:v>
                </c:pt>
                <c:pt idx="3">
                  <c:v>Generate Life Sciences</c:v>
                </c:pt>
                <c:pt idx="4">
                  <c:v>Shopko Optical (cadena óptica de EE. UU.)</c:v>
                </c:pt>
                <c:pt idx="5">
                  <c:v>GrandVision (76,72 %)</c:v>
                </c:pt>
              </c:strCache>
            </c:strRef>
          </c:cat>
          <c:val>
            <c:numRef>
              <c:f>Hoja1!$B$2:$B$7</c:f>
              <c:numCache>
                <c:formatCode>0.0"x"</c:formatCode>
                <c:ptCount val="6"/>
                <c:pt idx="0">
                  <c:v>10.5</c:v>
                </c:pt>
                <c:pt idx="1">
                  <c:v>13.7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3185</c:v>
                </c:pt>
                <c:pt idx="1">
                  <c:v>3375</c:v>
                </c:pt>
                <c:pt idx="2">
                  <c:v>3763</c:v>
                </c:pt>
                <c:pt idx="3">
                  <c:v>4127</c:v>
                </c:pt>
                <c:pt idx="4">
                  <c:v>4466</c:v>
                </c:pt>
                <c:pt idx="5">
                  <c:v>4726</c:v>
                </c:pt>
                <c:pt idx="6">
                  <c:v>5020</c:v>
                </c:pt>
                <c:pt idx="7">
                  <c:v>5306</c:v>
                </c:pt>
                <c:pt idx="8">
                  <c:v>5580</c:v>
                </c:pt>
                <c:pt idx="9">
                  <c:v>5793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30450</c:v>
                </c:pt>
                <c:pt idx="1">
                  <c:v>64230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146,30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122.34</c:v>
                </c:pt>
                <c:pt idx="1">
                  <c:v>174.69</c:v>
                </c:pt>
                <c:pt idx="2">
                  <c:v>201.75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146,30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Precio objetivo de los analistas (157,00 – 300,00)</c:v>
                </c:pt>
                <c:pt idx="1">
                  <c:v>Comparables: EV/EBITDA NTM (117,29 – 158,36)</c:v>
                </c:pt>
                <c:pt idx="2">
                  <c:v>Comparables: PER NTM (106,56 – 141,97)</c:v>
                </c:pt>
                <c:pt idx="3">
                  <c:v>Transacciones precedentes (EV/ventas) (111,27 – 245,17)</c:v>
                </c:pt>
                <c:pt idx="4">
                  <c:v>DCF (WACC y g ± 0,5) (143,90 – 221,35)</c:v>
                </c:pt>
                <c:pt idx="5">
                  <c:v>Escenarios (bajista – alcista) (122,34 – 201,75)</c:v>
                </c:pt>
                <c:pt idx="6">
                  <c:v>DCF con la prima implícita del mercado (4,2 %)</c:v>
                </c:pt>
                <c:pt idx="7">
                  <c:v>Precio actual (146,30)</c:v>
                </c:pt>
              </c:strCache>
            </c:strRef>
          </c:cat>
          <c:val>
            <c:numRef>
              <c:f>Hoja1!$B$2:$B$9</c:f>
              <c:numCache>
                <c:formatCode>#,##0</c:formatCode>
                <c:ptCount val="8"/>
                <c:pt idx="0">
                  <c:v>157</c:v>
                </c:pt>
                <c:pt idx="1">
                  <c:v>117.29</c:v>
                </c:pt>
                <c:pt idx="2">
                  <c:v>106.56</c:v>
                </c:pt>
                <c:pt idx="3">
                  <c:v>111.27</c:v>
                </c:pt>
                <c:pt idx="4">
                  <c:v>143.9</c:v>
                </c:pt>
                <c:pt idx="5">
                  <c:v>122.34</c:v>
                </c:pt>
                <c:pt idx="6">
                  <c:v>198.86</c:v>
                </c:pt>
                <c:pt idx="7">
                  <c:v>145.57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7"/>
            <c:invertIfNegative val="0"/>
            <c:bubble3D val="0"/>
            <c:spPr>
              <a:solidFill>
                <a:srgbClr val="C9C8C2"/>
              </a:solidFill>
            </c:spPr>
          </c:dPt>
          <c:cat>
            <c:strRef>
              <c:f>Hoja1!$A$2:$A$9</c:f>
              <c:strCache>
                <c:ptCount val="8"/>
                <c:pt idx="0">
                  <c:v>Precio objetivo de los analistas (157,00 – 300,00)</c:v>
                </c:pt>
                <c:pt idx="1">
                  <c:v>Comparables: EV/EBITDA NTM (117,29 – 158,36)</c:v>
                </c:pt>
                <c:pt idx="2">
                  <c:v>Comparables: PER NTM (106,56 – 141,97)</c:v>
                </c:pt>
                <c:pt idx="3">
                  <c:v>Transacciones precedentes (EV/ventas) (111,27 – 245,17)</c:v>
                </c:pt>
                <c:pt idx="4">
                  <c:v>DCF (WACC y g ± 0,5) (143,90 – 221,35)</c:v>
                </c:pt>
                <c:pt idx="5">
                  <c:v>Escenarios (bajista – alcista) (122,34 – 201,75)</c:v>
                </c:pt>
                <c:pt idx="6">
                  <c:v>DCF con la prima implícita del mercado (4,2 %)</c:v>
                </c:pt>
                <c:pt idx="7">
                  <c:v>Precio actual (146,30)</c:v>
                </c:pt>
              </c:strCache>
            </c:strRef>
          </c:cat>
          <c:val>
            <c:numRef>
              <c:f>Hoja1!$C$2:$C$9</c:f>
              <c:numCache>
                <c:formatCode>#,##0</c:formatCode>
                <c:ptCount val="8"/>
                <c:pt idx="0">
                  <c:v>143</c:v>
                </c:pt>
                <c:pt idx="1">
                  <c:v>41.07000000000001</c:v>
                </c:pt>
                <c:pt idx="2">
                  <c:v>35.41</c:v>
                </c:pt>
                <c:pt idx="3">
                  <c:v>133.89999999999998</c:v>
                </c:pt>
                <c:pt idx="4">
                  <c:v>77.44999999999999</c:v>
                </c:pt>
                <c:pt idx="5">
                  <c:v>79.41</c:v>
                </c:pt>
                <c:pt idx="6">
                  <c:v>70.99000000000001</c:v>
                </c:pt>
                <c:pt idx="7">
                  <c:v>1.460000000000008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8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