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Evolution AB (publ)</w:t>
      </w:r>
    </w:p>
    <w:p>
      <w:pPr>
        <w:spacing w:after="60"/>
        <w:rPr>
          <w:color w:val="52514E"/>
          <w:sz w:val="22"/>
          <w:szCs w:val="22"/>
        </w:rPr>
      </w:pPr>
      <w:r>
        <w:rPr>
          <w:color w:val="52514E"/>
          <w:sz w:val="22"/>
          <w:szCs w:val="22"/>
        </w:rPr>
        <w:t xml:space="preserve">EVO · Nasdaq Stockholm (Large Cap) · ISIN SE0012673267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72,27 EUR (809,00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n.d.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+12,8 % (del valor intrínseco: falta el objetivo a 12 meses)</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81,50 EUR (912,31 SEK) · mercado 95,80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13.161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Evolution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EVO / SE0012673267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(casinos y juego)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(Suecia)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www.evolution.com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72,27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46,04 – 81,38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13.161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48,8 M EUR/día (3 meses; 699 mil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n.d.</w:t>
      </w:r>
      <w:r>
        <w:t xml:space="preserve"> frente a 72,27 (809,00 SEK) · Rentabilidad a 12 meses </w:t>
      </w:r>
      <w:r>
        <w:rPr>
          <w:b/>
          <w:bCs/>
        </w:rPr>
        <w:t xml:space="preserve">+12,8 % (del valor intrínseco: falta el objetivo a 12 meses)</w:t>
      </w:r>
      <w:r>
        <w:t xml:space="preserve"> · Valor intrínseco 81,50 EUR (912,31 SEK) · con la prima implícita del mercado: 95,80 (1.072,38 SEK) (+32,6 %) · Alcista / bajista +36,6 % / -19,9 %</w:t>
      </w:r>
    </w:p>
    <w:p>
      <w:pPr>
        <w:spacing w:after="100"/>
      </w:pPr>
      <w:r>
        <w:rPr>
          <w:b/>
        </w:rPr>
        <w:t xml:space="preserve">La recomendación y por qué.</w:t>
      </w:r>
      <w:r>
        <w:t xml:space="preserve"> Comprar, con convicción baja. El valor objetivo es de 81,50 EUR (912,31 SEK) frente a un cierre de 72,27 EUR (809,0 SEK): +12,8 % de rentabilidad total, sin dividendo, y una asimetría de 1,84 veces entre el alcista (+36,6 %) y el bajista (−19,9 %). Las dos reglas discrepan: con nuestro WACC del 10,19 % sale Mantener; con la prima que hoy pide el mercado (4,20 %) el objetivo sube a 95,80 EUR (+32,6 %) y sale Comprar. Manda la relativa, pero el Comprar depende sobre todo de la tasa de descuento y nuestras cifras están solo un 0,6-3,5 % por debajo del consenso de EBITDA: por eso la convicción es baja.</w:t>
      </w:r>
    </w:p>
    <w:p>
      <w:pPr>
        <w:spacing w:after="100"/>
      </w:pPr>
      <w:r>
        <w:rPr>
          <w:b/>
        </w:rPr>
        <w:t xml:space="preserve">El negocio.</w:t>
      </w:r>
      <w:r>
        <w:t xml:space="preserve"> Evolution es el líder mundial del casino en vivo B2B, con unas 2.000 mesas frente a unas 500 de Playtech [20]. Gana un margen EBITDA del 66,1 % y un ROIC del 31,1 % incluido el fondo de comercio de NetEnt, frente a un WACC del 10,19 %. El problema no es el foso, sino dónde se puede usar: solo el 49 % de los ingresos viene de jugadores en mercados regulados localmente y Asia es el 37 % [7].</w:t>
      </w:r>
    </w:p>
    <w:p>
      <w:pPr>
        <w:spacing w:after="100"/>
      </w:pPr>
      <w:r>
        <w:rPr>
          <w:b/>
        </w:rPr>
        <w:t xml:space="preserve">Sector y ciclo.</w:t>
      </w:r>
      <w:r>
        <w:t xml:space="preserve"> El casino online mundial creció un 13,6 % en 2025 y Evolution un 0,2 % [1]. Europa cayó un 6,3 % por los bloqueos de jurisdicciones y la pérdida de canalización, con el impuesto británico al 40 % desde abril de 2026 [1, 22]. Norteamérica (+9,5 %) y Latinoamérica (+26,3 %) crecen, pero solo son el 25 % de los ingresos [7].</w:t>
      </w:r>
    </w:p>
    <w:p>
      <w:pPr>
        <w:spacing w:after="100"/>
      </w:pPr>
      <w:r>
        <w:rPr>
          <w:b/>
        </w:rPr>
        <w:t xml:space="preserve">Finanzas.</w:t>
      </w:r>
      <w:r>
        <w:t xml:space="preserve"> Ingresos planos (2.052 M en los últimos 12 meses) y margen del 65,6 % en el primer semestre [7]. La conversión del beneficio en caja es del 95 % en 2019-2025 y no hay deuda financiera. Dos avisos contables: 202,8 M de ingresos en 2024-2025 salieron de rebajar earn-outs de compras que no cumplieron, y los clientes tardan 79 días en pagar, con un 31 % vencido [1].</w:t>
      </w:r>
    </w:p>
    <w:p>
      <w:pPr>
        <w:spacing w:after="100"/>
      </w:pPr>
      <w:r>
        <w:rPr>
          <w:b/>
        </w:rPr>
        <w:t xml:space="preserve">Equipo y gobierno.</w:t>
      </w:r>
      <w:r>
        <w:t xml:space="preserve"> Resta. La recompra de hasta 2.000 M EUR, que sustituyó al dividendo, llevó a Kenneth Dart por encima del 30 % sin comprar una acción; su OPA obligatoria a 695 SEK, por debajo del precio, solo recogió el 0,06 % [39, 40]. Hoy tiene el 32,8 % y controla de hecho la junta. El variable no se liga a rentabilidad y el CEO cobró 6,59 M EUR en 2025 [32].</w:t>
      </w:r>
    </w:p>
    <w:p>
      <w:pPr>
        <w:spacing w:after="100"/>
      </w:pPr>
      <w:r>
        <w:rPr>
          <w:b/>
        </w:rPr>
        <w:t xml:space="preserve">Valoración.</w:t>
      </w:r>
      <w:r>
        <w:t xml:space="preserve"> El DCF da 82,68 EUR, los escenarios 80,51 y los comparables 81,33. El DCF inverso dice que el precio descuenta un crecimiento del 1,7 % anual en 2027-2035, frente al 3,9 % de nuestro caso base, o un margen del 57,6 %: el mercado ya cuenta con perder parte de Asia o de Europa. Cotiza a 9,6 veces el EBITDA de los últimos 12 meses, la mitad de su media de 2019-2025 (19,2 veces). Discrepamos en la probabilidad del bajista, no en el caso base.</w:t>
      </w:r>
    </w:p>
    <w:p>
      <w:pPr>
        <w:spacing w:after="100"/>
      </w:pPr>
      <w:r>
        <w:rPr>
          <w:b/>
        </w:rPr>
        <w:t xml:space="preserve">Riesgos y catalizadores.</w:t>
      </w:r>
      <w:r>
        <w:t xml:space="preserve"> Primero, Asia: un bloqueo grande lleva el valor a 57,91 EUR (bajista, −30 % sobre el caso base); ya perdió un 9,6 % en el 3T25 [7]. Segundo, la tasa: con un punto más de WACC, el DCF cae a 73,40 EUR, el precio actual. Tercero, el control de Dart, que la recompra eleva hacia el 35 %. Catalizadores: resultados del 3T26 el 23-oct-2026 [88], unos 870 M de recompra pendientes y la propuesta de reparto de febrero de 2027.</w:t>
      </w:r>
    </w:p>
    <w:p>
      <w:pPr>
        <w:spacing w:after="100"/>
      </w:pPr>
      <w:r>
        <w:rPr>
          <w:b/>
        </w:rPr>
        <w:t xml:space="preserve">Qué cambiaría la decisión.</w:t>
      </w:r>
      <w:r>
        <w:t xml:space="preserve"> Compraríamos por debajo de 83,29 EUR (932,38 SEK) y venderíamos por encima de 103,75 EUR (1.161,37 SEK). Pasaríamos a Mantener si Asia baja de 180 M en un trimestre (190,5 M en el 2T26), si el margen EBITDA cae por debajo del 64 % dos trimestres seguidos o si se abre una revisión de licencia en otro mercado regulado.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n.d.</w:t>
      </w:r>
      <w:r>
        <w:t xml:space="preserve"> (rentabilidad +12,8 % (del valor intrínseco: falta el objetivo a 12 meses)) · Valor intrínseco: 81,50 EUR (912,31 SEK) (+12,8 % sobre 72,27) · con la prima implícita del mercado: 95,80 (1.072,38 SEK) (+32,6 %)</w:t>
      </w:r>
    </w:p>
    <w:p>
      <w:pPr>
        <w:spacing w:after="100"/>
      </w:pPr>
      <w:r>
        <w:t xml:space="preserve">Evolution inventó el casino en vivo industrial y lo domina: unas 2.000 mesas en estudios de Europa, América y Asia, 870 operadores clientes y un margen EBITDA del 66,1 % en 2025, con un ROIC del 31,1 % aun contando el fondo de comercio de NetEnt [1, 20]. Genera más de 1.100 M de flujo libre al año sin deuda y lo devuelve: 3.738 M en dividendos y recompras desde 2019 [1, 2, 3, 4, 5, 6].</w:t>
      </w:r>
    </w:p>
    <w:p>
      <w:pPr>
        <w:spacing w:after="100"/>
      </w:pPr>
      <w:r>
        <w:t xml:space="preserve">El precio, 72,27 EUR, descuenta un crecimiento de los ingresos del 1,7 % anual hasta 2035, o un margen del 57,6 %, y una rentabilidad implícita del 11,3 %. Cotiza a 9,6 veces el EBITDA de los últimos 12 meses y 12,4 veces el beneficio de los próximos 12, la mitad de su media histórica y por debajo de Aristocrat (21,9 veces) [69].</w:t>
      </w:r>
    </w:p>
    <w:p>
      <w:pPr>
        <w:spacing w:after="100"/>
      </w:pPr>
      <w:r>
        <w:t xml:space="preserve">El mercado tiene razón en el diagnóstico: el crecimiento se paró en 2025 (+0,2 % con el mercado al +13,6 %) y la mitad de los ingresos viene de mercados sin regulación local, sobre todo Asia [1, 7]. Pero el precio ya cuenta con perder parte de esos ingresos. Para invertir hay que creer que Asia no se hunde de golpe y que Norteamérica, Latinoamérica y el RNG compensan una Europa a la baja. Si es así, la acción rinde un 12,8 % con nuestra tasa y un 32,6 % con la del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 EUR (912,31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(SEK al tipo de 0,0893 EUR por SEK)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 EUR (809,00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10,2 %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95,80 EUR (1.072,38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(3,6 %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77,59 (868,52 SEK)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77,59 y 103,75 (868,52 y 1.161,37 SEK)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103,75 (1.161,37 SEK)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los ingresos de Asia bajan de 180 M en un trimestre (190,5 M en el 2T26), pasaríamos a Mantener.</w:t>
      </w:r>
    </w:p>
    <w:p>
      <w:pPr>
        <w:pStyle w:val="ListParagraph"/>
        <w:numPr>
          <w:ilvl w:val="0"/>
          <w:numId w:val="2"/>
        </w:numPr>
        <w:spacing w:after="60"/>
      </w:pPr>
      <w:r>
        <w:t xml:space="preserve">Si el margen EBITDA queda por debajo del 64 % dos trimestres seguidos, pasaríamos a Mantener.</w:t>
      </w:r>
    </w:p>
    <w:p>
      <w:pPr>
        <w:pStyle w:val="ListParagraph"/>
        <w:numPr>
          <w:ilvl w:val="0"/>
          <w:numId w:val="2"/>
        </w:numPr>
        <w:spacing w:after="60"/>
      </w:pPr>
      <w:r>
        <w:t xml:space="preserve">Si se abre una revisión de licencia en otro mercado regulado grande, pasaríamos a Mantener hasta conocer el alcance.</w:t>
      </w:r>
    </w:p>
    <w:p>
      <w:pPr>
        <w:pStyle w:val="ListParagraph"/>
        <w:numPr>
          <w:ilvl w:val="0"/>
          <w:numId w:val="2"/>
        </w:numPr>
        <w:spacing w:after="60"/>
      </w:pPr>
      <w:r>
        <w:t xml:space="preserve">Si el precio supera 103,75 EUR (1.161,37 SEK), pasaríamos a Vender.</w:t>
      </w:r>
    </w:p>
    <w:p>
      <w:pPr>
        <w:pStyle w:val="ListParagraph"/>
        <w:numPr>
          <w:ilvl w:val="0"/>
          <w:numId w:val="2"/>
        </w:numPr>
        <w:spacing w:after="60"/>
      </w:pPr>
      <w:r>
        <w:t xml:space="preserve">Si Europa vuelve a crecer en tasa interanual y Asia se estabiliza dos trimestres,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1,7 % anual hasta 2035, o un margen EBITDA del 57,6 %, y una rentabilidad del 11,3 %. Es un caso entre nuestro base y nuestro bajista: el mercado da por hecho que una parte de los ingresos asiáticos o europeos desaparecerá. El precio objetivo medio de 16 analistas, 67,88 EUR, está incluso por debajo del precio [62, 63].</w:t>
      </w:r>
    </w:p>
    <w:p>
      <w:pPr>
        <w:keepNext/>
        <w:spacing w:after="100"/>
      </w:pPr>
      <w:r>
        <w:rPr>
          <w:b/>
          <w:bCs/>
        </w:rPr>
        <w:t xml:space="preserve">Lo que creemos nosotros.</w:t>
      </w:r>
    </w:p>
    <w:p>
      <w:pPr>
        <w:spacing w:after="100"/>
      </w:pPr>
      <w:r>
        <w:t xml:space="preserve">Ingresos planos en 2026 y crecimiento del 4,5-5 % en 2027-2029, por debajo del consenso, con un margen del 65-65,8 %. Damos un 25 % al bajista de Asia, no lo descartamos. Con nuestra tasa, que ya lleva un punto extra por los mercados no regulados, el valor es de 81,50 EUR.</w:t>
      </w:r>
    </w:p>
    <w:p>
      <w:pPr>
        <w:keepNext/>
        <w:spacing w:after="100"/>
      </w:pPr>
      <w:r>
        <w:rPr>
          <w:b/>
          <w:bCs/>
        </w:rPr>
        <w:t xml:space="preserve">Por qué podemos tener razón.</w:t>
      </w:r>
    </w:p>
    <w:p>
      <w:pPr>
        <w:spacing w:after="100"/>
      </w:pPr>
      <w:r>
        <w:t xml:space="preserve">Porque las regiones reguladas que crecen ya pesan: Norteamérica y Latinoamérica suman el 25 % de los ingresos y crecen un 9,5 % y un 26,3 % [7]. Porque Asia volvió a crecer dos trimestres seguidos tras la caída del 3T25 [8]. Y porque la recompra retira un 6,6 % adicional de la capitalización hasta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margen EBITDA del 66,1 % y ROIC del 31,1 % con el fondo de comercio incluido.</w:t>
      </w:r>
    </w:p>
    <w:p>
      <w:pPr>
        <w:pStyle w:val="ListParagraph"/>
        <w:numPr>
          <w:ilvl w:val="0"/>
          <w:numId w:val="2"/>
        </w:numPr>
        <w:spacing w:after="60"/>
      </w:pPr>
      <w:r>
        <w:rPr>
          <w:b/>
        </w:rPr>
        <w:t xml:space="preserve">El precio descuenta casi nada</w:t>
      </w:r>
      <w:r>
        <w:t xml:space="preserve">: crecimiento implícito del 1,7 % anual frente al 3,9 % del caso base.</w:t>
      </w:r>
    </w:p>
    <w:p>
      <w:pPr>
        <w:pStyle w:val="ListParagraph"/>
        <w:numPr>
          <w:ilvl w:val="0"/>
          <w:numId w:val="2"/>
        </w:numPr>
        <w:spacing w:after="60"/>
      </w:pPr>
      <w:r>
        <w:rPr>
          <w:b/>
        </w:rPr>
        <w:t xml:space="preserve">Barata frente a su historia</w:t>
      </w:r>
      <w:r>
        <w:t xml:space="preserve">: 9,6 veces el EBITDA, la mitad de su media de 2019-2025 (19,2 veces).</w:t>
      </w:r>
    </w:p>
    <w:p>
      <w:pPr>
        <w:pStyle w:val="ListParagraph"/>
        <w:numPr>
          <w:ilvl w:val="0"/>
          <w:numId w:val="2"/>
        </w:numPr>
        <w:spacing w:after="60"/>
      </w:pPr>
      <w:r>
        <w:rPr>
          <w:b/>
        </w:rPr>
        <w:t xml:space="preserve">Caja y recompra</w:t>
      </w:r>
      <w:r>
        <w:t xml:space="preserve">: sin deuda financiera y con unos 870 M de recompra pendientes, el 6,6 % de la capitalización.</w:t>
      </w:r>
    </w:p>
    <w:p>
      <w:pPr>
        <w:pStyle w:val="ListParagraph"/>
        <w:numPr>
          <w:ilvl w:val="0"/>
          <w:numId w:val="2"/>
        </w:numPr>
        <w:spacing w:after="60"/>
      </w:pPr>
      <w:r>
        <w:rPr>
          <w:b/>
        </w:rPr>
        <w:t xml:space="preserve">Las regiones reguladas crecen</w:t>
      </w:r>
      <w:r>
        <w:t xml:space="preserve">: Norteamérica +9,5 % y Latinoamérica +26,3 % en el 2T26 [7].</w:t>
      </w:r>
    </w:p>
    <w:p>
      <w:pPr>
        <w:pStyle w:val="Heading2"/>
      </w:pPr>
      <w:r>
        <w:t xml:space="preserve">En contra</w:t>
      </w:r>
    </w:p>
    <w:p>
      <w:pPr>
        <w:pStyle w:val="ListParagraph"/>
        <w:numPr>
          <w:ilvl w:val="0"/>
          <w:numId w:val="2"/>
        </w:numPr>
        <w:spacing w:after="60"/>
      </w:pPr>
      <w:r>
        <w:rPr>
          <w:b/>
        </w:rPr>
        <w:t xml:space="preserve">La mitad de los ingresos sin regulación local</w:t>
      </w:r>
      <w:r>
        <w:t xml:space="preserve">: solo el 49 % viene de mercados regulados; Asia es el 37 % [7].</w:t>
      </w:r>
    </w:p>
    <w:p>
      <w:pPr>
        <w:pStyle w:val="ListParagraph"/>
        <w:numPr>
          <w:ilvl w:val="0"/>
          <w:numId w:val="2"/>
        </w:numPr>
        <w:spacing w:after="60"/>
      </w:pPr>
      <w:r>
        <w:rPr>
          <w:b/>
        </w:rPr>
        <w:t xml:space="preserve">El crecimiento se ha parado</w:t>
      </w:r>
      <w:r>
        <w:t xml:space="preserve">: +0,2 % en 2025 con el mercado al +13,6 % [1].</w:t>
      </w:r>
    </w:p>
    <w:p>
      <w:pPr>
        <w:pStyle w:val="ListParagraph"/>
        <w:numPr>
          <w:ilvl w:val="0"/>
          <w:numId w:val="2"/>
        </w:numPr>
        <w:spacing w:after="60"/>
      </w:pPr>
      <w:r>
        <w:rPr>
          <w:b/>
        </w:rPr>
        <w:t xml:space="preserve">Control sin prima</w:t>
      </w:r>
      <w:r>
        <w:t xml:space="preserve">: Kenneth Dart tiene el 32,8 % y la recompra lo eleva hacia el 35 % [40].</w:t>
      </w:r>
    </w:p>
    <w:p>
      <w:pPr>
        <w:pStyle w:val="ListParagraph"/>
        <w:numPr>
          <w:ilvl w:val="0"/>
          <w:numId w:val="2"/>
        </w:numPr>
        <w:spacing w:after="60"/>
      </w:pPr>
      <w:r>
        <w:rPr>
          <w:b/>
        </w:rPr>
        <w:t xml:space="preserve">Europa a la baja</w:t>
      </w:r>
      <w:r>
        <w:t xml:space="preserve">: −6,3 % en 2025, con el impuesto británico al 40 % desde abril de 2026 [1, 22].</w:t>
      </w:r>
    </w:p>
    <w:p>
      <w:pPr>
        <w:pStyle w:val="ListParagraph"/>
        <w:numPr>
          <w:ilvl w:val="0"/>
          <w:numId w:val="2"/>
        </w:numPr>
        <w:spacing w:after="60"/>
      </w:pPr>
      <w:r>
        <w:rPr>
          <w:b/>
        </w:rPr>
        <w:t xml:space="preserve">Calidad de los cobros</w:t>
      </w:r>
      <w:r>
        <w:t xml:space="preserve">: 79 días de cobro y un 31 % de saldos vencidos [1].</w:t>
      </w:r>
    </w:p>
    <w:p>
      <w:pPr>
        <w:pStyle w:val="Heading2"/>
      </w:pPr>
      <w:r>
        <w:t xml:space="preserve">Qué tiene que pasar para que la tesis funcione</w:t>
      </w:r>
    </w:p>
    <w:p>
      <w:pPr>
        <w:spacing w:after="100"/>
      </w:pPr>
      <w:r>
        <w:t xml:space="preserve">La tesis depende de que Asia no se hunda de golpe. La señal es trimestral: con 190,5 M en el 2T26, un trimestre por debajo de 180 M diría que el bajista está en marcha. La segunda condición es el margen: si baja del 64 % dos trimestres seguidos, el crecimiento en Norteamérica y Latinoamérica no se estaría pagando solo. La tercera, el control: compras de Candle Lake en mercado anticiparían un intento de exclusión de bolsa.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Asia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los ingresos y el origen del escenario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64 %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un margen en línea con el 66,1 % de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mercados regulados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calidad regulatoria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Europa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pérdida de canalización y los impuestos al juego.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Candle Lake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40 % o compras en mercado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hecho y riesgo de exclusión de bolsa.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Evolution nació en 2006 en Suecia con un pequeño estudio en Riga, para llevar al online el casino de mesa con crupier real [1]. Sus fundadores, Jens von Bahr y Fredrik Österberg, siguen controlando el 10,96 % del capital a través de Österbahr Ventures, y Von Bahr preside el consejo [1]. Salió a bolsa en el First North de Estocolmo en marzo de 2015 y pasó al mercado principal en junio de 2017 [1]. Ese año inventó los game shows en vivo (Dream Catcher), que abrieron el vivo a jugadores nuevos [1]. Entre 2020 y 2022 compró NetEnt (con Red Tiger), Big Time Gaming y Nolimit City y se convirtió también en un gran proveedor de tragaperras [29, 30, 31]. Desde 2024 la historia la marcan la regulación (revisión de la UKGC), la señal robada en Asia y el pleito con Playtech [1, 7,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y primer estudio en Riga (Letonia), que sigue siendo el centro de desarrollo de juegos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Nasdaq First North Premier (20 de marzo)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de Nasdaq Stockholm (7 de junio) y lanzamiento de Dream Catcher, el primer game show en vivo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NetEnt, con Red Tiger, completada el 1 de diciembre mediante canje de acciones: entrada a lo grande en tragaperras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Big Time Gaming (Megaways), completada el 30 de junio [29]. En diciembre, demanda por difamación en Nueva Jersey contra el bufete que denunció su presencia en mercados prohibidos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Nolimit City, completada el 8 de agosto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DGE de Nueva Jersey cierra en febrero su investigación sin hallar pruebas de que Evolution se beneficiara de mercados prohibidos [26]. En diciembre, la UKGC abre una revisión de su licencia británica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plano (+0,2 %): bloqueo de mercados no licenciados en Europa y ciberdelincuencia en Asia [1, 9]. Exclusiva mundial con Hasbro, primer estudio en Asia (Filipinas) y en São Paulo [1]. Se conoce que Black Cube y Playtech estaban detrás del informe de 2021 [7,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dividendo por el ejercicio 2025 [1]. Acuerdo de 4,75 M GBP con la UKGC (15 de julio) [17]. Estudio en Alberta tras su regulación (julio)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Evolution desarrolla, produce y licencia juegos de casino online </w:t>
      </w:r>
      <w:r>
        <w:rPr>
          <w:b/>
        </w:rPr>
        <w:t xml:space="preserve">solo en modelo B2B</w:t>
      </w:r>
      <w:r>
        <w:t xml:space="preserve">: no tiene jugadores propios; sus juegos se juegan a través de la interfaz de un operador con licencia, que se encarga del registro, la cuenta y el cobro al jugador [1]. Tiene dos líneas: </w:t>
      </w:r>
      <w:r>
        <w:rPr>
          <w:b/>
        </w:rPr>
        <w:t xml:space="preserve">Live</w:t>
      </w:r>
      <w:r>
        <w:t xml:space="preserve"> (ruleta, blackjack y baccarat con crupier real retransmitido en vídeo, más los </w:t>
      </w:r>
      <w:r>
        <w:rPr>
          <w:i/>
        </w:rPr>
        <w:t xml:space="preserve">game shows</w:t>
      </w:r>
      <w:r>
        <w:t xml:space="preserve"> como Crazy Time, Monopoly Live o Ice Fishing), que aportó 1.772,6 M EUR en 2025, el 85,8 % de los ingresos, y </w:t>
      </w:r>
      <w:r>
        <w:rPr>
          <w:b/>
        </w:rPr>
        <w:t xml:space="preserve">RNG</w:t>
      </w:r>
      <w:r>
        <w:t xml:space="preserve"> (tragaperras y juegos de mesa por ordenador de NetEnt, Red Tiger, Big Time Gaming, Nolimit City y Evolution), con 294,0 M EUR, el 14,2 % [9]. Opera 24 estudios y unas 2.000 mesas en vivo: tres centros principales en Riga, Tiflis (el mayor) y Malta, más estudios en EE. UU. (Nueva Jersey, Pensilvania, Míchigan, Connecticut), Canadá, Colombia, Argentina, Brasil, Filipinas, España y otros países de Europa, varios exigidos por la regulación local [1]. Los operadores se integran una sola vez (One Stop Shop) y acceden a todas las marcas; el 73 % de los ingresos llega por el móvil [1].</w:t>
      </w:r>
    </w:p>
    <w:p>
      <w:pPr>
        <w:pStyle w:val="Heading2"/>
      </w:pPr>
      <w:r>
        <w:t xml:space="preserve">Cómo gana dinero</w:t>
      </w:r>
    </w:p>
    <w:p>
      <w:pPr>
        <w:spacing w:after="100"/>
      </w:pPr>
      <w:r>
        <w:t xml:space="preserve">La mayor parte de los ingresos es una </w:t>
      </w:r>
      <w:r>
        <w:rPr>
          <w:b/>
        </w:rPr>
        <w:t xml:space="preserve">comisión variable</w:t>
      </w:r>
      <w:r>
        <w:t xml:space="preserve">: un porcentaje de lo que el operador gana a sus jugadores con los juegos de Evolution (la ganancia bruta del juego, no las apuestas) [1, 7]. A eso se suman cuotas mensuales fijas por </w:t>
      </w:r>
      <w:r>
        <w:rPr>
          <w:b/>
        </w:rPr>
        <w:t xml:space="preserve">mesas dedicadas</w:t>
      </w:r>
      <w:r>
        <w:t xml:space="preserve"> (exclusivas de un operador, con su marca, idioma y crupieres nativos; el precio depende del juego, el número de mesas y las horas activas) y cuotas de alta para clientes nuevos [1]. El ingreso es, por tanto, recurrente en la base de clientes pero variable con la actividad del jugador final, con algo de estacionalidad al alza en el cuarto trimestre [7]. El coste principal es el personal: el 88 % de la plantilla trabaja en las mesas como crupieres y presentadores [1]. Como la misma mesa genérica sirve a cientos de operadores a la vez, cada euro adicional de ganancia de juego entra con un coste marginal bajo: de ahí un margen EBITDA del 65,9 % en el 2T26 [7]. El riesgo del modelo es el inverso: si la actividad cae (Asia, Europa con el </w:t>
      </w:r>
      <w:r>
        <w:rPr>
          <w:i/>
        </w:rPr>
        <w:t xml:space="preserve">ring-fencing</w:t>
      </w:r>
      <w:r>
        <w:t xml:space="preserve">), el coste de los estudios no baja al mismo ritmo.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Casino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RNG (tragaperras)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Live Casino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RNG (tragaperras)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w:t>
      </w:r>
      <w:r>
        <w:rPr>
          <w:b/>
        </w:rPr>
        <w:t xml:space="preserve">870 operadores</w:t>
      </w:r>
      <w:r>
        <w:t xml:space="preserve"> a cierre de 2025 (800 en 2024), entre ellos la mayoría de los grandes operadores online de Europa y América y un número creciente de casinos físicos que ofrecen juego online [1]. La concentración es alta pero baja: el primer cliente pesó el 12 % de los ingresos en 2025 (13 % en 2024; 11 % en 2021) y los cinco primeros, el 39 % (46 % en 2024 y 22 % en 2021) [1]. La empresa no publica la duración de los contratos ni la tasa de bajas. El </w:t>
      </w:r>
      <w:r>
        <w:rPr>
          <w:b/>
        </w:rPr>
        <w:t xml:space="preserve">poder de precio</w:t>
      </w:r>
      <w:r>
        <w:t xml:space="preserve"> se ve en el margen, no en tarifas publicadas: el margen EBITDA se mantuvo en torno al 66 % en 2025 y el 2T26 pese a que los ingresos no crecieron [1, 7]. Por dónde juega el jugador final (IP en el 2T26), el 37 % de los ingresos viene de Asia, el 33 % de Europa, el 16 % de Norteamérica y el 9 % de Latinoamérica; solo el </w:t>
      </w:r>
      <w:r>
        <w:rPr>
          <w:b/>
        </w:rPr>
        <w:t xml:space="preserve">49 % procede de mercados regulados localmente</w:t>
      </w:r>
      <w:r>
        <w:t xml:space="preserve"> (44 % en el 2T25), aunque la empresa afirma que el 100 % de sus ingresos procede de operadores con licencia [16]. Por sede del operador, el 67 % de los ingresos se factura a clientes europeos y solo el 3 % a asiáticos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regulados localmente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(2025); 49 %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43 % (2019), 35 % (2020), 40 % (2021), 41 % (2022), 40 % (2023), 40 % (2024), 46 % (2025). Trimestral 3T24-2T26: 39, 41, 45, 44, 46, 47, 48 y 49 %; en millones: 204,4, 220,4, 233,2, 231,9, 234,3, 243,4, 246,7 y 256,1 M. Ingresos regulados 2025: 942,8 M (819,6 M en 2024) [1, 2, 3, 4, 5,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región del jugador, anual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Europa 779,0; Asia 802,7; Norteamérica 257,7; Latinoamérica 145,5; Otros 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Europa 729,8; Asia 793,7; Norteamérica 296,7; Latinoamérica 156,8; Otros 89,6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Europa -6,3 %, Asia -1,1 %, Norteamérica +15,1 %, Latinoamérica +7,8 %, Otros +14,4 %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base en 2022-2023: Europa 633,4 y 709,9; Asia 478,3 y 672,3; Norteamérica 189,3 y 226,7; Latinoamérica 88,6 y 127,8; Otros 67,4 y 62,0. Con la segmentación antigua (Latinoamérica dentro de Otros): Europa 258,5 (2019), 342,6 (2020) y 571,4 (2021); Asia 49,6, 125,7 y 286,5; Norteamérica 22,0, 37,4 y 114,5; Otros 35,5, 55,7 y 96,3. Por ubicación del operador, 2025: Europa 1.493,5; Asia 31,5; Norteamérica 285,9; Sudamérica 221,2; Otros 34,3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región del jugador, trimestral 3T24-2T26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3T24: Europa 194,9; Asia 202,2; Norteamérica 64,8; Latinoamérica 37,4; Otros 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Europa 173,0; Asia 190,5; Norteamérica 81,0; Latinoamérica 47,5; Otros 25,8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Europa -11,2 %, Asia -5,8 %, Norteamérica +25,0 %, Latinoamérica +27,0 % en siete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 4T24, 1T25, 2T25, 3T25, 4T25, 1T26, 2T26. Europa: 194,9; 201,8; 189,7; 180,2; 182,2; 177,6; 167,1; 173,0. Asia: 202,2; 202,2; 201,9; 209,1; 189,1; 193,6; 197,8; 190,5. Norteamérica: 64,8; 70,6; 71,5; 74,0; 74,2; 77,1; 78,7; 81,0. Latinoamérica: 37,4; 38,5; 36,2; 37,6; 39,8; 43,2; 46,8; 47,5. Otros: 20,2; 20,7; 21,6; 23,4; 21,9; 22,6; 22,6; 25,8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Live y RNG por trimestre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3T24: Live 446,9; RNG 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Live 437,3; RNG 80,5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Live -2,1 %, RNG +11,0 %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3T24-2T26. Live: 446,9; 459,4; 448,7; 453,7; 431,7; 438,6; 434,9; 437,3. RNG: 72,5; 74,4; 72,3; 70,6; 75,5; 75,7; 78,2; 80,5. El RNG creció un 12,7 % interanual en 1S26 (158,7 M frente a 142,9 M)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primer cliente en los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cada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a tiempo completo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 (2025); 16.298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plantilla total ronda las 22.900 personas; el 2T26 tuvo 16.534 equivalentes medios (15.965)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GGR de los operadores vía móvil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 (4T25); 75 %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del GGR de los operadores en la plataforma de Evolution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Juegos nuevos lanzados (Live y RNG)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los primeros títulos con licencia de Hasbro (Monopoly)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casino online mundial</w:t>
      </w:r>
      <w:r>
        <w:t xml:space="preserve"> (en vivo, mesas RNG y tragaperras), medido como ganancia bruta de juego de los operadores (apuestas menos premios), y dentro de él el </w:t>
      </w:r>
      <w:r>
        <w:rPr>
          <w:b/>
        </w:rPr>
        <w:t xml:space="preserve">casino en vivo</w:t>
      </w:r>
      <w:r>
        <w:t xml:space="preserve">, que explica el 86 % de los ingresos de Evolution [1, 9]. Evolution no cobra la ganancia de juego entera, sino una comisión sobre ella: el mercado de proveedores B2B es una fracción del que se mide aquí y nadie la publica. Usamos H2 Gambling Capital (H2GC), la fuente que cita la propia empresa [1], y la contrastamos con la EGBA, que publica datos europeos con el mismo proveedor de base [24]: no hay una segunda serie mundial independiente en abierto. Los perímetros no coinciden (H2GC da 29.768 M EUR al casino online europeo en 2024; la EGBA, 21.500 M EUR), porque la EGBA se ciñe a la UE y el Reino Unido y separa otras verticales.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105.186 M EUR de ganancia bruta de juego en 2025 (92.557 M en 2024, +13,6 %), según H2GC (26-feb-2026), citado por Evolution [1]. El casino en vivo es el 29 % de ese total, ≈ 30.500 M EUR (estimación propia: 29 % × 105.186) [1]. Por regiones, Asia 46.356 M EUR, Europa 32.996 M y Norteamérica 15.063 M [1]. Para Europa, la EGBA sitúa el casino online en 21.500 M EUR en 2024, con un crecimiento previsto de en torno al 7 % anual hasta 2029 [24]. El dato de 2020 de la serie es estimación propia, deducida de la TCAC a cinco años del 20,5 % que publica H2GC (105.186 / 1,205^5) [1]. La previsión del 7 % anual es la de la EGBA para Europa; no hay previsión mundial en abierto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ganancia bruta de juego del casino online mundial, H2G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mercados nuevos en 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casino online norteamericano pasó de 12.154 a 15.063 M EUR en 2025 (+23,9 %) [1]. Brasil pasó a ser mercado regulado en 2025 y Alberta (Canadá) en julio de 2026 [1, 7]. Los ingresos de Evolution en Latinoamérica crecieron un 26,3 % y en Norteamérica un 9,5 % en el 2T26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restricciones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sube el impuesto al juego remoto del 21 % al 40 % desde el 1-abr-2026 [22]; Países Bajos, del 30,5 % al 34,2 % en 2025 y al 37,8 % en 2026 [23]. Los ingresos europeos de Evolution cayeron un 4,0 % interanual en el 2T26, con el bloqueo de mercados no licenciados (*ring-fencing*) como nueva base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Ciberdelincuencia y mercados grises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es el 37 % de los ingresos de Evolution por IP del jugador; cayó un 8,9 % interanual y un 3,7 % trimestral en el 2T26 por el robo y la reventa de su señal [7,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casino físico al online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fue el 44 % del mercado mundial de casino en 2025; el físico, el 56 % [1]. El online creció un 21 % anual en cinco años, frente a un 14 % del casino físico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de producto (game shows, juegos rápidos)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lanzó 113 juegos en 2025; los game shows, creados por ella en 2017, atraen a jugadores que no jugaban en vivo [1]. Ice Fishing es uno de sus mayores lanzamientos recientes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mezcla hacia tragaperras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RNG creció un 23,6 % anual en cinco años frente a un 14,3 % el vivo, y ya es el 71 % del casino online [1]. Evolution solo saca el 14 % de sus ingresos del RNG [9], donde el mercado está más fragmentado.</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vivo, pocos proveedores con escala (Evolution opera ≈ 2.000 mesas y Playtech ≈ 500) [1, 20]; Pragmatic Play compite con precio y un catálogo único de tragaperras y vivo. En RNG hay muchos estudios y crecen deprisa (Hacksaw, +44 % en 2025) [18]. Evolution creció un 0,2 % en 2025 frente a un mercado del +13,6 %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mayores operadores son el 39 % de los ingresos y el primero, el 12 % [1]. Los operadores multiplican proveedores y soportan subidas de impuestos (40 % en el Reino Unido) que presionan sus márgenes y, con ellos, las comisiones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el 88 % de la plantilla son crupieres y presentadores, contratados en países de coste bajo (Letonia, Georgia, Armenia, Colombia) [1]. Solo los dueños de marcas (Hasbro) tienen algo de poder; Evolution firmó la exclusiva mundial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Evolution dice que las barreras de entrada son bajas pero las de éxito altas: el vivo exige volumen, licencias B2B país por país y estudios locales en mercados como EE. UU. [1]. Playtech tardó hasta 2025-26 en llegar a seis estados de EE. UU.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juegos RNG que imitan el vivo sin crupier (el VZN Blackjack de Playtech) bajan el coste [20]; las apuestas deportivas compiten por el mismo jugador; y el mercado negro absorbe al jugador cuando sube la fiscalidad: Evolution avisa de la baja canalización en Europa [7].</w:t>
            </w:r>
          </w:p>
        </w:tc>
      </w:tr>
    </w:tbl>
    <w:p>
      <w:pPr>
        <w:spacing w:after="160" w:before="0"/>
      </w:pPr>
    </w:p>
    <w:p>
      <w:pPr>
        <w:pStyle w:val="Heading2"/>
      </w:pPr>
      <w:r>
        <w:t xml:space="preserve">Ciclo</w:t>
      </w:r>
    </w:p>
    <w:p>
      <w:pPr>
        <w:spacing w:after="100"/>
      </w:pPr>
      <w:r>
        <w:t xml:space="preserve">El mercado crece a doble dígito: +13,6 % en 2025 y un 20,5 % anual en los últimos cinco años, según H2GC [1]. El freno de Evolution es propio (regulación europea, señal robada en Asia), no del ciclo: el 2T26 cayó un 1,2 % mientras el mercado seguía creciendo [7]. Un crecimiento medio del 20,5 % anual en cinco años deja poco espacio para caídas en 2020 o 2022 (inferencia: H2GC no publica en abierto la serie anual). En 2008-09 el sector era aún pequeño y no da una referencia útil.</w:t>
      </w:r>
    </w:p>
    <w:p>
      <w:pPr>
        <w:pStyle w:val="Heading2"/>
      </w:pPr>
      <w:r>
        <w:t xml:space="preserve">Regulación</w:t>
      </w:r>
    </w:p>
    <w:p>
      <w:pPr>
        <w:spacing w:after="100"/>
      </w:pPr>
      <w:r>
        <w:t xml:space="preserve">El juego se regula país a país, y en EE. UU. estado a estado [1]. Evolution tiene licencia en 29 jurisdicciones (22 países, entre ellos el Reino Unido, España, Suecia, Malta y Canadá, y siete estados de EE. UU.: Nueva Jersey, Pensilvania, Míchigan, Connecticut, Delaware, Rhode Island y Virginia Occidental) [1]. Solo el 49 % de sus ingresos procede de jugadores en mercados regulados localmente [16]. Los cambios recientes van contra el operador: impuesto al juego remoto del 21 % al 40 % en el Reino Unido desde el 1-abr-2026 [22]; 37,8 % en Países Bajos desde 2026 [23]; en Alemania, 5,3 % sobre las apuestas en tragaperras, 1 EUR por tirada y el casino de mesa en vivo reservado a los Länder (monopolio o licencias limitadas) [25]. Cada vez más reguladores exigen al proveedor bloquear su contenido a operadores sin licencia [1].</w:t>
      </w:r>
    </w:p>
    <w:p>
      <w:pPr>
        <w:pStyle w:val="Heading2"/>
      </w:pPr>
      <w:r>
        <w:t xml:space="preserve">Tendencias y disrupción</w:t>
      </w:r>
    </w:p>
    <w:p>
      <w:pPr>
        <w:spacing w:after="100"/>
      </w:pPr>
      <w:r>
        <w:t xml:space="preserve">Tres tendencias. Primera, el formato: los game shows y los juegos rápidos atraen a jugadores nuevos, y ahí Evolution manda, con Crazy Time, Monopoly Live o Ice Fishing y la exclusiva de Hasbro [1, 7]. Segunda, la mezcla: las tragaperras crecen más que el vivo (23,6 % frente a 14,3 % anual) y Evolution pesa menos en ellas [1]; los competidores lanzan juegos RNG que imitan el vivo a menor coste [20]. Tercera, la geografía: el crecimiento se desplaza a Norteamérica y Latinoamérica, mercados regulados donde hay que tener estudio local; Evolution ya tiene dos estudios en Míchigan y abrió en São Paulo y Cebú [1, 7]. Evolution gana con la primera y la tercera y pierde algo de terreno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casino en vivo B2B, con ≈ 2.000 mesas a cierre de 2025 frente a ≈ 500 de Playtech, su único rival cotizado comparable en vivo [1, 20]; en tragaperras (RNG) es un proveedor grande en un mercado fragmentado [1]. Nadie publica la cuota con una fuente verificable (las cifras del 45-70 % que circulan salen de agregadores sin método). Como orden de magnitud, los ingresos de Live de Evolution (1.772,6 M EUR) equivalen al 5,8 % de la ganancia bruta del casino en vivo mundial (≈ 30.500 M EUR), lo que encaja con una comisión típica de proveedor de un dígito alto sobre una cuota de mercado mayoritaria (estimación propia) [1,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Pragmatic Play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 Gibraltar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consolidadas en abierto. Compite con un catálogo conjunto de tragaperras y vivo, precios agresivos y fuerte presencia en Latinoamérica; es el rival que más mesas ha ganado frente a Evolution, aunque sin cifras verificables.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Playtech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(Isla de Man)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PTEC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de operaciones continuadas; B2B, 688,3 M EUR [20]. Margen de explotación contable de −16,1 % por deterioros (20,9 M) y gastos no recurrentes; con sus cifras ajustadas, EBITDA de 197,0 M y margen EBIT ≈ 13,1 % (estimación propia: 197,0 − 96,7 de amortización ajustada) [20]. Live creció un 6 % a tipo constante, con ≈ 500 mesas en 17 estudios; fuerte en EE. UU. con mesas dedicadas para DraftKings, FanDuel y Bet365 [20]. Es además el rival enfrentado a Evolution en los tribunales de Nueva Jersey [7].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Light &amp; Wonder (iGaming)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iGaming: 337 M USD en 2025 (+13 %), convertidos a 1,175 USD/EUR del BCE a 31-dic-2025 [19, 21]. No publica EBIT por segmento; su EBITDA ajustado fue de 125 M USD, un margen del 37,1 % [19]. Compite en tragaperras online y agregación de contenido, sobre todo en EE. UU., no en vivo.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Hacksaw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de tragaperras salido a bolsa en Estocolmo en 2025: ingresos +44 % en 2025 [18]. EBIT contable de 157,4 M EUR (79,7 %); el ajustado sin costes de la salida a bolsa, 161,4 M (82 %) [18]. Muestra que el RNG sin estudios físicos tiene márgenes más altos que el vivo y que los recién llegados ganan cuota deprisa en tragaperras.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Games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Isla de Man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(heredera del negocio de distribución de Microgaming); no publica cuentas en abierto. Compite en tragaperras con una red de estudios asociados y en agregación de contenido, no en vivo.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mesas genéricas sirven a la vez a jugadores de cientos de operadores: más operadores llenan más mesas y abaratan cada una. Con 870 clientes y ≈ 2.000 mesas, Evolution reparte el coste del estudio mejor que nadie [1]. No es un efecto de red entre jugadores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integración (One Stop Shop) da acceso a seis marcas, y las mesas dedicadas con la marca del operador cuestan de replicar [1]. Pero los operadores trabajan con varios proveedores a la vez: el peso de los cinco primeros clientes bajó del 46 % al 39 %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en 29 jurisdicciones, que exigen años y estudios locales en EE. UU. o Canadá [1]; exclusiva mundial de Hasbro (Monopoly) para vivo y tragaperras [1]; títulos de referencia (Crazy Time, Lightning, Ice Fishing) y marcas registradas como Megaways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65,9 % en el 2T26 [2], frente a un EBITDA ajustado del 25,8 % de Playtech [8] y del 37,1 % del iGaming de Light &amp; Wonder [7]. Los grandes estudios están en Letonia y Georgia, con coste laboral bajo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estudios, 22.475 empleados y disponibilidad del sistema del 99,90 % [1]. La empresa dice que el vivo exige volumen y excelencia operativa para ser rentable [1]: un entrante necesita años de pérdidas para llegar a una escala parecida.</w:t>
            </w:r>
          </w:p>
        </w:tc>
      </w:tr>
    </w:tbl>
    <w:p>
      <w:pPr>
        <w:spacing w:after="160" w:before="0"/>
      </w:pPr>
    </w:p>
    <w:p>
      <w:pPr>
        <w:pStyle w:val="Heading2"/>
      </w:pPr>
      <w:r>
        <w:t xml:space="preserve">Amenazas</w:t>
      </w:r>
    </w:p>
    <w:p>
      <w:pPr>
        <w:spacing w:after="100"/>
      </w:pPr>
      <w:r>
        <w:t xml:space="preserve">La amenaza principal es </w:t>
      </w:r>
      <w:r>
        <w:rPr>
          <w:b/>
        </w:rPr>
        <w:t xml:space="preserve">perder cuota sin perder margen visible</w:t>
      </w:r>
      <w:r>
        <w:t xml:space="preserve">: en 2025 Evolution creció un 0,2 % frente al +13,6 % del mercado [1, 9]. Parte se explica por causas propias (bloqueo de mercados no licenciados en Europa, señal robada en Asia), pero Pragmatic Play y Playtech ganan mesas en América, y en tragaperras los estudios nuevos crecen al 40 % (Hacksaw) [18, 20]. Segunda amenaza: la regulación y la fiscalidad (40 % en el Reino Unido, 37,8 % en Países Bajos) pueden presionar las comisiones si los operadores se protegen [22, 23]. Tercera: un 51 % de los ingresos llega de jugadores en mercados no regulados localmente [16]; un cierre forzado de esos canales tendría un efecto que la empresa no cuantifica. Probabilidad de erosión gradual: media; de colapso del foso: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2019-2025: ingresos </w:t>
      </w:r>
      <w:r>
        <w:rPr>
          <w:b/>
          <w:bCs/>
        </w:rPr>
        <w:t xml:space="preserve">33,5 %</w:t>
      </w:r>
      <w:r>
        <w:t xml:space="preserve">, EBITDA </w:t>
      </w:r>
      <w:r>
        <w:rPr>
          <w:b/>
          <w:bCs/>
        </w:rPr>
        <w:t xml:space="preserve">39,8 %</w:t>
      </w:r>
      <w:r>
        <w:t xml:space="preserve">, BPA </w:t>
      </w:r>
      <w:r>
        <w:rPr>
          <w:b/>
          <w:bCs/>
        </w:rPr>
        <w:t xml:space="preserve">36,2 %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365,7 M en 2019 a 2.066,5 M en 2025. El salto de 2020-2022 es en buena parte inorgánico: NetEnt (dic-20) trajo el RNG, y Big Time Gaming (jul-21) y Nolimit City (jul-22) lo ampliaron [1, 4, 5]. Desde 2023 el crecimiento es orgánico y se ha frenado: +14,7 % en 2024 y +0,2 % en 2025; en el LTM a jun-26, -0,7 % (2.052,2 M), aunque a tipo de cambio constante la empresa estima +2,4 % a +6,8 % por trimestre en 2026 [7, 8, 9]. El margen EBITDA ajustado (sin «other operating revenues») cayó de 70,5 % en 2023 a 68,4 % en 2024, 66,1 % en 2025 y 65,6 % en 1S26: unos 490 pb en dos años y medio, porque los gastos de personal subieron un 8,9 % en 2025 con ingresos planos y las amortizaciones crecen con la expansión de estudios (160,0 M en 2025 frente a 124,7 M en 2023) [1, 7]. Para 2026 la dirección espera un margen en línea con el de 2025 [9]. El tipo impositivo pasó del 6-7 % hasta 2023 al 13,5 % en 2024 y 14,8 % en 2025 por el impuesto mínimo del Pilar II (129,1 M y 111,6 M) [1]. El BPA diluido bajó un 11,5 % en 2025 (5,23 frente a 5,91 EUR), amortiguado por las recompras (acciones diluidas medias -3,6 %).</w:t>
      </w:r>
    </w:p>
    <w:p>
      <w:pPr>
        <w:pStyle w:val="Heading2"/>
      </w:pPr>
      <w:r>
        <w:t xml:space="preserve">Ajustes y partidas no recurrentes</w:t>
      </w:r>
    </w:p>
    <w:p>
      <w:pPr>
        <w:spacing w:after="100"/>
      </w:pPr>
      <w:r>
        <w:t xml:space="preserve">Todas las cifras son las reportadas. El EBITDA reportado incluye «other operating revenues», que son reducciones del pasivo por earn-out sin entrada de caja: 151,1 M en 2024 (Big Time Gaming 59,7 M y Nolimit City 91,4 M, al ampliar los plazos de pago hasta 2026-2027) y 51,7 M en 2025 (nueva reducción del earn-out de BTG al alargarlo hasta 2031) [1, 2]. Son no recurrentes y la propia empresa los excluye de su «Adj. EBITDA excl. other operating revenues» (1.410,7 M en 2024, 1.365,7 M en 2025 y 1.354,7 M en el LTM jun-26) [1, 7]. Van como no_recurrentes_en_ebitda negativos (-151,1 M en 2024, -51,7 M en 2025 y -51,7 M en el LTM, que incluye el 4T25). No hay deterioros ni reestructuraciones en el periodo. Después del LTM, el 3T26 recogerá dos gastos no recurrentes: el acuerdo de 4,75 M GBP con la UK Gambling Commission (julio de 2026; sin provisión en el 2T26, figura como hecho posterior) y la penalización de 5,23 M USD por romper la compra de Galaxy Gaming [7, 15]. BPA diluido; el LTM (5,32 EUR) es estimación propia con las acciones diluidas medias del LTM (199,7 M); el básico publicado es 5,33 EUR.</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de las conferencias en los documentos descargados; este resumen sale del texto del consejero delegado en los informes del 1T26 y 2T26 y de las presentaciones [7, 8]. El EBITDA de la tabla es el reportado: el del 3T24 (415,3 M), 4T24 (455,0 M) y 4T25 (393,2 M) incluye 59,7 M, 91,4 M y 51,7 M de reducción de earn-outs; sin ellos, el margen fue 68,5 %, 68,1 % y 66,4 % [7]. El crecimiento «orgánico» es el crecimiento a tipo de cambio constante que estima la empresa (no lo publica sin perímetro) [7, 8, 9, 10, 11, 12]. En el 1T26 la dirección señaló a Europa como «la clara decepción» (-5,9 % trimestral) por la volatilidad regulatoria, la baja canalización y su propio «ring-fencing» de mercados regulados; Asia creció por segundo trimestre seguido (+2,2 %) en la lucha contra el ciberdelito; Latinoamérica +29,3 % interanual; Norteamérica +10,1 % en euros y +21,4 % en moneda local [8]. En el 2T26 el tono mejora: Europa vuelve a crecer (+3,5 % trimestral), Latinoamérica +26,3 % y Norteamérica +9,5 % interanual, pero Asia cae un 3,7 % trimestral por el ciberdelito; la empresa cerró el examen de la UK Gambling Commission con 4,75 M GBP y dejó caer la compra de Galaxy Gaming por la carga administrativa [7, 15]. La guía de margen 2026 es «en línea con 2025» (66,1 %)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NetEnt (con Red Tiger), consolidada desde el 1-dic-20 por canje de acciones: entra entera en el balance de 2020 (fondo de comercio de 1.834 M) y solo un mes en la cuenta (RNG 17,8 M de 560,7 M).; 2021: Big Time Gaming, consolidada desde el 1-jul-21, y primer año completo de NetEnt: 2021 no es comparable con 2020.; 2022: Nolimit City, consolidada desde el 1-jul-22 (200 M de pago inicial más earn-out; 273 M de caja en adquisiciones en 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Evolution no tiene deuda financiera desde que repagó en 2020 los 190,4 M de NetEnt [6]. La caja neta de arrendamientos rondaba 830 M a dic-25 (con los bonos) y 1.063 M a jun-26 [1, 7]. El circulante está dominado por los clientes: 447,0 M a dic-25, unos 79 días de ingresos netos, con 142,1 M vencidos (31 % del bruto, frente al 40 % de 2024) y solo 7,2 M de provisión; la empresa dice que las pérdidas por insolvencia han sido bajas [1]. Los proveedores son irrelevantes (11,0 M) porque el gasto es casi todo personal. El fondo de comercio (2.370,2 M) es el 43 % del activo y el 58 % del patrimonio; nunca se ha deteriorado (prueba anual con tasa antes de impuestos del 8,5 % y sin deterioro aun con cambios del 50 % en tasa, crecimiento o margen) [1]. Los saltos del activo en 2023-2025 vienen de la caja retenida y de los impuestos maltese brutos, no de 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5.009</w:t>
      </w:r>
      <w:r>
        <w:t xml:space="preserve">, conversión </w:t>
      </w:r>
      <w:r>
        <w:rPr>
          <w:b/>
          <w:bCs/>
        </w:rPr>
        <w:t xml:space="preserve">95 %</w:t>
      </w:r>
      <w:r>
        <w:t xml:space="preserve"> del beneficio neto; adquisiciones 443, dividendos 2.126, recompras 1.612.</w:t>
      </w:r>
    </w:p>
    <w:p>
      <w:pPr>
        <w:spacing w:after="100"/>
      </w:pPr>
      <w:r>
        <w:t xml:space="preserve">La conversión en caja es alta: el flujo operativo fue el 92 % del EBITDA ajustado en 2025 (1.255,2 M frente a 1.365,7 M) y el 1S26 mejoró (638,9 M frente a 586,7 M) por el cobro de clientes [1, 7]. El impuesto pagado (75,0 M en 2025) es muy inferior al devengado (184,3 M) por el sistema maltés de devolución y los plazos de liquidación: no conviene extrapolarlo [1]. El capex fue de 134,8 M en 2025 (6,5 % de los ingresos): 70,2 M de intangibles, sobre todo desarrollo capitalizado de juegos (68,4 M de altas en programas de juego), y 64,6 M de estudios, mesas y servidores; la empresa no separa mantenimiento y crecimiento. Estimación propia: el mantenimiento rondaría la amortización propia, unos 97 M (160,0 M menos unos 45 M de intangibles de compras y 17,6 M de derechos de uso), y el resto es expansión de estudios (Michigan, Argentina, Brasil, Colombia, Filipinas) [1, 7]. Criterios: «recompras» incluye la recompra de warrants a empleados (48,2 M en 2023 y 59,6 M en 2024) y «emision_acciones» la suscripción de warrants; en 2020 la compra de NetEnt aportó 46,1 M netos de caja (no se registra como desinversión) y se repagaron 190,4 M de deuda de NetEnt, que no tienen campo propio; en 2024 la compra de bonos (99,9 M) no es capex [2, 6]. En 2025 se pagaron 572,5 M de dividendo y 500,2 M de recompras, el 85 % del flujo operativo; en 1S26, sin dividendo, 303,2 M de recompras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Öhrlings PricewaterhouseCoopers 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Evolution desde 2014 y su opinión de 2025 es limpia, con una sola cuestión clave de auditoría: el reconocimiento de ingresos (existencia y precio de las comisiones), que comprobó con confirmaciones directas de clientes [1]. Materialidad del grupo: 60 M, un 5 % del beneficio antes de impuestos. Cuatro partidas piden atención. Primera: 202,8 M de ingresos contables en 2024-2025 por rebajar earn-outs (BTG y Nolimit City) al alargar sus plazos, que la empresa separa en su EBITDA ajustado; equivalen al 10,6 % del EBIT de 2024 y al 4,1 % del de 2025 [1, 2]. Segunda: el desarrollo capitalizado (68,4 M de altas en 2025) es menor que su amortización (81,0 M), así que no infla el resultado [1]. Tercera: los clientes suben más que los ingresos (+9,3 % frente a +0,2 % en 2025) y un 31 % está vencido [1]. Cuarta: el tipo impositivo depende de Malta y del Pilar II (14,8 % en 2025), con impuestos corrientes en bruto que inflan activo y pasivo en unos 740 M [1]. No ha habido cambios de criterio ni deterioros. Las amortizaciones de intangibles de compras no se publican aparte: estimación propia de unos 45 M anuales (relaciones con clientes 21,1 M en 2025 más unos 24 M de carteras de juegos adquiridas de NetEnt, BTG y NLC a diez años), que se agotan entre 2030 y 2032 [1, 4, 5]. La marca (335,9 M) no se amortiza.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reducción de earn-outs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151,1 M en 2024 y 51,7 M en 2025, sin caja, decididos por la dirección al alargar los plazos de BTG (hasta 2031) y NLC (hasta 2027). Indican también que esas compras no alcanzaron los objetivos del earn-out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al alza y vencidos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447,0 M (unos 79 días de ingresos), +9,3 % con ingresos planos; 142,1 M vencidos (31 %) y 10,6 M a más de 180 días; provisión de 7,2 M. Mejoró en 1S26 (407,2 M a jun-26)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aportó el 12 % de los ingresos netos en 2025 (13 %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mercados no regulados localmente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54 % de los ingresos de 2025 vino de mercados sin regulación local (46 % regulados); en Asia, el 38 % de los ingresos por ubicación del jugador, el operador factura casi todo desde fuera de la región (31,5 M por ubicación del cliente)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Malta y Pilar II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efectivo del 6,8 % en 2023 al 14,8 % en 2025 por el impuesto complementario; impuestos corrientes en bruto (1.088,9 M a pagar y 740,6 M a cobrar) e impuesto pagado muy inferior al devengado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2.370,2 M (58 % del patrimonio), sin deterioros; la prueba usa una sola unidad generadora de efectivo para todo el grupo, lo que diluye el riesgo de un deterioro del RNG (crecimiento del 2,3 %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cambio de 22,3 M en 2025 dentro del resultado financiero (0,6 M en 2024)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27,5 % · </w:t>
      </w:r>
      <w:r>
        <w:rPr>
          <w:b/>
          <w:bCs/>
        </w:rPr>
        <w:t xml:space="preserve">WACC</w:t>
      </w:r>
      <w:r>
        <w:t xml:space="preserve">: 10,2 %.</w:t>
      </w:r>
    </w:p>
    <w:p>
      <w:pPr>
        <w:spacing w:after="100"/>
      </w:pPr>
      <w:r>
        <w:rPr>
          <w:b/>
        </w:rPr>
        <w:t xml:space="preserve">Evolution crea mucho valor incluso pagando el fondo de comercio de NetEnt.</w:t>
      </w:r>
      <w:r>
        <w:t xml:space="preserve"> El ROIC después de impuestos fue del 31,1 % en 2025, frente a un WACC del 10,19 %, y lleva por encima del 21 % desde 2020. El capital invertido, 3.307 M, es casi todo precio de compras: fondo de comercio de 2.370 M e intangibles de 682 M, sobre todo de NetEnt (2020), Big Time Gaming (2021) y Nolimit City (2022) [1]. Sin ellos, los estudios y las mesas apenas necesitan capital: el circulante y el inmovilizado suman unos 600 M. Lo que mueve el ROIC es el margen (51,4 % de margen neto), no la rotación (0,38 veces). El ROIC incremental de 2020-2025 es del 27,5 %: el crecimiento ha sido rentable, pero el ROIC bajó del 34,9 % de 2023 al 31,1 % porque el beneficio operativo después de impuestos cayó de 1.097 a 1.027 M en 2025 con el capital al alza. Los comparables cotizados quedan lejos: Aristocrat 17,2 % y Light &amp; Wonder 13,2 % [68, 70]; Playtech pierde dinero a nivel contable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1.153,5 M a 30-jun-26, tras cobrar 104,5 M por el vencimiento de la cartera de bonos (a dic-25: caja 818,0 M más bonos 104,1 M en activo no corriente). Sin deuda financiera desde 2020 y sin líneas de crédito declaradas. Pasivos por arrendamiento de 90,2 M a jun-26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Contraprestaciones contingentes (earn-outs) de 79,9 M a dic-25 (55,2 M a largo y 24,6 M a corto), frente a 143,0 M en 2024 y 279,0 M de otros pasivos a largo en 2023: Big Time Gaming 51,6 M de valor actual pagaderos anualmente hasta 2031 y el resto sobre todo Nolimit City; en 1S26 se pagaron 25,9 M (BTG 14,3, NLC 11,1, Arcadia 0,4) [1, 7]. Pasivos de jackpots de 12,5 M, pensiones 4,0 M y arrendamientos 91,1 M (vencimientos sin descontar: 18,8 M en 2026 y 29,5 M después de 2030) [1]. Sin covenants porque no hay deuda. Impuestos corrientes presentados en bruto: 1.088,9 M a pagar y 740,6 M a cobrar, porque Malta grava al 35 % y devuelve 6/7 cuando la filial reparte dividendo; el neto son 348,3 M a pagar [1]. Litigios: la demanda de Evolution contra Playtech y Black Cube en Nueva Jersey sigue (Evolution es demandante); la demanda colectiva en EE. UU. se desestimó en 2025; el examen de la UK Gambling Commission se cerró en julio de 2026 con 4,75 M GBP [1, 7]. Dilución potencial de los warrants 2023/26, 2025/28 y 2026/29: 0,9 %, 0,9 % y 1,6 % [7].</w:t>
      </w:r>
    </w:p>
    <w:p>
      <w:pPr>
        <w:pStyle w:val="Heading1"/>
      </w:pPr>
      <w:r>
        <w:t xml:space="preserve">12. Asignación de capital</w:t>
      </w:r>
    </w:p>
    <w:p>
      <w:pPr>
        <w:pStyle w:val="Confianza"/>
        <w:spacing w:after="100"/>
      </w:pPr>
      <w:r>
        <w:t xml:space="preserve">Confianza: Alta</w:t>
      </w:r>
    </w:p>
    <w:p>
      <w:pPr>
        <w:spacing w:after="100"/>
      </w:pPr>
      <w:r>
        <w:t xml:space="preserve">La política es repartir el 50 % del beneficio neto consolidado a lo largo del tiempo, pero el consejo propuso no pagar dividendo por 2025 porque considera más eficaz devolver el capital con recompras [1]. Dividendo por acción: 0,42 EUR (2019), 0,68 (2020), 1,42 (2021), 2,00 (2022), 2,65 (2023), 2,80 (2024) y 0 (2025) [1, 6]. Recompras: 677,9 M en 2024, 500,2 M en 2025 y 303,2 M en 1S26 [1, 7]. El programa anunciado el 18-may-26 compró 16.168.492 acciones hasta el 21-sep-26, que se amortizaron en septiembre tras la junta extraordinaria del 22-sep; desde entonces se han comprado 957.092 más, con un máximo de 18.305.812 [13, 14]. A 2-oct-26 hay 183.058.121 acciones, 957.092 en autocartera y 182.101.029 en circulación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NetEnt (con Red Tiger): RNG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(0,1306 acciones de Evolution por acción de NetEnt; 2.207 M en acciones) y 73,2 M por la redención forzosa del resto; se repagaron además 190,4 M de deuda de NetEnt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a Evolution el negocio RNG: 17,8 M en dic-20 y 294,0 M en 2025, pero el RNG solo creció del 268,4 M de 2022 al 294,0 M de 2025 (+3 % anual). Fondo de comercio de 1.793,5 M sin deterioro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Big Time Gaming (RNG, Megaways)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en efectivo y 147,8 M en acciones al cierre, más earn-out de hasta 230 M sobre el EBITDA de 2022-2024 (70 % efectivo, 30 %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392,0 M. El earn-out se rebajó en 59,7 M (2024) y 51,7 M (2025) al alargar el plazo hasta 2031: quedan 51,6 M de valor actual. No alcanzó los objetivos previstos [1,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DigiWheel (Transigo Ltd)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más earn-out de cinco veces el beneficio de 2024 con un máximo de 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menor; no consta pago relevante de earn-out en los pasivos de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Nolimit City (RNG)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en efectivo más 14,3 M de ajuste de circulante y earn-out de hasta 140 M (valor actual inicial 121,1 M) sobre el EBITDA de 2022-2024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260,9 M. El earn-out se rebajó en 91,4 M en 2024 y se alargó hasta 2027; pagos de 11,2 M en 2025 y 11,1 M en 1S26 [1, 2, 4,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Livespins y Arcadia Gaming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(4,8 M y 2,9 M) más earn-outs pequeños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fondo de comercio; efecto no material en la cuenta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Galaxy Gaming (EE. UU., juegos de mesa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Acordada por un valor de las acciones de unos 85 M USD en 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en dos años; Evolution rompió el acuerdo el 21-jul-26 y paga una penalización de 5,23 M USD [1, 7,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de casino en vivo en Argentina (Yolo)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5,8 M; el estudio se relanzó en el 2T26 [7].</w:t>
            </w:r>
          </w:p>
        </w:tc>
      </w:tr>
    </w:tbl>
    <w:p>
      <w:pPr>
        <w:spacing w:after="160" w:before="0"/>
      </w:pPr>
    </w:p>
    <w:p>
      <w:pPr>
        <w:spacing w:after="100"/>
      </w:pPr>
      <w:r>
        <w:rPr>
          <w:b/>
        </w:rPr>
        <w:t xml:space="preserve">Buena asignadora de capital, con dos matices.</w:t>
      </w:r>
      <w:r>
        <w:t xml:space="preserve"> Entre 2019 y 2025 Evolution generó 5.009 M de flujo libre (95 % del beneficio) y devolvió 3.738 M: 2.126 M en dividendos y 1.612 M en recompras; en compras en caja gastó 443 M [1, 2, 3, 4, 5, 6]. La compra grande, NetEnt, se pagó con acciones: las acciones diluidas pasaron de 189 M en 2020 a 222 M en 2021 [5]. Desde entonces la recompra ha devuelto el número a 182,10 M, un 18 % menos [13]. Los dos matices son las compras de RNG y el efecto de las recompras en el control. Big Time Gaming y Nolimit City no alcanzaron sus objetivos: Evolution rebajó sus pagos aplazados en 202,8 M en 2024-2025 [1, 2], y el RNG sigue siendo solo el 14 % de los ingresos (294 M en 2025) [1]. Y la recompra de hasta 2.000 M EUR de 2026, que sustituyó al dividendo, ha llevado a Candle Lake (Kenneth Dart) por encima del 30 % sin comprar una acción [16, 39]. Al ritmo de julio a octubre, unos 270 M al mes [57], el programa termina antes de la junta de 2027 con Dart cerca del 35 %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Carlesund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2015; antes dirigió Highlight Media Group, Eniro Sverige, Eniro Finland y 3L System [1]. Bajo su mandato el margen EBITDA pasó del 68,7 % de 2021 al 70,5 % de 2023 y bajó al 66,1 % ajustado de 2025, con ingresos netos planos en 2025 (2.066,5 M EUR) [1, 46]. Tiene 784.710 acciones y 510.000 warrants de tres programas (175.000 a 1.296,60 SEK, 150.000 a 871,10 SEK y 185.000 a 698,10 SEK) [1, 32,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Joakim Andersson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febrero de 2025, en sustitución de Jacob Kaplan; antes fue CFO de Kinnevik y de Cint Group [1]. Tiene 2.100 acciones, 100.000 warrants 2025/2028 y compró 92.500 warrants 2026/2029 en 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von Bahr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desde 2015 y presidente desde el 1 de noviembre de 2016; antes, director general de Oriflame Sri Lanka [1]. Comparte con Fredrik Österberg Österbahr Ventures AB (en torno al 10,7 % del capital entre los dos según la comisión de nombramientos de marzo de 2026); la cifra por persona es estimación propia (mitad de esa participación)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Jesper von Bahr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estrategia (Chief Strategy Officer)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2011, antes director de M&amp;A y director jurídico; abogado en bufetes suecos y consultor en McKinsey [1]. Tiene 17.500 acciones y warrants de los programas 2023/2026, 2025/2028 y 2026/2029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Fredrik Österberg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antiguo director comercial; antes, consejero delegado de Sportal Nordic [1, 38]. Participa al 50 % en Österbahr Ventures AB; la fundación Stiftelsen FROS, en cuyo patronato está, recibió 636.290 acciones en febrero de 2026 [36, 41]. La cifra por persona es estimación propia.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dentro del objetivo actualizado durante el año (la cifra no aparece en el informe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68,7 % (59,2 % en 2020)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69-71 %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68-71 %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69-71 %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70,5 % publicado, pero 68,4 % ajustado sin los 151 M EUR de otros ingresos por la rebaja de pagos aplazados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66-68 % (rebajado frente al 69-71 % de los años anteriores)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66,1 % ajustado (66,9 % publicado); ingresos netos planos (+0,2 %)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en línea con el de 2025 (66,1 %); crecer al menos como el mercado en cada región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65,6 %, con ingresos netos un 1,4 % por debajo de los del primer semestre de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Evolution no da guía de ingresos: solo un objetivo de margen EBITDA anual, que ha cumplido cada año desde 2021 [1, 11, 44, 45, 46]. Pero el listón ha ido bajando: del 69-71 % de 2022 y 2024 al 66-68 % de 2025 y a «en línea con 2025» en 2026, con el primer semestre de 2026 en el 65,6 % [7, 43]. El CEO admite que esperaba más crecimiento en 2025 [1]. El equipo es estable en la cima (Carlesund desde 2015 en el grupo, los cofundadores en el consejo desde 2015), pero la dirección se redujo de cinco a tres personas en febrero de 2025 y cambió el CFO [1]. No se publica plan de sucesión. La alineación descansa en warrants pagados a precio de mercado más uno o dos gratuitos por cada uno comprado [32, 33].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von Bahr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Fredrik Österberg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Joel Citron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 (presidente), Cumplimiento, Sostenibilidad; miembro de la comisión 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Livingstone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la comisión de nombramientos en representación de Richard Livingstone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Mimi Drake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Urie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Cumplimiento (presidenta),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Samantha Sacks Gallagher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(asesora jurídica general de VICI Properties) [50]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0,53 / ventas 7,87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Candle Lake Limited (Kenneth Dart)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(vehículo de las Islas Caimán); 33,8 % con los swaps de rendimiento total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23,41 % a 31-12-2025 al 30,02 % el 24-7-2026 sin comprar, solo por las recompras de Evolution, lo que le obligó a lanzar una OPA a 695 SEK; acudió el 0,06 % del capital. Sus 59,8 M de acciones son el 32,8 % de las 182,10 M en circulación tras la amortización de septiembre (33,8 % con permutas sobre 189,4 M) [13, 39,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Österbahr Ventures AB (Jens von Bahr y Fredrik Österberg)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10,96 % a 31-12-2025 y en torno al 10,68 % en marzo de 2026, tras el traspaso de 636.290 acciones a Stiftelsen FROS. Una persona vinculada a Jens von Bahr vendió 105.000 acciones en agosto de 2026, y otra pignoró 13,5 millones en febrero de 2026 [1, 36,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31-12-2025, sin actualizar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Livingstone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designa a Ian Livingstone para la comisión de nombramientos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EdgePoint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Canada Pension Plan Investment Board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AP2 (Andra AP-fonden)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 público sueco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31-12-2025; tiene un puesto en la comisión de nombramientos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16,17 M de acciones propias amortizadas tras la junta extraordinaria del 22-9-2026; quedan 957.092 a 2-10-2026, del programa de recompra de hasta 2.000 M EUR [14,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von Bahr (persona estrechamente vinculada),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von Bahr (persona estrechamente vinculada),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Joakim Andersson, CFO (warrants 2026/2029)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Carlesund, CEO (warrants 2026/2029 a 18,80 SEK)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Joakim Andersson, CFO (warrants 2026/2029 a 18,80 SEK)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Jesper von Bahr, director de estrategia (30.000 warrants pagados y 60.000 gratuitos)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6,59 M EUR en 2025 (3,53 M en 2024): 4,14 M de salario, 0,91 M de pensión, 1,05 M de bonus anual (máximo, el 75 % del salario) y 0,48 M de bonus extraordinario condicionado a comprar warrants [32]. </w:t>
      </w:r>
      <w:r>
        <w:rPr>
          <w:b/>
        </w:rPr>
        <w:t xml:space="preserve">Los criterios del bonus no se publican</w:t>
      </w:r>
      <w:r>
        <w:t xml:space="preserve">, y Folketrygdfondet votó en contra del informe de 2024 por falta de información [32, 49]. No hay plan de incentivos a largo plazo con métricas. Los directivos compran warrants a precio de mercado, con un precio de ejercicio un 30 % por encima de la cotización. La empresa regala uno por cada warrant comprado (dos desde 2026) y paga bonus para financiarlos. Son opciones sobre el precio, sin condición de rentabilidad, y diluyen hasta un 3,25 % [33]. No hay cláusula de recuperación publicada. La indemnización máxima es de 12 meses de salario [1].</w:t>
      </w:r>
    </w:p>
    <w:p>
      <w:pPr>
        <w:pStyle w:val="Heading2"/>
      </w:pPr>
      <w:r>
        <w:t xml:space="preserve">Operaciones vinculadas, estructura de control y defensas</w:t>
      </w:r>
    </w:p>
    <w:p>
      <w:pPr>
        <w:spacing w:after="100"/>
      </w:pPr>
      <w:r>
        <w:t xml:space="preserve">Hay una sola clase de acciones y ningún blindaje en los estatutos [1]. Pero desde julio de 2026 </w:t>
      </w:r>
      <w:r>
        <w:rPr>
          <w:b/>
        </w:rPr>
        <w:t xml:space="preserve">Candle Lake (Kenneth Dart) tiene el 31,6 % del capital y un 33,8 % de exposición económica</w:t>
      </w:r>
      <w:r>
        <w:t xml:space="preserve"> [40]. A las juntas acuden entre 91 y 110 millones de acciones [33, 34, 35, 37], así que Dart puede decidir solo cualquier acuerdo por mayoría simple. Por eso se marca como accionista de control. De momento no usa ese poder en los nombramientos: no está en la comisión de nombramientos (Österbahr, AP2 y Richard Livingstone) y dice que no prevé cambios en la gestión [36, 39]. Si superase el 90 %, excluiría la acción de bolsa [39]. El consejo recomendó no aceptar su OPA a 695 SEK [38]. Los fundadores conservan en torno al 10,7 % y la presidencia. No hay operaciones vinculadas relevantes [1].</w:t>
      </w:r>
    </w:p>
    <w:p>
      <w:pPr>
        <w:pStyle w:val="Heading2"/>
      </w:pPr>
      <w:r>
        <w:t xml:space="preserve">Señales de alerta</w:t>
      </w:r>
    </w:p>
    <w:p>
      <w:pPr>
        <w:pStyle w:val="ListParagraph"/>
        <w:numPr>
          <w:ilvl w:val="0"/>
          <w:numId w:val="2"/>
        </w:numPr>
        <w:spacing w:after="60"/>
      </w:pPr>
      <w:r>
        <w:t xml:space="preserve">Toma de control progresiva: Candle Lake (Kenneth Dart) superó el 30 % el 24-7-2026 y lanzó una OPA obligatoria a 695 SEK, por debajo de la cotización. Solo acudió el 0,06 % y quedó en el 31,6 % (33,8 % con swaps). Con una asistencia a las juntas del 45-55 %, controla la junta. Si superara el 90 %, excluiría la acción de bolsa [38, 39, 40].</w:t>
      </w:r>
    </w:p>
    <w:p>
      <w:pPr>
        <w:pStyle w:val="ListParagraph"/>
        <w:numPr>
          <w:ilvl w:val="0"/>
          <w:numId w:val="2"/>
        </w:numPr>
        <w:spacing w:after="60"/>
      </w:pPr>
      <w:r>
        <w:t xml:space="preserve">Pignoración: el 19-2-2026 una persona vinculada a Jens von Bahr pignoró 13.539.476 acciones (alrededor del 7 % del capital), y el 24 y 25-8-2026 una persona vinculada vendió 105.000 acciones por 87,1 M SEK (7,87 M EUR al tipo del BCE de cada día) [41, 51].</w:t>
      </w:r>
    </w:p>
    <w:p>
      <w:pPr>
        <w:pStyle w:val="ListParagraph"/>
        <w:numPr>
          <w:ilvl w:val="0"/>
          <w:numId w:val="2"/>
        </w:numPr>
        <w:spacing w:after="60"/>
      </w:pPr>
      <w:r>
        <w:t xml:space="preserve">Regulador británico: la UK Gambling Commission revisó la licencia desde diciembre de 2024 porque el contenido de Evolution aparecía en seis webs sin licencia. Terminó en julio de 2026 con un acuerdo de 4,75 M GBP [7]. Los ajustes de ring-fencing (bloqueo de jurisdicciones prohibidas) hicieron caer los ingresos en Europa en 2025 [1].</w:t>
      </w:r>
    </w:p>
    <w:p>
      <w:pPr>
        <w:pStyle w:val="ListParagraph"/>
        <w:numPr>
          <w:ilvl w:val="0"/>
          <w:numId w:val="2"/>
        </w:numPr>
        <w:spacing w:after="60"/>
      </w:pPr>
      <w:r>
        <w:t xml:space="preserve">New Jersey (DGE): multa de 12.000 USD en 2025 por errores de crupier [47]. La investigación por el informe anónimo de 2021 se cerró sin medidas en febrero de 2024 [48]. Evolution sigue pleiteando por difamación contra Black Cube y Playtech, autores de ese informe [7].</w:t>
      </w:r>
    </w:p>
    <w:p>
      <w:pPr>
        <w:pStyle w:val="ListParagraph"/>
        <w:numPr>
          <w:ilvl w:val="0"/>
          <w:numId w:val="2"/>
        </w:numPr>
        <w:spacing w:after="60"/>
      </w:pPr>
      <w:r>
        <w:t xml:space="preserve">Rotación en la dirección: en febrero de 2025 cambió el CFO (Jacob Kaplan por Joakim Andersson) y la dirección pasó de cinco a tres personas [1].</w:t>
      </w:r>
    </w:p>
    <w:p>
      <w:pPr>
        <w:pStyle w:val="ListParagraph"/>
        <w:numPr>
          <w:ilvl w:val="0"/>
          <w:numId w:val="2"/>
        </w:numPr>
        <w:spacing w:after="60"/>
      </w:pPr>
      <w:r>
        <w:t xml:space="preserve">La empresa no tiene auditoría interna: el consejo no lo considera necesario [1]. El socio auditor de PwC cambió en 2026 (Niklas Renström por Johan Engstam) [33].</w:t>
      </w:r>
    </w:p>
    <w:p>
      <w:pPr>
        <w:pStyle w:val="ListParagraph"/>
        <w:numPr>
          <w:ilvl w:val="0"/>
          <w:numId w:val="2"/>
        </w:numPr>
        <w:spacing w:after="60"/>
      </w:pPr>
      <w:r>
        <w:t xml:space="preserve">Dilución por warrants: si se ejercen los tres programas (6,88 millones de acciones), la dilución es de en torno al 3,25 %. El de 2026/2029 regala dos warrants por cada uno comprado, y su precio de ejercicio, 698,10 SEK, está por debajo de la cotización de agosto de 2026 [33, 41].</w:t>
      </w:r>
    </w:p>
    <w:p>
      <w:pPr>
        <w:pStyle w:val="ListParagraph"/>
        <w:numPr>
          <w:ilvl w:val="0"/>
          <w:numId w:val="2"/>
        </w:numPr>
        <w:spacing w:after="60"/>
      </w:pPr>
      <w:r>
        <w:t xml:space="preserve">La compra de Galaxy Gaming (85 M USD), firmada en 2024 y prevista para mediados de 2025, sigue sin cerrarse en julio de 2026 [1, 7]. No hubo dividendo con cargo a 2025, frente a la política de repartir el 50 % del beneficio: se sustituyó por recompras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Evolution no da previsión de ingresos. Sus objetivos para 2026, publicados con el 4T25 y repetidos sin cambios en la presentación del 2T26 del 17 de julio de 2026 [16], son tres: crecer a largo plazo al menos al ritmo del mercado en sus regiones, tanto en Live como en RNG; un </w:t>
      </w:r>
      <w:r>
        <w:rPr>
          <w:b/>
        </w:rPr>
        <w:t xml:space="preserve">margen EBITDA de 2026 en línea con el de 2025</w:t>
      </w:r>
      <w:r>
        <w:t xml:space="preserve"> (66,1 % ajustado, sin los 51,7 M de reducción de earn-outs) [7]; y más de 110 juegos nuevos en el año. En el primer semestre el margen fue del 65,6 %, algo por debajo, y los ingresos cayeron un 1,4 % (+2,4 % a tipo de cambio constante en el 2T) [7]. En asignación de capital, el consejo sustituyó el dividendo por un programa de recompra de hasta 2.000 M EUR y 19,9 M de acciones, aprobado el 18 de mayo de 2026 y vigente hasta la junta de 2027 [16, 59]. Por 2025 no se pagó dividendo.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7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48,99 – 99,79</w:t>
            </w:r>
          </w:p>
        </w:tc>
      </w:tr>
    </w:tbl>
    <w:p>
      <w:pPr>
        <w:spacing w:after="160" w:before="0"/>
      </w:pPr>
    </w:p>
    <w:p>
      <w:pPr>
        <w:pStyle w:val="Heading2"/>
      </w:pPr>
      <w:r>
        <w:t xml:space="preserve">Revisiones de estimaciones</w:t>
      </w:r>
    </w:p>
    <w:p>
      <w:pPr>
        <w:spacing w:after="100"/>
      </w:pPr>
      <w:r>
        <w:t xml:space="preserve">Solo MarketScreener da estimaciones completas a tres años [61]; Stock Analysis confirma 2026e con 2.090 M de ingresos y un BPA de 5,36 EUR (5,32 en MarketScreener) y la misma recomendación media, «mantener» [63]. No hay serie gratuita de revisiones a 3 y 12 meses. Lo visible son cambios de precio objetivo de octubre de 2026: ABG Sundal Collier lo baja de 1.000 a 950 SEK (comprar), UBS lo sube de 750 a 810 SEK (neutral) y Barclays de 575 a 685 SEK (infraponderar); BNP Paribas bajó a neutral el 29 de septiembre por la subida de la acción [62]. El BPA sube un 2 % en 2026 con un beneficio neto que cae un 3,5 %: es la recompra, no el negocio.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bl>
    <w:p>
      <w:pPr>
        <w:spacing w:after="160" w:before="0"/>
      </w:pPr>
    </w:p>
    <w:p>
      <w:pPr>
        <w:spacing w:after="100"/>
      </w:pPr>
      <w:r>
        <w:t xml:space="preserve">Evolution ha ido por detrás del mercado tres y cinco años: −10,3 % y −8,7 % anual en precio frente a +14,4 % y +7,6 % del OMXS30 [52]. Desde el máximo de octubre de 2021 cayó un 66,5 % hasta febrero de 2026, con el crecimiento parado (2.067 M EUR de ingresos en 2025 frente a 2.063 M en 2024 [1]), la presión regulatoria en Europa y la revisión de la licencia británica. En 2026 sube un 28 % hasta el 7 de octubre frente al 11,9 % del índice, con dos hechos detrás: la recompra de hasta 2.000 M EUR, que ha retirado 12,4 M de acciones desde junio [13, 14, 57], y el acuerdo con la UK Gambling Commission por 4,75 M GBP [7]. La OPA obligatoria de Candle Lake a 695 SEK quedó un 14 % por debajo del cierre actual [39, 58]. La beta de 5 años ronda 1,05; la de 2 años, 0,3: la acción se mueve por sus propios hechos.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ejercicio de Yahoo en SEK, convertido a EUR con el tipo del BCE del último día hábil del año [51, 52]. No hay un proveedor gratuito con el EV/EBITDA o el PER de los próximos 12 meses histórico de Evolution, así que la comparación se hace con los múltiplos de los últimos 12 meses que calcula el informe. El precio en EUR pasó de 125,48 al cierre de 2021 a 58,20 en 2025 con un beneficio que siguió subiendo hasta 2024: el mercado ha pasado de pagar crecimiento a pagar un negocio maduro con dudas regulatorias.</w:t>
      </w:r>
    </w:p>
    <w:p>
      <w:pPr>
        <w:pStyle w:val="Heading1"/>
      </w:pPr>
      <w:r>
        <w:t xml:space="preserve">18. Comparables cotizados</w:t>
      </w:r>
    </w:p>
    <w:p>
      <w:pPr>
        <w:pStyle w:val="Confianza"/>
        <w:spacing w:after="100"/>
      </w:pPr>
      <w:r>
        <w:t xml:space="preserve">Confianza: Media</w:t>
      </w:r>
    </w:p>
    <w:p>
      <w:pPr>
        <w:spacing w:after="100"/>
      </w:pPr>
      <w:r>
        <w:t xml:space="preserve">Seis cotizadas a 8-oct-2026, en EUR [65, 66, 67, 68, 69, 70, 71, 72, 75, 76, 79, 80]. El núcleo son los </w:t>
      </w:r>
      <w:r>
        <w:rPr>
          <w:b/>
        </w:rPr>
        <w:t xml:space="preserve">proveedores B2B de contenido de casino</w:t>
      </w:r>
      <w:r>
        <w:t xml:space="preserve">: Playtech (solo B2B desde que vendió Snaitech), Hacksaw (tragaperras online), Light &amp; Wonder y Aristocrat (que añaden máquinas físicas y juego social). Kambi y Sportradar son B2B de apuestas y datos: mismo cliente, otro producto. </w:t>
      </w:r>
      <w:r>
        <w:rPr>
          <w:b/>
        </w:rPr>
        <w:t xml:space="preserve">Fuera</w:t>
      </w:r>
      <w:r>
        <w:t xml:space="preserve">: Flutter y Betsson, porque son operadores B2C, clientes de Evolution, con márgenes EBITDA del 17-26 % y el impuesto al juego en su cuenta [73, 77]. Pragmatic Play, el rival más directo en vivo,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Evolution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Playtech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Light &amp; Wonder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Aristocrat Leisure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Kambi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Hacksaw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Sportradar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7,1x / 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 / 9,0x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18,1x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2,9x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7,6 + -0,01 × crecimiento; R² = 0,00. El crecimiento explica poco los múltiplos de estos comparables (R² &lt; 0,3): la regresión no se usa en la valoración.</w:t>
      </w:r>
    </w:p>
    <w:p>
      <w:pPr>
        <w:spacing w:after="100"/>
      </w:pPr>
      <w:r>
        <w:t xml:space="preserve">Evolution cotiza a 9,0 veces el EBITDA de los próximos 12 meses y 12,4 veces el beneficio, con un margen EBITDA del 66 % y un ROIC del 31,1 %: el mejor perfil del grupo salvo Hacksaw, que es diez veces más pequeña. La mediana de la muestra está en 7,1 veces el EBITDA y 18,1 veces el beneficio. Las dos lecturas se contradicen: por EV/EBITDA la acción valdría 57,04 EUR y por PER 105,63. La razón es que los demás amortizan mucho más (compras, máquinas en arrendamiento, desarrollo) y convierten menos EBITDA en beneficio: Playtech o Light &amp; Wonder pasan por la cuenta cargas que Evolution no tiene. La media de los dos métodos da 81,33 EUR. El múltiplo que mejor resume a Evolution es el PER frente a Aristocrat, el otro proveedor de contenido de calidad, que cotiza a 21,9 veces [69]: Evolution está a casi la mitad porque la mitad de sus ingresos viene de mercados sin regulación local. Por eso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NetEnt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acciones (0,1306 Evolution por NetEnt) que valoraba el 100 % en ≈19.600 M SEK con el cierre de Evolution del 23-jun-2020; NetEnt facturó 1.792,9 M SEK y ganó 855,1 M de EBITDA en 2019 [81]. El valor empresa es el de las acciones (sin restar la caja neta de NetEnt, no publicada en el anuncio): múltiplos algo altos. Prima del 43 % sobre el último cierre.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Big Time Gaming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por adelantado (80 M en caja y el resto en acciones) más un earn-out de hasta 230 M ligado al EBITDA de 2022/23 y 2023/24; ventas 2020 de 33 M y EBITDA de 29 M [82]. Con el máximo de 450 M: 15,5x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Nolimit City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EUR por adelantado, sin caja ni deuda, más hasta 140 M de earn-out sobre el EBITDA 2022-2024; ventas 2022e de 30 M y EBITDA 2022e de 23 M (múltiplos sobre estimación) [83]. Con el máximo de 340 M: 14,8x.</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NeoGames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Aristocrat Leisure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1.200 M USD (acciones 1.000 M USD a 29,50 USD), ≈15x el EBITDA ajustado de consenso de 2023 (≈81 M USD) [84]. Prima del 104 % sobre la media ponderada de tres meses, no sobre el último cierre. Proveedor B2B de iLottery e iGaming.</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IGT Gaming &amp; Digital y Everi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(fondos)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conjunta valorada en ≈6.300 M USD; IGT recibe 4.050 M USD brutos por su negocio de juego y Everi se paga a 14,25 USD por acción, un 56 % sobre su cierre del 25-jul-2024 [85]. La nota no publica el múltiplo de EBITDA. Proveedores B2B sobre todo de máquinas físicas; cerrada en julio de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Snaitech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2.300 M EUR en caja; ingresos de 947 M (netos de impuestos sobre el juego) y EBITDA ajustado de 256 M en 2023 [86]. Operador B2C italiano, mitad online: referencia del valor de un operador, no de un proveedor.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(8,7x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65,58 – 112,45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mediana de seis operaciones es de 9,0 veces el EBITDA (8,7-15,0 veces), que da 67,81 EUR por acción, por debajo del precio. El rango lo marcan las compras de la propia Evolution: NetEnt, a 22,9 veces en 2020, cuando el sector cotizaba en máximos, y Big Time Gaming y Nolimit City, a 7,6 y 8,7 veces el pago inicial (14,8-15,5 veces con todo el earn-out, que no se pagará entero) [81, 82, 83]. No pesan en el valor objetivo. Una opa de un tercero es improbable: Kenneth Dart tiene el 32,8 % y los fundadores el 10,7 % [1, 40], y Dart ya demostró que puede ganar control sin pagar prima: su OPA obligatoria a 695 SEK quedó por debajo de la cotización y solo acudió el 0,06 % [40]. Si superara el 90 % podría excluir la acción de bolsa [39].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en 2.080 M (+0,65 %): 1.030,8 M del primer semestre y un segundo semestre un 2,7 % por encima del de 2025, con el dólar a 1,12 por euro frente a 1,175 a cierre de 2025 [7, 21, 54]. El consenso espera 2.094 M [61]. Para 2027e, +4,5 %, por debajo del +6,0 % del consenso: Norteamérica (+9,5 % en el 2T26) y Latinoamérica (+26,3 %) crecen, pero ya son solo el 25 % de los ingresos; Europa (33 %) acaba de perder un 6,3 % en 2025 con el impuesto británico subiendo del 21 % al 40 % desde abril de 2026, y Asia (37 %) es volátil [1, 7, 22]. Después, +5 % en 2028-2029 y bajada gradual hasta el 2,5 % en 2035e. El crecimiento medio de 2027-2035 es del 3,9 %, frente al 7 % previsto para el casino online europeo [24] y el 20,5 % anual del mercado mundial en cinco años [1].</w:t>
      </w:r>
    </w:p>
    <w:p>
      <w:pPr>
        <w:keepNext/>
        <w:spacing w:after="100"/>
      </w:pPr>
      <w:r>
        <w:rPr>
          <w:b/>
          <w:bCs/>
        </w:rPr>
        <w:t xml:space="preserve">Márgenes.</w:t>
      </w:r>
    </w:p>
    <w:p>
      <w:pPr>
        <w:spacing w:after="100"/>
      </w:pPr>
      <w:r>
        <w:t xml:space="preserve">El margen EBITDA es del 65,8 % en 2026e (guía en línea con el 66,1 % de 2025; primer semestre del 65,6 %) [7, 16], del 65,5 % hasta 2029e y del 65,0 % desde 2031e. Queda por debajo del 68-70 % de 2022-2024 [1] por tres razones: los nuevos estudios en EE. UU., Latinoamérica y Filipinas tienen más coste de personal por mesa; el bloqueo de jurisdicciones (ring-fencing) quita ingresos sin quitar costes; y, a nuestro juicio, la competencia de Pragmatic Play en vivo limita las subidas de comisión [8]. El EBITDA queda un 0,6 %, un 2,5 % y un 3,5 % por debajo del consenso en 2026-2028 [61].</w:t>
      </w:r>
    </w:p>
    <w:p>
      <w:pPr>
        <w:keepNext/>
        <w:spacing w:after="100"/>
      </w:pPr>
      <w:r>
        <w:rPr>
          <w:b/>
          <w:bCs/>
        </w:rPr>
        <w:t xml:space="preserve">Inversión y circulante.</w:t>
      </w:r>
    </w:p>
    <w:p>
      <w:pPr>
        <w:spacing w:after="100"/>
      </w:pPr>
      <w:r>
        <w:t xml:space="preserve">Con NIIF 16, el capex incluye los pagos de arrendamiento: 7,5 % de las ventas en 2025 (134,8 M de inversión y 19,5 M de arrendamientos) y en torno al 7,7 % en el primer semestre de 2026 [1, 7]. Se mantiene en el 7,7 % en 2026-2027 por las aperturas de estudios y baja al 7,0 % a largo plazo. La amortización baja del 8,3 % al 7,0 % al agotarse la de los intangibles de compras, unos 45 M al año (estimación propia de A) [1]. El circulante es el 21 % de las ventas, como en 2025 (18-19 % antes): los clientes tardan 79 días en pagar y el 31 % de la cuenta está vencida [1]. Impuestos del 16,5 %: 14,8 % en 2025 y 16,4 % en el 2T26 con el impuesto mínimo global [1, 7].</w:t>
      </w:r>
    </w:p>
    <w:p>
      <w:pPr>
        <w:keepNext/>
        <w:spacing w:after="100"/>
      </w:pPr>
      <w:r>
        <w:rPr>
          <w:b/>
          <w:bCs/>
        </w:rPr>
        <w:t xml:space="preserve">Coste del capital.</w:t>
      </w:r>
    </w:p>
    <w:p>
      <w:pPr>
        <w:spacing w:after="100"/>
      </w:pPr>
      <w:r>
        <w:t xml:space="preserve">Tasa libre del 3,57 %: el Bund a 10 años del 8-oct-2026, porque los flujos están en euros [55] (la curva AAA del BCE da 3,54 %) [56]. </w:t>
      </w:r>
      <w:r>
        <w:rPr>
          <w:b/>
        </w:rPr>
        <w:t xml:space="preserve">Beta de 1,03</w:t>
      </w:r>
      <w:r>
        <w:t xml:space="preserve">, la ajustada mensual de cinco años frente al STOXX Europe 600, tras comparar tres índices: frente al OMXS30 sale 1,04, frente a viajes y ocio europeo 0,97 y frente al ETF de juego online BETZ 0,81, que está en dólares y lo dominan operadores estadounidenses [52]. Elegimos el índice europeo amplio porque el accionista marginal es internacional y el OMXS30 incluye a la propia Evolution. La beta semanal de dos años cae a 0,1-0,3: la acción se ha movido por regulación, Asia y recompras, no con el mercado; no la usamos porque ese riesgo propio no desaparece. Prima de mercado del 5,5 % y </w:t>
      </w:r>
      <w:r>
        <w:rPr>
          <w:b/>
        </w:rPr>
        <w:t xml:space="preserve">prima adicional de 1 punto</w:t>
      </w:r>
      <w:r>
        <w:t xml:space="preserve"> porque el 51 % de los ingresos viene de jugadores en mercados sin regulación local [7] (estimación propia). Sin deuda financiera; arrendamientos de 90 M. WACC del 10,19 %.</w:t>
      </w:r>
    </w:p>
    <w:p>
      <w:pPr>
        <w:keepNext/>
        <w:spacing w:after="100"/>
      </w:pPr>
      <w:r>
        <w:rPr>
          <w:b/>
          <w:bCs/>
        </w:rPr>
        <w:t xml:space="preserve">Valor terminal.</w:t>
      </w:r>
    </w:p>
    <w:p>
      <w:pPr>
        <w:spacing w:after="100"/>
      </w:pPr>
      <w:r>
        <w:t xml:space="preserve">Gordon con un crecimiento del 2,5 %: inflación esperada del euro del 2 % y medio punto real, por debajo del techo de coherencia del Bund menos medio punto (3,07 %). El valor terminal pesa el 51 % y equivale a 9,8 veces el EBITDA de 2035e, casi el múltiplo actual (9,6 veces) y la mitad de la media de los cierres de 2019-2025 (19,2 veces): el caso base no cuenta con que el mercado vuelva a pagar a Evolution como un valor de crecimiento. Con el capex igual a la amortización y el circulante del 21 %, la reinversión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96,60</w:t>
            </w:r>
          </w:p>
        </w:tc>
      </w:tr>
    </w:tbl>
    <w:p>
      <w:pPr>
        <w:spacing w:after="160" w:before="0"/>
      </w:pPr>
    </w:p>
    <w:p>
      <w:pPr>
        <w:pStyle w:val="Heading2"/>
      </w:pPr>
      <w:r>
        <w:t xml:space="preserve">¿Puede la empresa sostener el crecimiento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M (1 % del NOPAT)</w:t>
            </w:r>
          </w:p>
        </w:tc>
      </w:tr>
    </w:tbl>
    <w:p>
      <w:pPr>
        <w:spacing w:after="160" w:before="0"/>
      </w:pPr>
    </w:p>
    <w:p>
      <w:pPr>
        <w:spacing w:after="100"/>
      </w:pPr>
      <w:r>
        <w:t xml:space="preserve">La proyección apenas necesita inversión neta de la amortización (reinversión acumulada de 134 M, el 1 % del NOPAT, con un capex bruto medio del 7,3 %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57,6 % (base: 65,0 %)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10,2 %)</w:t>
            </w:r>
          </w:p>
        </w:tc>
      </w:tr>
    </w:tbl>
    <w:p>
      <w:pPr>
        <w:spacing w:after="160" w:before="0"/>
      </w:pPr>
    </w:p>
    <w:p>
      <w:pPr>
        <w:spacing w:after="100"/>
      </w:pPr>
      <w:r>
        <w:t xml:space="preserve">El DCF da </w:t>
      </w:r>
      <w:r>
        <w:rPr>
          <w:b/>
        </w:rPr>
        <w:t xml:space="preserve">82,68 EUR por acción (925,5 SEK)</w:t>
      </w:r>
      <w:r>
        <w:t xml:space="preserve">, un 14,4 % sobre el cierre de 72,27 EUR, con un valor terminal que pesa el 51 %. El DCF inverso es la clave: </w:t>
      </w:r>
      <w:r>
        <w:rPr>
          <w:b/>
        </w:rPr>
        <w:t xml:space="preserve">al precio actual, el mercado descuenta un crecimiento de los ingresos del 1,7 % anual en 2027-2035</w:t>
      </w:r>
      <w:r>
        <w:t xml:space="preserve">, frente al 3,9 % de nuestro caso base, </w:t>
      </w:r>
      <w:r>
        <w:rPr>
          <w:b/>
        </w:rPr>
        <w:t xml:space="preserve">o un margen EBITDA del 57,6 %</w:t>
      </w:r>
      <w:r>
        <w:t xml:space="preserve"> frente al 65,0 %, y una rentabilidad implícita del 11,3 %, por encima de nuestro WACC del 10,19 %. Es una exigencia baja: un negocio que creció un 33,5 % anual entre 2019 y 2025 cotiza como si fuera a crecer por debajo de la inflación, con Norteamérica y Latinoamérica creciendo a doble dígito. Lo que el precio descuenta en realidad es una pérdida parcial de ingresos asiáticos o europeos: es nuestro escenario bajista (57,91 EUR) con una probabilidad mayor que la nuestra. El valor es sensible al WACC: con un punto más (11,2 %) y el mismo crecimiento terminal, cae a 73,40 EUR, casi el precio. Con la prima implícita del mercado (4,20 %), el WACC baja al 8,86 % y el DCF sube a 99,59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regulador asiático grande bloquea los pagos o el acceso, o la ciberdelincuencia se lleva la señal, y Asia pierde un 40 % de sus ingresos en un año (en el 3T25 ya cayó un 10 % en un trimestre). El grupo cae un 15 % en 2027e, el margen baja al 61 % con los estudios ya abiertos y Europa sigue perdiendo canalización.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2026 y crecimiento del 4,5-5 % en 2027-2029 con Norteamérica, Latinoamérica y el RNG; Asia y Europa se estabilizan. Margen EBITDA del 65-65,8 %.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y Latinoamérica siguen al 10-25 % anual, Asia se estabiliza tras la lucha contra la piratería y el contenido de Hasbro devuelve a Europa al crecimiento. Ingresos dos puntos por encima del caso base cada año y margen del 66-67 %.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80,51 EUR (+11,4 %).</w:t>
      </w:r>
    </w:p>
    <w:p>
      <w:pPr>
        <w:spacing w:after="100"/>
      </w:pPr>
      <w:r>
        <w:t xml:space="preserve">Con nuestro coste de capital, el reparto compensa por poco: el alcista vale 98,75 EUR (+36,6 %) y el bajista 57,91 EUR (−19,9 %), una asimetría de 1,84 veces; el valor ponderado (25/50/25) es de 80,51 EUR. El bajista no es cosmético: Asia ya perdió un 9,6 % en un trimestre (de 209,1 a 189,1 M entre el 2T25 y el 3T25) y Europa un 6,3 % en 2025 [1, 7]. Lo que no recoge es una pérdida simultánea de licencias en mercados regulados, que es un riesgo binario de menor probabilidad. El bajista con la prima del mercado (4,20 %) vale 68,52 EUR, solo un 5,2 % por debajo del precio, y el alcista 121,28 EUR: con la vara del mercado la asimetría es de 13 veces.</w:t>
      </w:r>
    </w:p>
    <w:p>
      <w:pPr>
        <w:pStyle w:val="Heading1"/>
      </w:pPr>
      <w:r>
        <w:t xml:space="preserve">22. Suma de partes</w:t>
      </w:r>
    </w:p>
    <w:p>
      <w:pPr>
        <w:pStyle w:val="Confianza"/>
        <w:spacing w:after="100"/>
      </w:pPr>
      <w:r>
        <w:t xml:space="preserve">Confianza: Alta</w:t>
      </w:r>
    </w:p>
    <w:p>
      <w:pPr>
        <w:spacing w:after="100"/>
      </w:pPr>
      <w:r>
        <w:t xml:space="preserve">No aplica. Evolution tiene un solo segmento operativo: Live y RNG comparten plataforma, clientes y equipo comercial, y la empresa no publica el margen de cada línea [1]. El RNG es el 14 % de los ingresos (294 M en 2025) y crece más (+12,7 % en el 1S26) [7], pero sin su margen cualquier reparto sería inventado.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81,50 EUR (+12,8 % sobre 72,27).</w:t>
      </w:r>
    </w:p>
    <w:p>
      <w:pPr>
        <w:spacing w:after="100"/>
      </w:pPr>
      <w:r>
        <w:t xml:space="preserve">El valor objetivo es de </w:t>
      </w:r>
      <w:r>
        <w:rPr>
          <w:b/>
        </w:rPr>
        <w:t xml:space="preserve">81,50 EUR</w:t>
      </w:r>
      <w:r>
        <w:t xml:space="preserve"> (912,31 SEK; +12,8 %): DCF 40 %, escenarios ponderados 45 % y comparables 15 %. El DCF y los escenarios mandan porque el riesgo de Evolution es de qué mercados podrá servir, y eso se modela con trayectorias, no con un múltiplo. Los comparables pesan poco porque sus márgenes y su conversión en beneficio son muy distintos: la mediana da 57,04 EUR por EV/EBITDA y 105,63 por PER. Las transacciones (67,81 EUR) no pesan: con Kenneth Dart en el 32,8 %, una opa de un tercero es improbable. La dispersión entre DCF (82,68), escenarios (80,51) y comparables (81,33) es baja. El puente parte del 30-jun-2026: caja de 1.142,6 M (sin la de botes) y arrendamientos de 90,2 M; resta 3,9 M de pensiones y 892,3 M de otros ajustes, que son los 828,0 M pagados en recompras hasta el 2-oct, unos 54 M de earn-outs pendientes y 10,3 M del acuerdo británico y de la ruptura con Galaxy [7, 15, 57]. Queda una caja neta ajustada de 156 M. No suma la caja del tercer trimestre (293 M de flujo de explotación en el 2T26 [7]), unos 1,6 EUR por acción. Con la prima del mercado el objetivo sube a 95,80 EUR; el precio objetivo medio de 16 analistas es de 67,88 EUR [62, 63].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impuesto británico del 40 % entero y con el acuerdo con la UK Gambling Commission y la indemnización a Galaxy (≈10 M) en la cuenta. La cifra que decide es Asia frente a los 190,5 M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hasta 2.000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870 M por comprar (estimación propia: 2.000 M menos 303 M del 2T26 y 828 M de julio a octubre), un 6,6 % de la capitalización. Sostiene el precio y sube la participación de Dart hacia el 35 %.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18-20 ene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Feria ICE de Barcelona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 la cartera de 2027, con los nuevos juegos de Hasbro (Monopoly) [7, 88]. Señal de si Evolution mantiene la distancia de producto frente a Pragmatic Play.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reparto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consejo vuelve al dividendo (el consenso espera 2,69 EUR) o mantiene solo recompras, y cuál es el objetivo de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mercados regulados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Alberta reguló el casino online en julio de 2026 y Maine aprobó su ley de iGaming [7, 8]; cada estado nuevo amplía el mercado regulado donde Evolution es líder.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Pleito contra Playtech y Black Cube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sentencia favorable cerraría la controversia del informe de 2021; una desfavorable reabriría las dudas sobre el acceso desde jurisdicciones prohibidas.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ingresos de Asia por bloqueos, regulación o piratería de la señal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57,91 EUR frente al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propio en Filipinas, mercado regulado; la empresa ha devuelto Asia a crecer dos trimestres seguidos (4T25 y 1T26).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Asia por debajo de 180 M en un trimestre (190,5 M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canalización e impuestos al juego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por cada punto menos de crecimiento anual (sensibilidad, 77,83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alta en los mercados regulados que crecen; contenido exclusivo de Hasbro.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por debajo de 165 M en un trimestre (173,0 M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o pérdida de una licencia por acceso desde jurisdicciones prohibidas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Comparable al bajista (−30 %) si afecta a un mercado grande; no está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UK Gambling Commission cerró su revisión con 4,75 M GBP y sin un patrón de acceso más amplio; Nueva Jersey cerró la suya sin medidas en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una revisión de licencia en otro mercado regulado.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hecho de Kenneth Dart y salida de bolsa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modelado; afecta a la liquidez y a la prima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consejo con cinco independientes de siete; Dart no está en la comisión de nombramientos.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Candle Lake en mercado o un puesto en la comisión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vivo de Pragmatic Play y presión en las comisiones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por cada dos puntos menos de margen (sensibilidad, 79,86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2.000 mesas y contenido de game shows que los operadores no pueden sustituir.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64 %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de clientes: 79 días y un 31 % vencido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 cada 10 días más de cobro inmovilizan unos 57 M (0,3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870 operadores; el primero pesa el 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cobro por encima de 90 o provisiones por insolvencia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un cliente (12 %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de ingresos si se perdiera entero; no modelado.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contenido sin sustituto directo.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peso del primer cliente en el informe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Pilar II y régimen maltés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 con el motor; el DCF ya usa un 16,5 %.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mínimo del 15 % ya está en las cuentas desde 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efectivo por encima del 18 %.</w:t>
            </w:r>
          </w:p>
        </w:tc>
      </w:tr>
    </w:tbl>
    <w:p>
      <w:pPr>
        <w:spacing w:after="160" w:before="0"/>
      </w:pPr>
    </w:p>
    <w:p>
      <w:pPr>
        <w:pStyle w:val="Heading2"/>
      </w:pPr>
      <w:r>
        <w:t xml:space="preserve">Pre-mortem</w:t>
      </w:r>
    </w:p>
    <w:p>
      <w:pPr>
        <w:spacing w:after="100"/>
      </w:pPr>
      <w:r>
        <w:t xml:space="preserve">Octubre de 2029: la acción vale unos 43 EUR (485 SEK), un 40 % menos. La historia empezó en Asia, que en 2025 era el 38 % de los ingresos por dirección IP del jugador. En 2027 un gran mercado asiático sin regulación local endureció el bloqueo de pagos y de proveedores extranjeros, y la piratería de la señal, que ya había costado un 10 % de Asia en un trimestre de 2025, volvió. Asia perdió un 40 % en un año. Los estudios abiertos para servirla, como el de Filipinas, siguieron costando, y el margen bajó al 61 %. Europa no compensó: con el impuesto británico al 40 % y Países Bajos al 37,8 %, los operadores recortaron bonos y los jugadores se fueron a webs sin licencia, donde Evolution ya no podía estar. Norteamérica creció, pero era el 15 % de los ingresos. Mientras, la recompra de 2.000 M había dejado a Kenneth Dart con más del 35 %: el mercado dejó de ver la acción como un valor líquido y aplicó un descuento de control. Las señales estaban en 2026-2027: Asia por debajo de 180 M en un trimestre, el margen por debajo del 64 % y Candle Lake comprando en mercado.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Juego problemático</w:t>
      </w:r>
      <w:r>
        <w:t xml:space="preserve">: la propia empresa reconoce un impacto negativo intrínseco en el jugador con problemas (salud mental, deudas) y que el casino online está prohibido en muchos países [1]; de ahí nace la presión fiscal (40 % en el Reino Unido, justificado por el daño de estos juegos) [22]. </w:t>
      </w:r>
      <w:r>
        <w:rPr>
          <w:b/>
        </w:rPr>
        <w:t xml:space="preserve">Acceso desde mercados no licenciados y blanqueo</w:t>
      </w:r>
      <w:r>
        <w:t xml:space="preserve">: solo el 49 % de los ingresos llega de jugadores en mercados regulados localmente [16], y cada vez más reguladores exigen al proveedor bloquear su contenido [1]; el bloqueo europeo de 2025 tuvo un efecto material en los ingresos [1]. </w:t>
      </w:r>
      <w:r>
        <w:rPr>
          <w:b/>
        </w:rPr>
        <w:t xml:space="preserve">Plantilla</w:t>
      </w:r>
      <w:r>
        <w:t xml:space="preserve">: más de 22.000 empleados, el 88 % en las mesas y muchos jóvenes, con rotación a veces alta [1]. El medio ambiente pesa poco: 4,4 t CO2e por millón de EUR de ingresos (base de ubicación) [1].</w:t>
      </w:r>
    </w:p>
    <w:p>
      <w:pPr>
        <w:pStyle w:val="Heading2"/>
      </w:pPr>
      <w:r>
        <w:t xml:space="preserve">Controversias</w:t>
      </w:r>
    </w:p>
    <w:p>
      <w:pPr>
        <w:spacing w:after="100"/>
      </w:pPr>
      <w:r>
        <w:t xml:space="preserve">Reino Unido: la UKGC revisó la licencia desde diciembre de 2024 y cerró en julio de 2026 con un acuerdo de 4,75 M GBP, porque dos operadores sin licencia ofrecieron sus juegos en seis webs a jugadores británicos [17]. Nueva Jersey: la DGE cerró en febrero de 2024 sin pruebas de infracción la denuncia de 2021 sobre acceso desde Irán, Siria o Sudán [26]; en agosto de 2025 Black Cube aportó a un tribunal grabaciones de directivos que, según la prensa, conocían ese acceso [27]. Evolution niega haberse beneficiado y mantiene su demanda contra Playtech y Black Cube, que seguirá en 2026 [7, 28].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Asia viene de mercados donde el juego online es ilegal para el jugador y no solo no regulado, y qué pasaría con ellos si los bancos o las plataformas de pago bloquearan los flujos?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37 % de los ingresos y la causa del escenario bajista (−30 % frente al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Kenneth Dart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hablado el consejo con Candle Lake de sus intenciones tras superar el 30 %, y seguirá la recompra aunque su participación pase del 35 %?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2.000 M concentra el control sin prima; un 90 % permitiría excluir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sustituyó el dividendo por recompras en 2025-2026 y qué criterio decide el reparto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escrita es repartir el 50 % del beneficio; el consenso aún espera 2,69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tienen los estudios de Norteamérica y Latinoamérica frente a los de Letonia y Georgia, y cuándo convergen?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viene de esas regiones; si su margen es estructuralmente menor, el 65 % del caso base es optimista.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clientes concentran el 31 % de saldos vencidos y en qué mercados operan?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crecen un 9,3 % con los ingresos planos; puede ser riesgo de crédito con operadores de mercados grises.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del RNG y qué parte de los 2.370 M de fondo de comercio le corresponde?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earn-outs rebajados en 202,8 M indican que BTG y Nolimit City no cumplieron; sin el margen no se puede valorar por partes.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Ring-fencing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ingresos se perdieron en 2025 por los bloqueos en Europa y siguen desapareciendo o ya se ha llegado a la nueva base?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los cita como causa de la caída de Europa (−6,3 %) sin cuantificarlos.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21 controles correctos y 5 explicados. Fuentes: 88 (53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explica la causa (créditos fiscales, regularizaciones, mezcla de países) y no lo proyectes en el DCF. Explicación: El 6,8 % de 2023 es real: Malta devuelve al accionista la mayor parte del impuesto pagado por la filial operativa. Desde 2024 el impuesto mínimo global (Pilar II) lo lleva al 13,5-16,4 %; el DCF usa el 16,5 %.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21,1 %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seis comparables de modelos muy distintos (máquinas físicas, apuestas deportivas, tragaperras online) el crecimiento no explica el múltiplo.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(5,6x → 4,2x): el salto implica un crecimiento del EBITDA que no cuadra con el de las ventas. ¿EBITDA de proveedores distintos, o un cambio de perímetro? Explicación: Playtech: 2025 es el primer ejercicio tras vender Snaitech (763,6 M de ventas frente a 1.792 M en 2024) y el consenso espera que el EBITDA suba de 197 a 265 M. Se mantiene como el rival cotizado más directo en vivo.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57,04 y PER 105,63 por acción: si la empresa amortiza mucho más que sus comparables (licencias, intangibles adquiridos) el EBITDA la favorece; usa EV/EBIT o EV/(EBITDA − capex) y explícalo. Explicación: Evolution convierte en beneficio neto el 51 % de sus ingresos, muy por encima de comparables que amortizan compras y máquinas: el EV/EBITDA de la mediana la infravalora y el PER la sobrevalora. Se usa la media de los dos y los comparables pesan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a 12 meses (PER propio × BPA propio)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Falta valoracion.objetivo_12m: la rentabilidad a 12 meses sale del valor intrínseco.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13.161, publicada 13.765: revisa acciones y precio. Explicación: Stock Analysis calcula la capitalización con 190,47 M de acciones; tras las recompras de julio a octubre y la amortización de septiembre quedan 182,10 M. El precio coincide.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42, 60, 64, 74, 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no publican el consenso previo; 2) notas de prensa de resultados en MFN: no lo incluyen; 3) no hay archivo gratuito del consenso previo a cada publicación; el consenso actual sale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3T24 y 4T24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1T25-2T26: solo dan el crecimiento a tipo constante de su propio trimestre; 2) informe anual 2024: no da cifras trimestrales a tipo constante; 3) informes del 3T24 y 4T24 no descargados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e informes; 2) MFN: sin transcripciones; 3) sustituido por el texto del consejero delegado de los informes del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intangibles de adquisiciones (PPA) separada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del informe anual 2025: da la amortización por clase (relaciones con clientes 21,1 M; programas de juego 81,0 M, que mezcla desarrollo propio y carteras compradas); 2) informes trimestrales 2025-2026 y anual 2024: no la separan; 3) estimada con los valores razonables de las compras (NetEnt, BTG, NLC) a diez años: unos 45 M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sin deuda financiera; 2) nota 22 de riesgos financieros: solo arrendamientos y pasivos comerciales;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presentaciones trimestrales: solo «clear leadership», sin cifra; 2) búsquedas web en inglés (live casino market share Evolution Pragmatic): solo agregadores sin método ni fecha (45 % en uno, 60-70 % en otros); 3) estimación por mesas o ingresos: Playtech publica ≈ 500 mesas pero no sus ingresos de Live, y Pragmatic no publica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posición se describe con mesas e ingresos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de Pragmatic Play y Games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corporativas: son privadas y no publican cuentas; 2) búsqueda web de cuentas o registros: solo estimaciones de agregadores (más de 1.000 M USD para Pragmatic, sin fuente); 3) Games Global: el folleto de su salida a bolsa en EE. UU., retirado en 2024, daba datos de 2023,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Light &amp; Wonder iGaming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8-K del 4T25: solo ingresos y EBITDA ajustado por segmento; 2) tablas de conciliación del mismo documento: sin EBIT por segmento; 3) derivarlo exigiría repartir la amortización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margen EBITDA ajustado del 37,1 %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5-8 años del casino online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2025 y la TCAC a cinco años (H2GC); 2) informes anuales 2023 y 2024 de Evolution: MFN y sustainabilityreports.com dan 404/403 y la web de inversores no lista PDF; 3) EGBA: datos por año solo en gráficos (imagen)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(2020, deducido de la TCAC); serie de tres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sin previsión; 2) H2GC: de pago; 3) EGBA: previsión para Europa del 7 % anual hasta 2029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previsión europea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sin cuotas; 2) búsquedas web: sin fuente fiable; 3) suma de ingresos de competidores: dos de los cinco mayores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(informe de sostenibilidad ESRS): no cita calificaciones; 2) página pública de Sustainalytics: el dato no se muestra sin JavaScript (el buscador citaba 22,1, riesgo medio, no verificado); 3) búsqueda web de MSCI ESG: sin calificación visible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las juntas de 2024, 2025 y 2026: solo dicen que el informe se aprobó, sin porcentajes (el de 2026 constata que los votos en contra de la gestión fueron menos del 10 % del capital); 2) web de gobierno de Evolution: no publica resultados de votación ni un «bulletin» con porcentajes; 3) búsqueda en la red: solo aparece el voto en contra de Folketrygdfondet en 2025, sin el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Samantha Sacks Gallagher (nombrada en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reparte las comisiones; 2) biografía y propuestas de la comisión de nombramientos: no lo dicen; 3) informes trimestrales de 2026: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 del objetivo de margen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dice «in line with our updated guidance» sin dar la cifra; 2) informe anual 2022: no la repite; 3) no se descargaron los informes trimestrales de 2021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muestra estimaciones del ejercicio en curso y dos siguientes); 2) Stock Analysis (múltiplos actuales, el histórico es de pago); 3) informes anuales de Evolution (no publican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abierta); 2) Stock Analysis (estimaciones 2027-2028 y revisiones de pago); 3) Investing (no abierto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precio objetivo de octubre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IGT Gaming &amp; Digital y Everi (Apollo)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Everi en EDGAR (8-K, EX-99.1): solo valor total y prima; 2) búsqueda del múltiplo en las notas de Apollo: no lo publican; 3) no se calcula con EBITDA de otros documentos para no mezclar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la operación queda con valor y prima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AB (publ), Annual Report 2025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https://storage.mfn.se/proxy/annual_report_english_2026_04_01.pdf?url=https%3A%2F%2Fmb.cision.com%2FMain%2F12069%2F4329954%2F4021102.pdf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Evolution AB (publ), 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https://mb.cision.com/Main/12069/4135965/3390785.pdf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https://mb.cision.com/Main/12069/3957229/2714767.pdf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https://mb.cision.com/Main/12069/3735605/1921487.pdf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https://mb.cision.com/Main/12069/3527605/1550307.pdf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https://mb.cision.com/Main/12069/3315372/1393581.pdf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https://storage.mfn.se/bbf67910-dce3-4b0c-8228-de12e62c78f6/evo-q2-2026-07-17-eng.pdf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https://storage.mfn.se/proxy/evo-q1-2026_eng_2026_04_22.pdf?url=https%3A%2F%2Fmb.cision.com%2FMain%2F12069%2F4337887%2F4050721.pdf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https://storage.mfn.se/proxy/evo-q4-2025-eng-2026_02_05.pdf?url=https%3A%2F%2Fmb.cision.com%2FMain%2F12069%2F4304629%2F3923659.pdf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https://storage.mfn.se/proxy/evo-q3-2025-eng-2025_10_23.pdf?url=https%3A%2F%2Fmb.cision.com%2FMain%2F12069%2F4254886%2F3738605.pdf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https://storage.mfn.se/proxy/evo-q2-2025_07_17-eng_final.pdf?url=https%3A%2F%2Fmb.cision.com%2FMain%2F12069%2F4208234%2F3583576.pdf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https://storage.mfn.se/proxy/evo-q1-2025_eng_2025_04_30.pdf?url=https%3A%2F%2Fmb.cision.com%2FMain%2F12069%2F4143009%2F3420172.pdf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number of shares and votes in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https://storage.mfn.se/026399cf-603d-4bf5-adb7-85ca67dcbee6/change-in-number-of-shares-and-votes-in-evolution-ab-publ.pdf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Acquisitions of own shares in Evolution AB (publ), 28 sep - 2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https://storage.mfn.se/2bb34e1e-64c9-4ba9-9854-0be88a0d7670/acquisitions-of-own-shares-in-evolution-ab-publ.pdf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gives notice of termination of merger agreement with Galaxy Gaming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https://storage.mfn.se/12972d75-ea06-44ee-97f4-0c30f438df3d/evolution-gives-notice-of-termination-of-merger-agreement-with-galaxy-gaming.pdf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April-June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https://storage.mfn.se/987d90c2-b990-47a5-afc7-b9be95c6556b/evo-q2-2026-presentation.pdf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agrees GBP 4.75 million settlement with UK Gambling Commission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https://mfn.se/a/evolution/evolution-agrees-gbp-4-75-million-settlement-with-uk-gambling-commission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Year-end Report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AB,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https://mfn.se/all/a/hacksaw/hacksaw-year-end-report-january-december-2025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resultados del 4T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https://www.sec.gov/Archives/edgar/data/750004/000075000426000010/lnw12312025erandtables.htm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plc: Results for the year ended 31 December 2025 (RNS 2452Y)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https://data.fca.org.uk/artefacts/NSM/RNS/dc7b52be-bc7a-413d-9812-321a60e12d7f.html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Gambling duty changes (policy paper)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HM Revenue &amp; Customs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https://www.gov.uk/government/publications/changes-to-gambling-duties/gambling-duty-changes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gokken stuwt kansspelbelasting naar 1 miljard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CBS (Oficina de Estadística de Países Bajos)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https://www.cbs.nl/nl-nl/nieuws/2025/13/online-gokken-stuwt-kansspelbelasting-naar-1-miljard-euro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Market: European online gambling key figures (datos de H2 Gambling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Gaming and Betting Association (EGBA)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https://www.egba.eu/eu-market/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era for German igaming begins with state treaty’s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iGaming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https://igamingbusiness.com/new-era-for-german-igaming-begins-with-state-treatys-implementation/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Evolution cleared of misconduct by state regulator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CDC Gaming Reports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https://cdcgaming.com/new-jersey-evolution-cleared-of-misconduct-by-state-regulator/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execs knew about black market access (recordings filed by Black Cube)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CasinoBeats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https://casinobeats.com/2025/08/13/evolution-execs-knew-about-black-market-access/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regulator files and the Playtech defamation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CasinoBeats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https://casinobeats.com/2025/12/04/evolution-regulator-files-playtech-defamation-case/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Big Time Gaming and issues shares to the sellers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https://news.cision.com/evolution/r/evolution-completes-acquisition-of-big-time-gaming-and-issues-shares-to-the-sellers,c3377463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Nolimit 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https://news.cision.com/evolution/r/evolution-completes-acquisition-of-nolimit-city,c3611495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completes acquisition of NetEnt, starts total integration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Yogonet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https://www.yogonet.com/international/news/2020/12/02/55655-evolution-completes-acquisition-of-netent-starts-total-integration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https://cdn.evolution.com/uploads/Remuneration_Report_2025_01436dec83.pdf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24 de abril de 2026 (con el programa de warrants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https://cdn.evolution.com/uploads/Minutes_AGM_2026_0418dd2fb3.pdf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9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https://cdn.evolution.com/uploads/Minutes_AGM_2025_f6d3ec48ef.pdf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anual de 26 de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https://cdn.evolution.com/uploads/Evolution_AB_publ_Minutes_AGM_2024_a0d7c47d08.pdf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nomination committee's proposals and reasoned statement,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https://cdn.evolution.com/uploads/The_nomination_committees_proposals_3197af9b86.pdf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extraordinaria de 22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https://cdn.evolution.com/uploads/Minutes_EGM_22_September_2026_0f273cd18c.pdf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regarding the mandatory cash offer from Candle Lake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https://www.evolution.com/investors/financial-publications/press-releases/statement-by-the-board-of-directors-of-evolution-ab-publ-regarding-the-mandatory-cash-offer-from-candle-lake-limited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announces a mandatory public cash offer to the shareholders of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https://news.cision.com/candle-lake-limited/r/candle-lake-limited-announces-a-mandatory-public-cash-offer-to-the-shareholders-of-evolution-ab--pub,c4382739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announces final outcome of the offer to the shareholders of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Candle Lake Limited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https://news.cision.com/candle-lake-limited/r/candle-lake-limited-announces-final-outcome-of-the-offer-to-the-shareholders-of-evolution-ab--publ-,c4396911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Insynsregistret: operaciones de directivos de Evolution AB, 8-10-2025 a 8-10-2026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https://marknadssok.fi.se/publiceringsklient/en-GB/Search/Search?SearchFunctionType=Insyn&amp;Utgivare=Evolution+AB&amp;PubliceringsDatumFrom=2025-10-08&amp;PubliceringsDatumTo=2026-10-08&amp;button=search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(posiciones vigentes)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https://www.fi.se/en/our-registers/net-short-positions/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year-end report 2025 (Q4), Targets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https://storage.mfn.se/a/evolution/10757804-d650-4e32-aefd-072c930d1160/presentation-20-20year-end-20-2025-20q4.pdf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https://cdn.evolution.com/uploads/Evolution_Annual_Report_2023_7c50e4cb5a.pdf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https://cdn.evolution.com/uploads/Annual_Report_English_2022_38daae5215.pdf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https://cdn.evolution.com/uploads/evolution_annual_report_2021_7e3e23fccb.pdf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Order #2844, Action in Lieu of Complaint to Evolution New Jersey, LLC (multa de 12.000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Division of Gaming Enforcement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https://www.nj.gov/oag/ge/docs/Rulings/2025/jul16_31/B6evolutionailoc.pdf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Jersey Division of Gaming Enforcement has closed its investigation of Evolution AB with no further 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https://www.inderes.fi/releases/new-jersey-division-of-gaming-enforcement-has-closed-its-investigation-of-evolution-ab-with-no-further-action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Folketrygdfondet en la junta de Evolution AB de 9-5-2025 (en contra del informe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Folketrygdfondet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https://www.folketrygdfondet.no/node/1128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Biography Samantha Sacks Gallagher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https://cdn.evolution.com/uploads/Biography_Samantha_Sacks_Gallagher_7149e7e2c7.pdf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(EUR/SEK)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EVO.ST, ^OMX, EXV9.DE, EXSA.DE, ^STOXX y BETZ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https://finance.yahoo.com/quote/EVO.ST/history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EVO.ST: gráfico diario de 5 días con el cierre del 8-oct-2026 (809,0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https://query1.finance.yahoo.com/v8/finance/chart/EVO.ST?range=5d&amp;interval=1d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 am Rentenmarkt: rendimiento de la deuda federal alemana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https://api.statistiken.bundesbank.de/rest/data/BBSIS/D.I.ZST.ZI.EUR.S1311.B.A604.R10XX.R.A.A._Z._Z.A?lastNObservations=5&amp;format=csv&amp;lang=en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area yield curve,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https://data-api.ecb.europa.eu/service/data/YC/B.U2.EUR.4F.G_N_A.SV_C_YM.SR_10Y?lastNObservations=5&amp;format=csvdata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Acquisitions of own shares in Evolution AB (publ): serie de 14 comunicados semanales del 29 jun al 2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https://mfn.se/all/a/evolution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the board of directors of Evolution AB (publ) regarding the mandatory cash offer from Candle Lake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https://storage.mfn.se/89ed1d1e-52d5-4c3a-8610-da8689d7b7fa/statement-by-the-board-of-directors-of-evolution-ab-publ-regarding-the-mandatory-cash-offer-from-candle-lake-limited.pdf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Threshold exceeded for major shareholding notification due to buyback of own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https://storage.mfn.se/cee79a30-eb7b-4f8f-b71d-20cb8d33ae88/threshold-exceeded-for-major-shareholding-notification-due-to-buyback-of-own-shares.pdf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at the extraordinary general meeting in Evolution AB (publ)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https://storage.mfn.se/f9be160d-035c-4932-b8d9-5e7a1c3c2cce/resolutions-at-the-extraordinary-general-meeting-in-evolution-ab-publ.pdf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Finances (estimaciones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https://www.marketscreener.com/quote/stock/EVOLUTION-AB-58808466/consensus/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(STO:EVO)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https://stockanalysis.com/quote/sto/EVO/statistics/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https://www.marketscreener.com/quote/stock/PLAYTECH-PLC-11002037/finances/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Playtech: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https://stockanalysis.com/quote/lon/PTEC/statistics/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https://www.marketscreener.com/quote/stock/LIGHT-WONDER-INC-154675314/finances/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 &amp; Wonder: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https://stockanalysis.com/quote/asx/LNW/statistics/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https://www.marketscreener.com/quote/stock/ARISTOCRAT-LEISURE-LIMITE-6491399/finances/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https://stockanalysis.com/quote/asx/ALL/statistics/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https://www.marketscreener.com/quote/stock/KAMBI-GROUP-PLC-39435612/finances/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Kambi Group: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https://stockanalysis.com/quote/sto/KAMBI/statistics/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https://www.marketscreener.com/quote/stock/BETSSON-B-122801461/finances/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Betsson: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https://stockanalysis.com/quote/sto/BETS.B/statistics/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https://www.marketscreener.com/quote/stock/HACKSAW-AB-190621480/finances/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Hacksaw: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https://stockanalysis.com/quote/sto/HACK/statistics/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https://www.marketscreener.com/quote/stock/FLUTTER-ENTERTAINMENT-PLC-120788844/finances/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https://stockanalysis.com/stocks/flut/statistics/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Sportradar: Finances (estimaciones 2024-2027)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https://www.marketscreener.com/quote/stock/SPORTRADAR-GROUP-AG-126877889/finances/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Sportradar: Statistics (capitalización, valor empresa, deuda neta, FCF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https://stockanalysis.com/stocks/srad/statistics/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announces a recommended public offer to the shareholders of NetEnt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https://mb.cision.com/Main/12069/3598403/1602222.pdf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has entered into an agreement to acquire leading online slot machine developer Big Time Gaming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Gaming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https://mb.cision.com/Main/12069/3323287/1399933.pdf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has entered into an agreement to acquire Nolimit City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https://mb.cision.com/Main/12069/3589789/1595908.pdf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to acquire NeoGames (ASX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Aristocrat Leisure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https://announcements.asx.com.au/asxpdf/20230515/pdf/05ppjy41rlhvbp.pdf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Everi and IGT Gaming to be acquired by Apollo Funds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Everi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https://www.sec.gov/Archives/edgar/data/1318568/000131856824000151/exhibit991-pressrelease.htm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to acquire Snaitech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Flutter Entertainment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https://www.sec.gov/Archives/edgar/data/1635327/000119312524220094/d639844dex991.htm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(informe enero-septiembre 2026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Evolution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https://www.evolution.com/investors/financial-data/financial-calendar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85,0 %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(Nasdaq Stockholm, EVO), en coronas suecas; las cuentas se presentan en euros. Todo el informe va en euros y el precio, el valor objetivo y los niveles de compra y venta se dan también en SEK con el tipo del BCE del 8-oct-2026 (11,1940 SEK por euro) [54]. El precio es el cierre del 8-oct-2026 (809,0 SEK) [53]; las rentabilidades, la beta y la volatilidad llegan al 7-oct porque la serie histórica aún no tenía el día 8 [52]. Las acciones (182,10 M) son las de 2-oct-2026, después de amortizar 16,17 M en septiembre [13, 14]; el puente es del balance de 30-jun-2026 y resta los 828,0 M EUR pagados en recompras entre el 1-jul y el 2-oct, pero no suma la caja que generó el negocio en el tercer trimestre, que se publica el 23-oct [57, 88]. Los earn-outs pendientes (≈54 M) son estimación propia a partir del cierre de 2025 [1]. La empresa tiene un solo segmento operativo: los «segmentos» del informe son sus dos líneas de ingresos, Live y RNG, sin resultado propio [1]. Las regiones van por la dirección IP del jugador, que es el criterio que mide el riesgo regulatorio; por ubicación del operador, el 72 % de los ingresos sería europeo [1]. No hay transcripciones públicas de las conferencias: los resultados recientes resumen los informes y las presentaciones. El consenso completo es de MarketScreener (16 analistas), contrastado con Stock Analysis [61, 63]. Las cuotas de mercado en el casino en vivo no se publican con método verificable.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Evolution AB (publ) (EVO)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Hoja1!$B$2:$B$10</c:f>
              <c:numCache>
                <c:formatCode>#,##0</c:formatCode>
                <c:ptCount val="9"/>
                <c:pt idx="0">
                  <c:v>46.04</c:v>
                </c:pt>
                <c:pt idx="1">
                  <c:v>48.99</c:v>
                </c:pt>
                <c:pt idx="2">
                  <c:v>46.95</c:v>
                </c:pt>
                <c:pt idx="3">
                  <c:v>75.43</c:v>
                </c:pt>
                <c:pt idx="4">
                  <c:v>65.58</c:v>
                </c:pt>
                <c:pt idx="5">
                  <c:v>75.41</c:v>
                </c:pt>
                <c:pt idx="6">
                  <c:v>57.91</c:v>
                </c:pt>
                <c:pt idx="7">
                  <c:v>92.46</c:v>
                </c:pt>
                <c:pt idx="8">
                  <c:v>71.91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Hoja1!$C$2:$C$10</c:f>
              <c:numCache>
                <c:formatCode>#,##0</c:formatCode>
                <c:ptCount val="9"/>
                <c:pt idx="0">
                  <c:v>35.339999999999996</c:v>
                </c:pt>
                <c:pt idx="1">
                  <c:v>50.800000000000004</c:v>
                </c:pt>
                <c:pt idx="2">
                  <c:v>14.839999999999996</c:v>
                </c:pt>
                <c:pt idx="3">
                  <c:v>48.58</c:v>
                </c:pt>
                <c:pt idx="4">
                  <c:v>46.870000000000005</c:v>
                </c:pt>
                <c:pt idx="5">
                  <c:v>16.64</c:v>
                </c:pt>
                <c:pt idx="6">
                  <c:v>40.84</c:v>
                </c:pt>
                <c:pt idx="7">
                  <c:v>15.490000000000009</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Live Casino</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543.3</c:v>
                </c:pt>
                <c:pt idx="1">
                  <c:v>839.2</c:v>
                </c:pt>
                <c:pt idx="2">
                  <c:v>1188.3</c:v>
                </c:pt>
                <c:pt idx="3">
                  <c:v>1523.3</c:v>
                </c:pt>
                <c:pt idx="4">
                  <c:v>1775.7</c:v>
                </c:pt>
                <c:pt idx="5">
                  <c:v>1772.6</c:v>
                </c:pt>
              </c:numCache>
            </c:numRef>
          </c:val>
        </c:ser>
        <c:ser>
          <c:idx val="1"/>
          <c:order val="1"/>
          <c:tx>
            <c:strRef>
              <c:f>Hoja1!$C$1</c:f>
              <c:strCache>
                <c:ptCount val="1"/>
                <c:pt idx="0">
                  <c:v>RNG (tragaperras)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17.8</c:v>
                </c:pt>
                <c:pt idx="1">
                  <c:v>229.5</c:v>
                </c:pt>
                <c:pt idx="2">
                  <c:v>268.4</c:v>
                </c:pt>
                <c:pt idx="3">
                  <c:v>275.3</c:v>
                </c:pt>
                <c:pt idx="4">
                  <c:v>287.4</c:v>
                </c:pt>
                <c:pt idx="5">
                  <c:v>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Live Casino</c:v>
                </c:pt>
                <c:pt idx="1">
                  <c:v>RNG (tragaperras)</c:v>
                </c:pt>
              </c:strCache>
            </c:strRef>
          </c:cat>
          <c:val>
            <c:numRef>
              <c:f>Hoja1!$B$2:$B$3</c:f>
              <c:numCache>
                <c:formatCode>General</c:formatCode>
                <c:ptCount val="2"/>
                <c:pt idx="0">
                  <c:v>85.8</c:v>
                </c:pt>
                <c:pt idx="1">
                  <c:v>14.2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Asia</c:v>
                </c:pt>
                <c:pt idx="1">
                  <c:v>Europa</c:v>
                </c:pt>
                <c:pt idx="2">
                  <c:v>Norteamérica</c:v>
                </c:pt>
                <c:pt idx="3">
                  <c:v>Latinoamérica</c:v>
                </c:pt>
                <c:pt idx="4">
                  <c:v>Otros (sobre todo África)</c:v>
                </c:pt>
              </c:strCache>
            </c:strRef>
          </c:cat>
          <c:val>
            <c:numRef>
              <c:f>Hoja1!$B$2:$B$6</c:f>
              <c:numCache>
                <c:formatCode>0"%"</c:formatCode>
                <c:ptCount val="5"/>
                <c:pt idx="0">
                  <c:v>38.4</c:v>
                </c:pt>
                <c:pt idx="1">
                  <c:v>35.3</c:v>
                </c:pt>
                <c:pt idx="2">
                  <c:v>14.4</c:v>
                </c:pt>
                <c:pt idx="3">
                  <c:v>7.6</c:v>
                </c:pt>
                <c:pt idx="4">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(ganancia bruta de juego del casino online mundial, H2GC))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2020</c:v>
                </c:pt>
                <c:pt idx="1">
                  <c:v>2024</c:v>
                </c:pt>
                <c:pt idx="2">
                  <c:v>2025</c:v>
                </c:pt>
              </c:strCache>
            </c:strRef>
          </c:cat>
          <c:val>
            <c:numRef>
              <c:f>Hoja1!$B$2:$B$4</c:f>
              <c:numCache>
                <c:formatCode>#,##0</c:formatCode>
                <c:ptCount val="3"/>
                <c:pt idx="0">
                  <c:v>41402</c:v>
                </c:pt>
                <c:pt idx="1">
                  <c:v>92557</c:v>
                </c:pt>
                <c:pt idx="2">
                  <c:v>105186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Evolution</c:v>
                </c:pt>
                <c:pt idx="1">
                  <c:v>Pragmatic Play</c:v>
                </c:pt>
                <c:pt idx="2">
                  <c:v>Playtech</c:v>
                </c:pt>
                <c:pt idx="3">
                  <c:v>Light &amp; Wonder (iGaming)</c:v>
                </c:pt>
                <c:pt idx="4">
                  <c:v>Hacksaw</c:v>
                </c:pt>
                <c:pt idx="5">
                  <c:v>Games Global</c:v>
                </c:pt>
              </c:strCache>
            </c:strRef>
          </c:cat>
          <c:val>
            <c:numRef>
              <c:f>Hoja1!$B$2:$B$7</c:f>
              <c:numCache>
                <c:formatCode>0.0"%"</c:formatCode>
                <c:ptCount val="6"/>
                <c:pt idx="0">
                  <c:v>58.3</c:v>
                </c:pt>
                <c:pt idx="2">
                  <c:v>-16.1</c:v>
                </c:pt>
                <c:pt idx="4">
                  <c:v>79.7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365.7</c:v>
                </c:pt>
                <c:pt idx="1">
                  <c:v>561.1</c:v>
                </c:pt>
                <c:pt idx="2">
                  <c:v>1068.8</c:v>
                </c:pt>
                <c:pt idx="3">
                  <c:v>1456.7</c:v>
                </c:pt>
                <c:pt idx="4">
                  <c:v>1798.6</c:v>
                </c:pt>
                <c:pt idx="5">
                  <c:v>2063.1</c:v>
                </c:pt>
                <c:pt idx="6">
                  <c:v>2066.5</c:v>
                </c:pt>
                <c:pt idx="7">
                  <c:v>2080</c:v>
                </c:pt>
                <c:pt idx="8">
                  <c:v>2174</c:v>
                </c:pt>
                <c:pt idx="9">
                  <c:v>2282</c:v>
                </c:pt>
                <c:pt idx="10">
                  <c:v>2396</c:v>
                </c:pt>
                <c:pt idx="11">
                  <c:v>2504</c:v>
                </c:pt>
                <c:pt idx="12">
                  <c:v>2604</c:v>
                </c:pt>
                <c:pt idx="13">
                  <c:v>2695</c:v>
                </c:pt>
                <c:pt idx="14">
                  <c:v>2776</c:v>
                </c:pt>
                <c:pt idx="15">
                  <c:v>2860</c:v>
                </c:pt>
                <c:pt idx="16">
                  <c:v>2931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183</c:v>
                </c:pt>
                <c:pt idx="1">
                  <c:v>332.2</c:v>
                </c:pt>
                <c:pt idx="2">
                  <c:v>734.7</c:v>
                </c:pt>
                <c:pt idx="3">
                  <c:v>1008.4</c:v>
                </c:pt>
                <c:pt idx="4">
                  <c:v>1267.4</c:v>
                </c:pt>
                <c:pt idx="5">
                  <c:v>1410.7</c:v>
                </c:pt>
                <c:pt idx="6">
                  <c:v>1365.6</c:v>
                </c:pt>
                <c:pt idx="7">
                  <c:v>1369</c:v>
                </c:pt>
                <c:pt idx="8">
                  <c:v>1424</c:v>
                </c:pt>
                <c:pt idx="9">
                  <c:v>1495</c:v>
                </c:pt>
                <c:pt idx="10">
                  <c:v>1570</c:v>
                </c:pt>
                <c:pt idx="11">
                  <c:v>1635</c:v>
                </c:pt>
                <c:pt idx="12">
                  <c:v>1693</c:v>
                </c:pt>
                <c:pt idx="13">
                  <c:v>1752</c:v>
                </c:pt>
                <c:pt idx="14">
                  <c:v>1805</c:v>
                </c:pt>
                <c:pt idx="15">
                  <c:v>1859</c:v>
                </c:pt>
                <c:pt idx="16">
                  <c:v>1905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50</c:v>
                </c:pt>
                <c:pt idx="1">
                  <c:v>59.2</c:v>
                </c:pt>
                <c:pt idx="2">
                  <c:v>68.7</c:v>
                </c:pt>
                <c:pt idx="3">
                  <c:v>69.2</c:v>
                </c:pt>
                <c:pt idx="4">
                  <c:v>70.5</c:v>
                </c:pt>
                <c:pt idx="5">
                  <c:v>68.4</c:v>
                </c:pt>
                <c:pt idx="6">
                  <c:v>66.1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43.1</c:v>
                </c:pt>
                <c:pt idx="1">
                  <c:v>53.4</c:v>
                </c:pt>
                <c:pt idx="2">
                  <c:v>61.2</c:v>
                </c:pt>
                <c:pt idx="3">
                  <c:v>62.3</c:v>
                </c:pt>
                <c:pt idx="4">
                  <c:v>63.5</c:v>
                </c:pt>
                <c:pt idx="5">
                  <c:v>61.5</c:v>
                </c:pt>
                <c:pt idx="6">
                  <c:v>58.3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40.9</c:v>
                </c:pt>
                <c:pt idx="1">
                  <c:v>50.7</c:v>
                </c:pt>
                <c:pt idx="2">
                  <c:v>56.6</c:v>
                </c:pt>
                <c:pt idx="3">
                  <c:v>57.9</c:v>
                </c:pt>
                <c:pt idx="4">
                  <c:v>59.5</c:v>
                </c:pt>
                <c:pt idx="5">
                  <c:v>60.3</c:v>
                </c:pt>
                <c:pt idx="6">
                  <c:v>51.4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14.7</c:v>
                </c:pt>
                <c:pt idx="1">
                  <c:v>12.3</c:v>
                </c:pt>
                <c:pt idx="2">
                  <c:v>3.9</c:v>
                </c:pt>
                <c:pt idx="3">
                  <c:v>3.1</c:v>
                </c:pt>
                <c:pt idx="4">
                  <c:v>-2.4</c:v>
                </c:pt>
                <c:pt idx="5">
                  <c:v>-3.7</c:v>
                </c:pt>
                <c:pt idx="6">
                  <c:v>-1.5</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6.1</c:v>
                </c:pt>
                <c:pt idx="3">
                  <c:v>8.8</c:v>
                </c:pt>
                <c:pt idx="4">
                  <c:v>3.9</c:v>
                </c:pt>
                <c:pt idx="5">
                  <c:v>4.9</c:v>
                </c:pt>
                <c:pt idx="6">
                  <c:v>6.8</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66</c:v>
                </c:pt>
                <c:pt idx="1">
                  <c:v>78</c:v>
                </c:pt>
                <c:pt idx="2">
                  <c:v>69</c:v>
                </c:pt>
                <c:pt idx="3">
                  <c:v>69</c:v>
                </c:pt>
                <c:pt idx="4">
                  <c:v>71</c:v>
                </c:pt>
                <c:pt idx="5">
                  <c:v>72</c:v>
                </c:pt>
                <c:pt idx="6">
                  <c:v>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11</c:v>
                </c:pt>
                <c:pt idx="1">
                  <c:v>24</c:v>
                </c:pt>
                <c:pt idx="2">
                  <c:v>9</c:v>
                </c:pt>
                <c:pt idx="3">
                  <c:v>8</c:v>
                </c:pt>
                <c:pt idx="4">
                  <c:v>9</c:v>
                </c:pt>
                <c:pt idx="5">
                  <c:v>9</c:v>
                </c:pt>
                <c:pt idx="6">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142.20000000000002</c:v>
                </c:pt>
                <c:pt idx="1">
                  <c:v>274.1</c:v>
                </c:pt>
                <c:pt idx="2">
                  <c:v>524.5</c:v>
                </c:pt>
                <c:pt idx="3">
                  <c:v>766.4</c:v>
                </c:pt>
                <c:pt idx="4">
                  <c:v>1055.3</c:v>
                </c:pt>
                <c:pt idx="5">
                  <c:v>1146</c:v>
                </c:pt>
                <c:pt idx="6">
                  <c:v>1100.9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149.7</c:v>
                </c:pt>
                <c:pt idx="1">
                  <c:v>284.6</c:v>
                </c:pt>
                <c:pt idx="2">
                  <c:v>605.4</c:v>
                </c:pt>
                <c:pt idx="3">
                  <c:v>843.4</c:v>
                </c:pt>
                <c:pt idx="4">
                  <c:v>1070.9</c:v>
                </c:pt>
                <c:pt idx="5">
                  <c:v>1244</c:v>
                </c:pt>
                <c:pt idx="6">
                  <c:v>1062.1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121.5</c:v>
                </c:pt>
                <c:pt idx="1">
                  <c:v>21.3</c:v>
                </c:pt>
                <c:pt idx="2">
                  <c:v>22.7</c:v>
                </c:pt>
                <c:pt idx="3">
                  <c:v>28.9</c:v>
                </c:pt>
                <c:pt idx="4">
                  <c:v>34.9</c:v>
                </c:pt>
                <c:pt idx="5">
                  <c:v>34.5</c:v>
                </c:pt>
                <c:pt idx="6">
                  <c:v>31.1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10.2</c:v>
                </c:pt>
                <c:pt idx="1">
                  <c:v>10.2</c:v>
                </c:pt>
                <c:pt idx="2">
                  <c:v>10.2</c:v>
                </c:pt>
                <c:pt idx="3">
                  <c:v>10.2</c:v>
                </c:pt>
                <c:pt idx="4">
                  <c:v>10.2</c:v>
                </c:pt>
                <c:pt idx="5">
                  <c:v>10.2</c:v>
                </c:pt>
                <c:pt idx="6">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53.3</c:v>
                </c:pt>
                <c:pt idx="1">
                  <c:v>18.9</c:v>
                </c:pt>
                <c:pt idx="2">
                  <c:v>20.5</c:v>
                </c:pt>
                <c:pt idx="3">
                  <c:v>25.4</c:v>
                </c:pt>
                <c:pt idx="4">
                  <c:v>28.7</c:v>
                </c:pt>
                <c:pt idx="5">
                  <c:v>31.2</c:v>
                </c:pt>
                <c:pt idx="6">
                  <c:v>26.4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-0.86</c:v>
                </c:pt>
                <c:pt idx="1">
                  <c:v>-0.52</c:v>
                </c:pt>
                <c:pt idx="2">
                  <c:v>-0.48</c:v>
                </c:pt>
                <c:pt idx="3">
                  <c:v>-0.45</c:v>
                </c:pt>
                <c:pt idx="4">
                  <c:v>-0.72</c:v>
                </c:pt>
                <c:pt idx="5">
                  <c:v>-0.5</c:v>
                </c:pt>
                <c:pt idx="6">
                  <c:v>-0.53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11.8</c:v>
                </c:pt>
                <c:pt idx="1">
                  <c:v>0</c:v>
                </c:pt>
                <c:pt idx="2">
                  <c:v>92.2</c:v>
                </c:pt>
                <c:pt idx="3">
                  <c:v>273.1</c:v>
                </c:pt>
                <c:pt idx="4">
                  <c:v>47.5</c:v>
                </c:pt>
                <c:pt idx="5">
                  <c:v>7.6</c:v>
                </c:pt>
                <c:pt idx="6">
                  <c:v>11.2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43.2</c:v>
                </c:pt>
                <c:pt idx="1">
                  <c:v>76.1</c:v>
                </c:pt>
                <c:pt idx="2">
                  <c:v>144.4</c:v>
                </c:pt>
                <c:pt idx="3">
                  <c:v>302.8</c:v>
                </c:pt>
                <c:pt idx="4">
                  <c:v>427.4</c:v>
                </c:pt>
                <c:pt idx="5">
                  <c:v>559.3</c:v>
                </c:pt>
                <c:pt idx="6">
                  <c:v>572.5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9.9</c:v>
                </c:pt>
                <c:pt idx="2">
                  <c:v>123.3</c:v>
                </c:pt>
                <c:pt idx="3">
                  <c:v>77.3</c:v>
                </c:pt>
                <c:pt idx="4">
                  <c:v>163.9</c:v>
                </c:pt>
                <c:pt idx="5">
                  <c:v>737.5</c:v>
                </c:pt>
                <c:pt idx="6">
                  <c:v>500.2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2</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Candle Lake Limited (Kenneth Dart)</c:v>
                </c:pt>
                <c:pt idx="1">
                  <c:v>Österbahr Ventures AB (Jens von Bahr y Fredrik Österberg)</c:v>
                </c:pt>
                <c:pt idx="2">
                  <c:v>Capital Group</c:v>
                </c:pt>
                <c:pt idx="3">
                  <c:v>BlackRock</c:v>
                </c:pt>
                <c:pt idx="4">
                  <c:v>Vanguard</c:v>
                </c:pt>
                <c:pt idx="5">
                  <c:v>Richard Livingstone</c:v>
                </c:pt>
                <c:pt idx="6">
                  <c:v>EdgePoint Investment Management</c:v>
                </c:pt>
                <c:pt idx="7">
                  <c:v>Canada Pension Plan Investment Board</c:v>
                </c:pt>
                <c:pt idx="8">
                  <c:v>AP2 (Andra AP-fonden)</c:v>
                </c:pt>
                <c:pt idx="9">
                  <c:v>Autocartera</c:v>
                </c:pt>
              </c:strCache>
            </c:strRef>
          </c:cat>
          <c:val>
            <c:numRef>
              <c:f>Hoja1!$B$2:$B$11</c:f>
              <c:numCache>
                <c:formatCode>0.0"%"</c:formatCode>
                <c:ptCount val="10"/>
                <c:pt idx="0">
                  <c:v>32.8</c:v>
                </c:pt>
                <c:pt idx="1">
                  <c:v>10.7</c:v>
                </c:pt>
                <c:pt idx="2">
                  <c:v>7.9</c:v>
                </c:pt>
                <c:pt idx="3">
                  <c:v>3.32</c:v>
                </c:pt>
                <c:pt idx="4">
                  <c:v>2.89</c:v>
                </c:pt>
                <c:pt idx="5">
                  <c:v>1.98</c:v>
                </c:pt>
                <c:pt idx="6">
                  <c:v>1.28</c:v>
                </c:pt>
                <c:pt idx="7">
                  <c:v>1.02</c:v>
                </c:pt>
                <c:pt idx="8">
                  <c:v>1.01</c:v>
                </c:pt>
                <c:pt idx="9">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-15.3</c:v>
                </c:pt>
                <c:pt idx="1">
                  <c:v>123.7</c:v>
                </c:pt>
                <c:pt idx="2">
                  <c:v>-12.2</c:v>
                </c:pt>
                <c:pt idx="3">
                  <c:v>176.7</c:v>
                </c:pt>
                <c:pt idx="4">
                  <c:v>196</c:v>
                </c:pt>
                <c:pt idx="5">
                  <c:v>54.1</c:v>
                </c:pt>
                <c:pt idx="6">
                  <c:v>-21.1</c:v>
                </c:pt>
                <c:pt idx="7">
                  <c:v>18.4</c:v>
                </c:pt>
                <c:pt idx="8">
                  <c:v>-29.1</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c:v>
                </c:pt>
                <c:pt idx="1">
                  <c:v>3.9</c:v>
                </c:pt>
                <c:pt idx="2">
                  <c:v>-10.7</c:v>
                </c:pt>
                <c:pt idx="3">
                  <c:v>25.8</c:v>
                </c:pt>
                <c:pt idx="4">
                  <c:v>5.8</c:v>
                </c:pt>
                <c:pt idx="5">
                  <c:v>29.1</c:v>
                </c:pt>
                <c:pt idx="6">
                  <c:v>-15.6</c:v>
                </c:pt>
                <c:pt idx="7">
                  <c:v>17.4</c:v>
                </c:pt>
                <c:pt idx="8">
                  <c:v>3.5</c:v>
                </c:pt>
                <c:pt idx="9">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26.2</c:v>
                </c:pt>
                <c:pt idx="2">
                  <c:v>46.8</c:v>
                </c:pt>
                <c:pt idx="3">
                  <c:v>37.4</c:v>
                </c:pt>
                <c:pt idx="4">
                  <c:v>19.2</c:v>
                </c:pt>
                <c:pt idx="5">
                  <c:v>17.8</c:v>
                </c:pt>
                <c:pt idx="6">
                  <c:v>10.6</c:v>
                </c:pt>
                <c:pt idx="7">
                  <c:v>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19.2</c:v>
                </c:pt>
                <c:pt idx="1">
                  <c:v>19.2</c:v>
                </c:pt>
                <c:pt idx="2">
                  <c:v>19.2</c:v>
                </c:pt>
                <c:pt idx="3">
                  <c:v>19.2</c:v>
                </c:pt>
                <c:pt idx="4">
                  <c:v>19.2</c:v>
                </c:pt>
                <c:pt idx="5">
                  <c:v>19.2</c:v>
                </c:pt>
                <c:pt idx="6">
                  <c:v>19.2</c:v>
                </c:pt>
                <c:pt idx="7">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Evolution</c:v>
                </c:pt>
                <c:pt idx="1">
                  <c:v>Playtech</c:v>
                </c:pt>
                <c:pt idx="2">
                  <c:v>Light &amp; Wonder</c:v>
                </c:pt>
                <c:pt idx="3">
                  <c:v>Aristocrat Leisure</c:v>
                </c:pt>
                <c:pt idx="4">
                  <c:v>Kambi Group</c:v>
                </c:pt>
                <c:pt idx="5">
                  <c:v>Hacksaw</c:v>
                </c:pt>
                <c:pt idx="6">
                  <c:v>Sportradar</c:v>
                </c:pt>
              </c:strCache>
            </c:strRef>
          </c:cat>
          <c:val>
            <c:numRef>
              <c:f>Hoja1!$B$2:$B$8</c:f>
              <c:numCache>
                <c:formatCode>0.0"x"</c:formatCode>
                <c:ptCount val="7"/>
                <c:pt idx="0">
                  <c:v>9</c:v>
                </c:pt>
                <c:pt idx="1">
                  <c:v>4.2</c:v>
                </c:pt>
                <c:pt idx="2">
                  <c:v>6.8</c:v>
                </c:pt>
                <c:pt idx="3">
                  <c:v>13.5</c:v>
                </c:pt>
                <c:pt idx="4">
                  <c:v>5.5</c:v>
                </c:pt>
                <c:pt idx="5">
                  <c:v>7.8</c:v>
                </c:pt>
                <c:pt idx="6">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Evolution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9</c:v>
                </c:pt>
              </c:numCache>
            </c:numRef>
          </c:yVal>
          <c:smooth val="0"/>
        </c:ser>
        <c:ser>
          <c:idx val="1"/>
          <c:order val="1"/>
          <c:tx>
            <c:strRef>
              <c:f>Hoja1!$A$3</c:f>
              <c:strCache>
                <c:ptCount val="1"/>
                <c:pt idx="0">
                  <c:v>Playtech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4.2</c:v>
                </c:pt>
              </c:numCache>
            </c:numRef>
          </c:yVal>
          <c:smooth val="0"/>
        </c:ser>
        <c:ser>
          <c:idx val="2"/>
          <c:order val="2"/>
          <c:tx>
            <c:strRef>
              <c:f>Hoja1!$A$4</c:f>
              <c:strCache>
                <c:ptCount val="1"/>
                <c:pt idx="0">
                  <c:v>Light &amp; Wonder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4.1</c:v>
                </c:pt>
              </c:numCache>
            </c:numRef>
          </c:xVal>
          <c:yVal>
            <c:numRef>
              <c:f>Hoja1!$C$4</c:f>
              <c:numCache>
                <c:formatCode>0.0"x"</c:formatCode>
                <c:ptCount val="1"/>
                <c:pt idx="0">
                  <c:v>6.8</c:v>
                </c:pt>
              </c:numCache>
            </c:numRef>
          </c:yVal>
          <c:smooth val="0"/>
        </c:ser>
        <c:ser>
          <c:idx val="3"/>
          <c:order val="3"/>
          <c:tx>
            <c:strRef>
              <c:f>Hoja1!$A$5</c:f>
              <c:strCache>
                <c:ptCount val="1"/>
                <c:pt idx="0">
                  <c:v>Aristocrat Leisure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13.5</c:v>
                </c:pt>
              </c:numCache>
            </c:numRef>
          </c:yVal>
          <c:smooth val="0"/>
        </c:ser>
        <c:ser>
          <c:idx val="4"/>
          <c:order val="4"/>
          <c:tx>
            <c:strRef>
              <c:f>Hoja1!$A$6</c:f>
              <c:strCache>
                <c:ptCount val="1"/>
                <c:pt idx="0">
                  <c:v>Kambi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7.2</c:v>
                </c:pt>
              </c:numCache>
            </c:numRef>
          </c:xVal>
          <c:yVal>
            <c:numRef>
              <c:f>Hoja1!$C$6</c:f>
              <c:numCache>
                <c:formatCode>0.0"x"</c:formatCode>
                <c:ptCount val="1"/>
                <c:pt idx="0">
                  <c:v>5.5</c:v>
                </c:pt>
              </c:numCache>
            </c:numRef>
          </c:yVal>
          <c:smooth val="0"/>
        </c:ser>
        <c:ser>
          <c:idx val="5"/>
          <c:order val="5"/>
          <c:tx>
            <c:strRef>
              <c:f>Hoja1!$A$7</c:f>
              <c:strCache>
                <c:ptCount val="1"/>
                <c:pt idx="0">
                  <c:v>Hacksaw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29.1</c:v>
                </c:pt>
              </c:numCache>
            </c:numRef>
          </c:xVal>
          <c:yVal>
            <c:numRef>
              <c:f>Hoja1!$C$7</c:f>
              <c:numCache>
                <c:formatCode>0.0"x"</c:formatCode>
                <c:ptCount val="1"/>
                <c:pt idx="0">
                  <c:v>7.8</c:v>
                </c:pt>
              </c:numCache>
            </c:numRef>
          </c:yVal>
          <c:smooth val="0"/>
        </c:ser>
        <c:ser>
          <c:idx val="6"/>
          <c:order val="6"/>
          <c:tx>
            <c:strRef>
              <c:f>Hoja1!$A$8</c:f>
              <c:strCache>
                <c:ptCount val="1"/>
                <c:pt idx="0">
                  <c:v>Sportradar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15.2</c:v>
                </c:pt>
              </c:numCache>
            </c:numRef>
          </c:xVal>
          <c:yVal>
            <c:numRef>
              <c:f>Hoja1!$C$8</c:f>
              <c:numCache>
                <c:formatCode>0.0"x"</c:formatCode>
                <c:ptCount val="1"/>
                <c:pt idx="0">
                  <c:v>7.4</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NetEnt</c:v>
                </c:pt>
                <c:pt idx="1">
                  <c:v>Big Time Gaming</c:v>
                </c:pt>
                <c:pt idx="2">
                  <c:v>Nolimit City</c:v>
                </c:pt>
                <c:pt idx="3">
                  <c:v>NeoGames</c:v>
                </c:pt>
                <c:pt idx="4">
                  <c:v>IGT Gaming &amp; Digital y Everi</c:v>
                </c:pt>
                <c:pt idx="5">
                  <c:v>Snaitech</c:v>
                </c:pt>
              </c:strCache>
            </c:strRef>
          </c:cat>
          <c:val>
            <c:numRef>
              <c:f>Hoja1!$B$2:$B$7</c:f>
              <c:numCache>
                <c:formatCode>0.0"x"</c:formatCode>
                <c:ptCount val="6"/>
                <c:pt idx="0">
                  <c:v>22.9</c:v>
                </c:pt>
                <c:pt idx="1">
                  <c:v>7.6</c:v>
                </c:pt>
                <c:pt idx="2">
                  <c:v>8.7</c:v>
                </c:pt>
                <c:pt idx="3">
                  <c:v>15</c:v>
                </c:pt>
                <c:pt idx="5">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1010</c:v>
                </c:pt>
                <c:pt idx="1">
                  <c:v>1031</c:v>
                </c:pt>
                <c:pt idx="2">
                  <c:v>1082</c:v>
                </c:pt>
                <c:pt idx="3">
                  <c:v>1138</c:v>
                </c:pt>
                <c:pt idx="4">
                  <c:v>1189</c:v>
                </c:pt>
                <c:pt idx="5">
                  <c:v>1234</c:v>
                </c:pt>
                <c:pt idx="6">
                  <c:v>1282</c:v>
                </c:pt>
                <c:pt idx="7">
                  <c:v>1325</c:v>
                </c:pt>
                <c:pt idx="8">
                  <c:v>1367</c:v>
                </c:pt>
                <c:pt idx="9">
                  <c:v>1405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7255</c:v>
                </c:pt>
                <c:pt idx="1">
                  <c:v>7646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57.91</c:v>
                </c:pt>
                <c:pt idx="1">
                  <c:v>82.68</c:v>
                </c:pt>
                <c:pt idx="2">
                  <c:v>98.75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Hoja1!$B$2:$B$10</c:f>
              <c:numCache>
                <c:formatCode>#,##0</c:formatCode>
                <c:ptCount val="9"/>
                <c:pt idx="0">
                  <c:v>46.04</c:v>
                </c:pt>
                <c:pt idx="1">
                  <c:v>48.99</c:v>
                </c:pt>
                <c:pt idx="2">
                  <c:v>46.95</c:v>
                </c:pt>
                <c:pt idx="3">
                  <c:v>75.43</c:v>
                </c:pt>
                <c:pt idx="4">
                  <c:v>65.58</c:v>
                </c:pt>
                <c:pt idx="5">
                  <c:v>75.41</c:v>
                </c:pt>
                <c:pt idx="6">
                  <c:v>57.91</c:v>
                </c:pt>
                <c:pt idx="7">
                  <c:v>92.46</c:v>
                </c:pt>
                <c:pt idx="8">
                  <c:v>71.91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(46,04 – 81,38)</c:v>
                </c:pt>
                <c:pt idx="1">
                  <c:v>Precio objetivo de los analistas (48,99 – 99,79)</c:v>
                </c:pt>
                <c:pt idx="2">
                  <c:v>Comparables: EV/EBITDA NTM (46,95 – 61,79)</c:v>
                </c:pt>
                <c:pt idx="3">
                  <c:v>Comparables: PER NTM (75,43 – 124,01)</c:v>
                </c:pt>
                <c:pt idx="4">
                  <c:v>Transacciones precedentes (EV/EBITDA) (65,58 – 112,45)</c:v>
                </c:pt>
                <c:pt idx="5">
                  <c:v>DCF (WACC y g ± 0,5) (75,41 – 92,05)</c:v>
                </c:pt>
                <c:pt idx="6">
                  <c:v>Escenarios (bajista – alcista) (57,91 – 98,75)</c:v>
                </c:pt>
                <c:pt idx="7">
                  <c:v>DCF con la prima implícita del mercado (4,2 %)</c:v>
                </c:pt>
                <c:pt idx="8">
                  <c:v>Precio actual (72,27)</c:v>
                </c:pt>
              </c:strCache>
            </c:strRef>
          </c:cat>
          <c:val>
            <c:numRef>
              <c:f>Hoja1!$C$2:$C$10</c:f>
              <c:numCache>
                <c:formatCode>#,##0</c:formatCode>
                <c:ptCount val="9"/>
                <c:pt idx="0">
                  <c:v>35.339999999999996</c:v>
                </c:pt>
                <c:pt idx="1">
                  <c:v>50.800000000000004</c:v>
                </c:pt>
                <c:pt idx="2">
                  <c:v>14.839999999999996</c:v>
                </c:pt>
                <c:pt idx="3">
                  <c:v>48.58</c:v>
                </c:pt>
                <c:pt idx="4">
                  <c:v>46.870000000000005</c:v>
                </c:pt>
                <c:pt idx="5">
                  <c:v>16.64</c:v>
                </c:pt>
                <c:pt idx="6">
                  <c:v>40.84</c:v>
                </c:pt>
                <c:pt idx="7">
                  <c:v>15.490000000000009</c:v>
                </c:pt>
                <c:pt idx="8">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