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Games Workshop Group PLC</w:t>
      </w:r>
    </w:p>
    <w:p>
      <w:pPr>
        <w:spacing w:after="60"/>
        <w:rPr>
          <w:color w:val="52514E"/>
          <w:sz w:val="22"/>
          <w:szCs w:val="22"/>
        </w:rPr>
      </w:pPr>
      <w:r>
        <w:rPr>
          <w:color w:val="52514E"/>
          <w:sz w:val="22"/>
          <w:szCs w:val="22"/>
        </w:rPr>
        <w:t xml:space="preserve">GAW · London Stock Exchange (Main Market) · ISIN GB0003718474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163,90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154,67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-2,7 % (base +4,1 %)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102,00 GBP · mercado 116,59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5.429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Games Workshop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GAW / GB0003718474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Productos de ocio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Nottingham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https://investor.games-workshop.com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163,90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143,00 – 235,40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5.429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5.378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18,7 M GBP/día (3 meses; 100.843 acciones/día)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154,67 GBP</w:t>
      </w:r>
      <w:r>
        <w:t xml:space="preserve"> frente a 163,90 · Rentabilidad a 12 meses </w:t>
      </w:r>
      <w:r>
        <w:rPr>
          <w:b/>
          <w:bCs/>
        </w:rPr>
        <w:t xml:space="preserve">-2,7 % (base +4,1 %)</w:t>
      </w:r>
      <w:r>
        <w:t xml:space="preserve"> · Valor intrínseco 102,00 GBP · con la prima implícita del mercado: 116,59 (-28,9 %) · Alcista / bajista -19,5 % / -60,1 %</w:t>
      </w:r>
    </w:p>
    <w:p>
      <w:pPr>
        <w:spacing w:after="100"/>
      </w:pPr>
      <w:r>
        <w:rPr>
          <w:b/>
        </w:rPr>
        <w:t xml:space="preserve">La recomendación y por qué.</w:t>
      </w:r>
      <w:r>
        <w:t xml:space="preserve"> Vender, con convicción media. El valor objetivo es de 102,00 GBP, un 37,8 % por debajo del precio de 163,90 GBP, y la rentabilidad total esperada a 12 meses es del −34,8 % con el dividendo. El alcista pierde un 19,5 % y el bajista un 60,1 %. La razón en una frase: es uno de los mejores negocios de la Bolsa de Londres, pero el precio pide que crezca al 15,9 % anual durante ocho años. Los criterios del motor sugieren convicción alta; la dejamos en media porque ese 15,9 % es casi lo que hizo en la década (16,6 % anual) y porque la serie de Amazon es un posible éxito sin fecha ni condiciones públicas que el modelo no puede medir. Subiría a alta si el Core del 1S27 crece menos del 8 % a tipo constante; bajaría si vuelve a crecer por encima del 15 %.</w:t>
      </w:r>
    </w:p>
    <w:p>
      <w:pPr>
        <w:spacing w:after="100"/>
      </w:pPr>
      <w:r>
        <w:rPr>
          <w:b/>
        </w:rPr>
        <w:t xml:space="preserve">El negocio.</w:t>
      </w:r>
      <w:r>
        <w:t xml:space="preserve"> Games Workshop diseña, fabrica y vende las miniaturas de Warhammer: propiedad intelectual propia, fábricas propias, 598 tiendas propias y miles de comercios [1]. El ROIC es del 102,3 % y el margen operativo Core del 39,1 %, frente al 0-22 % de los fabricantes de juguetes [1, 22, 23, 24, 25, 26, 27, 28]. Su calidad sostiene nuestro caso base (7,3 % anual, financiable al 11,6 % con su reinversión), pero no el crecimiento que pide el precio, que depende de multiplicar los aficionados.</w:t>
      </w:r>
    </w:p>
    <w:p>
      <w:pPr>
        <w:spacing w:after="100"/>
      </w:pPr>
      <w:r>
        <w:rPr>
          <w:b/>
        </w:rPr>
        <w:t xml:space="preserve">Finanzas.</w:t>
      </w:r>
      <w:r>
        <w:t xml:space="preserve"> Los ingresos pasaron de 165,6 M en FY2017 a 659,7 M en FY2026 sin una sola compra y sin deuda; repartió 920 M en dividendos [1, 2, 3, 4, 5, 6, 7, 8]. FY2026 creció un 6,8 %: el Core un 10,9 % (12,2 % a tipo constante), mientras las licencias caían de 52,5 a 32,9 M tras el pico de Space Marine 2 [1]. En el 2S26 el Core se frenó al +5,1 %.</w:t>
      </w:r>
    </w:p>
    <w:p>
      <w:pPr>
        <w:spacing w:after="100"/>
      </w:pPr>
      <w:r>
        <w:rPr>
          <w:b/>
        </w:rPr>
        <w:t xml:space="preserve">Equipo y gobierno.</w:t>
      </w:r>
      <w:r>
        <w:t xml:space="preserve"> Neutro. Kevin Rountree dirige desde 2015 y los avances de resultados se cumplen [18]. Pero el consejo tiene solo 3 independientes de 7, uno de ellos preside auditoría y remuneración y es el consejero coordinador, y la remuneración tuvo hasta un 29,3 % de votos en contra en mayo de 2025 [18, 39].</w:t>
      </w:r>
    </w:p>
    <w:p>
      <w:pPr>
        <w:spacing w:after="100"/>
      </w:pPr>
      <w:r>
        <w:rPr>
          <w:b/>
        </w:rPr>
        <w:t xml:space="preserve">Valoración.</w:t>
      </w:r>
      <w:r>
        <w:t xml:space="preserve"> El DCF da 99,10 GBP (−39,5 %). El DCF inverso dice que el precio supone un crecimiento del 15,9 % anual hasta FY2034e, frente al 7,3 % de nuestro caso base y al 12,3 % de FY2021-FY2026; a este precio, el caso base rinde un 7,8 % anual frente a un WACC del 10,8 %. Cotiza a 16,7 veces el EBITDA y 26,3 veces el beneficio, en el percentil 70 de su década. Comparables (106,17 GBP) y transacciones (118,00 GBP) quedan también por debajo: ningún comprador ha pagado nunca estos múltiplos por un negocio de juguetes o juegos. Con la prima de riesgo del mercado, el objetivo sube a 116,59 GBP (−28,9 %). Discrepamos del mercado en el ritmo, no en la calidad.</w:t>
      </w:r>
    </w:p>
    <w:p>
      <w:pPr>
        <w:spacing w:after="100"/>
      </w:pPr>
      <w:r>
        <w:rPr>
          <w:b/>
        </w:rPr>
        <w:t xml:space="preserve">Riesgos y catalizadores.</w:t>
      </w:r>
      <w:r>
        <w:t xml:space="preserve"> El riesgo para la recomendación es al alza: que la serie de Amazon o un videojuego multipliquen los aficionados, como Space Marine 2 multiplicó las licencias. A la baja, que el frenazo del 2S26 se prolongue (bajista: 65,32 GBP). Los foros coinciden: nadie discute el negocio, sí el precio. Catalizadores: avance del 1S27 en diciembre y resultados el 12-ene-2027 (fecha estimada) [76].</w:t>
      </w:r>
    </w:p>
    <w:p>
      <w:pPr>
        <w:spacing w:after="100"/>
      </w:pPr>
      <w:r>
        <w:rPr>
          <w:b/>
        </w:rPr>
        <w:t xml:space="preserve">Qué cambiaría la decisión.</w:t>
      </w:r>
      <w:r>
        <w:t xml:space="preserve"> Pasaría a Mantener por debajo de 131,58 GBP y a Comprar por debajo de 101,69 GBP. Revisaríamos el caso base al alza si el Core crece por encima del 15 % a tipo constante en el 1S27 o si Amazon fija fecha de estreno con un acuerdo de merchandising público.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154,67 GBP</w:t>
      </w:r>
      <w:r>
        <w:t xml:space="preserve"> (rentabilidad -2,7 % (base +4,1 %)) · Valor intrínseco: 102,00 GBP (-37,8 % sobre 163,90) · con la prima implícita del mercado: 116,59 (-28,9 %)</w:t>
      </w:r>
    </w:p>
    <w:p>
      <w:pPr>
        <w:spacing w:after="100"/>
      </w:pPr>
      <w:r>
        <w:t xml:space="preserve">Games Workshop es Warhammer: una propiedad intelectual de 50 años que diseña, fabrica y vende ella misma, con 598 tiendas propias, un margen operativo Core del 39 % y un ROIC del 102 % [1]. En diez años ha cuadruplicado los ingresos, hasta 659,7 M, sin deuda ni compras, y ha repartido 920 M en dividendos [1, 2, 3, 4, 5, 6, 7, 8].</w:t>
      </w:r>
    </w:p>
    <w:p>
      <w:pPr>
        <w:spacing w:after="100"/>
      </w:pPr>
      <w:r>
        <w:t xml:space="preserve">El precio de 163,90 GBP, aun después de caer un 30 % desde junio, descuenta que la próxima década será como la anterior: un crecimiento del 15,9 % anual hasta FY2034e. Cotiza a 26,3 veces el beneficio, en el percentil 70 de su historia y por encima de cualquier transacción del sector [69, 98, 99, 100, 101, 102].</w:t>
      </w:r>
    </w:p>
    <w:p>
      <w:pPr>
        <w:spacing w:after="100"/>
      </w:pPr>
      <w:r>
        <w:t xml:space="preserve">El mercado acierta en la calidad: el foso es real y el aficionado, fiel. Se equivoca en el ritmo: la base de partida es cuatro veces mayor que en FY2017, el 2S26 ya creció solo un 5,1 % en el Core y las licencias son irregulares [1]. Para comprar a este precio hay que creer que la serie de Amazon convertirá Warhammer en un fenómeno de masas; nosotros esperamos un 7,3 % anual, que ya es mucho para su tamaño.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154,67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5,94 = 99,79 · 23,0x × 7,21 = 165,83 · 23,0x × 8,14 = 187,22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 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220,75 (nuestro base -24,9 %)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 / -60,1 %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10,8 %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 frente a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-34,8 % (-25,9 % con la prima del mercado) y el precio pide 8,6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102,00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102,00 y 177,24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177,24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131,58 GBP, pasaríamos a Mantener.</w:t>
      </w:r>
    </w:p>
    <w:p>
      <w:pPr>
        <w:pStyle w:val="ListParagraph"/>
        <w:numPr>
          <w:ilvl w:val="0"/>
          <w:numId w:val="2"/>
        </w:numPr>
        <w:spacing w:after="60"/>
      </w:pPr>
      <w:r>
        <w:t xml:space="preserve">Si el precio baja de 101,69 GBP, pasaríamos a Comprar.</w:t>
      </w:r>
    </w:p>
    <w:p>
      <w:pPr>
        <w:pStyle w:val="ListParagraph"/>
        <w:numPr>
          <w:ilvl w:val="0"/>
          <w:numId w:val="2"/>
        </w:numPr>
        <w:spacing w:after="60"/>
      </w:pPr>
      <w:r>
        <w:t xml:space="preserve">Si el Core del 1S27 crece por encima del 15 % a tipo constante, revisaríamos el caso base al alza.</w:t>
      </w:r>
    </w:p>
    <w:p>
      <w:pPr>
        <w:pStyle w:val="ListParagraph"/>
        <w:numPr>
          <w:ilvl w:val="0"/>
          <w:numId w:val="2"/>
        </w:numPr>
        <w:spacing w:after="60"/>
      </w:pPr>
      <w:r>
        <w:t xml:space="preserve">Si Amazon fija fecha de estreno con un acuerdo de merchandising público, subiríamos el alcista.</w:t>
      </w:r>
    </w:p>
    <w:p>
      <w:pPr>
        <w:pStyle w:val="ListParagraph"/>
        <w:numPr>
          <w:ilvl w:val="0"/>
          <w:numId w:val="2"/>
        </w:numPr>
        <w:spacing w:after="60"/>
      </w:pPr>
      <w:r>
        <w:t xml:space="preserve">Si el Core del 1S27 crece menos del 8 %, subiríamos la convicción de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Games Workshop seguirá creciendo como en la década pasada, al 15-16 % anual, gracias a la expansión internacional del aficionado y al efecto de la pantalla (Amazon y los videojuegos), con un PER de 26 veces que se mantiene.</w:t>
      </w:r>
    </w:p>
    <w:p>
      <w:pPr>
        <w:keepNext/>
        <w:spacing w:after="100"/>
      </w:pPr>
      <w:r>
        <w:rPr>
          <w:b/>
          <w:bCs/>
        </w:rPr>
        <w:t xml:space="preserve">Lo que creemos nosotros.</w:t>
      </w:r>
    </w:p>
    <w:p>
      <w:pPr>
        <w:spacing w:after="100"/>
      </w:pPr>
      <w:r>
        <w:t xml:space="preserve">El Core seguirá creciendo, pero a un ritmo menor: 9-10 % dos años y luego a la baja hacia el 4 %, con licencias irregulares de 25-35 M. Un 7,3 % anual de media, por debajo del 12,3 % de FY2021-FY2026.</w:t>
      </w:r>
    </w:p>
    <w:p>
      <w:pPr>
        <w:keepNext/>
        <w:spacing w:after="100"/>
      </w:pPr>
      <w:r>
        <w:rPr>
          <w:b/>
          <w:bCs/>
        </w:rPr>
        <w:t xml:space="preserve">Por qué podemos tener razón.</w:t>
      </w:r>
    </w:p>
    <w:p>
      <w:pPr>
        <w:spacing w:after="100"/>
      </w:pPr>
      <w:r>
        <w:t xml:space="preserve">Porque el crecimiento ya se está frenando (Core +5,1 % en el 2S26, BPA de FY2027e por debajo del de FY2026 según el consenso) y porque, con 660 M de ventas, crecer al 16 % exige añadir 100 M de ingresos al año, el tamaño entero de la empresa de 2016 [1, 74].</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163,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ROIC del 102,3 % y margen operativo Core del 39,1 % [1].</w:t>
      </w:r>
    </w:p>
    <w:p>
      <w:pPr>
        <w:pStyle w:val="ListParagraph"/>
        <w:numPr>
          <w:ilvl w:val="0"/>
          <w:numId w:val="2"/>
        </w:numPr>
        <w:spacing w:after="60"/>
      </w:pPr>
      <w:r>
        <w:rPr>
          <w:b/>
        </w:rPr>
        <w:t xml:space="preserve">Sin deuda y con caja</w:t>
      </w:r>
      <w:r>
        <w:t xml:space="preserve">: 182,9 M y todo el excedente repartido en dividendos [1].</w:t>
      </w:r>
    </w:p>
    <w:p>
      <w:pPr>
        <w:pStyle w:val="ListParagraph"/>
        <w:numPr>
          <w:ilvl w:val="0"/>
          <w:numId w:val="2"/>
        </w:numPr>
        <w:spacing w:after="60"/>
      </w:pPr>
      <w:r>
        <w:rPr>
          <w:b/>
        </w:rPr>
        <w:t xml:space="preserve">Poder de precios</w:t>
      </w:r>
      <w:r>
        <w:t xml:space="preserve">: subidas del 2-6 % cada año con el volumen al alza [18].</w:t>
      </w:r>
    </w:p>
    <w:p>
      <w:pPr>
        <w:pStyle w:val="ListParagraph"/>
        <w:numPr>
          <w:ilvl w:val="0"/>
          <w:numId w:val="2"/>
        </w:numPr>
        <w:spacing w:after="60"/>
      </w:pPr>
      <w:r>
        <w:rPr>
          <w:b/>
        </w:rPr>
        <w:t xml:space="preserve">Opcionalidad de pantalla</w:t>
      </w:r>
      <w:r>
        <w:t xml:space="preserve">: acuerdo con Amazon para cine y series de Warhammer 40,000 [18].</w:t>
      </w:r>
    </w:p>
    <w:p>
      <w:pPr>
        <w:pStyle w:val="ListParagraph"/>
        <w:numPr>
          <w:ilvl w:val="0"/>
          <w:numId w:val="2"/>
        </w:numPr>
        <w:spacing w:after="60"/>
      </w:pPr>
      <w:r>
        <w:rPr>
          <w:b/>
        </w:rPr>
        <w:t xml:space="preserve">Historial</w:t>
      </w:r>
      <w:r>
        <w:t xml:space="preserve">: ingresos del 16,6 % anual en la década sin compras [1, 2, 3, 4, 5, 6, 7, 8].</w:t>
      </w:r>
    </w:p>
    <w:p>
      <w:pPr>
        <w:pStyle w:val="Heading2"/>
      </w:pPr>
      <w:r>
        <w:t xml:space="preserve">En contra</w:t>
      </w:r>
    </w:p>
    <w:p>
      <w:pPr>
        <w:pStyle w:val="ListParagraph"/>
        <w:numPr>
          <w:ilvl w:val="0"/>
          <w:numId w:val="2"/>
        </w:numPr>
        <w:spacing w:after="60"/>
      </w:pPr>
      <w:r>
        <w:rPr>
          <w:b/>
        </w:rPr>
        <w:t xml:space="preserve">El precio pide un 15,9 % anual</w:t>
      </w:r>
      <w:r>
        <w:t xml:space="preserve"> durante ocho años, frente al 7,3 % de nuestro caso base.</w:t>
      </w:r>
    </w:p>
    <w:p>
      <w:pPr>
        <w:pStyle w:val="ListParagraph"/>
        <w:numPr>
          <w:ilvl w:val="0"/>
          <w:numId w:val="2"/>
        </w:numPr>
        <w:spacing w:after="60"/>
      </w:pPr>
      <w:r>
        <w:rPr>
          <w:b/>
        </w:rPr>
        <w:t xml:space="preserve">Frenazo reciente</w:t>
      </w:r>
      <w:r>
        <w:t xml:space="preserve">: Core +5,1 % en el 2S26 [1].</w:t>
      </w:r>
    </w:p>
    <w:p>
      <w:pPr>
        <w:pStyle w:val="ListParagraph"/>
        <w:numPr>
          <w:ilvl w:val="0"/>
          <w:numId w:val="2"/>
        </w:numPr>
        <w:spacing w:after="60"/>
      </w:pPr>
      <w:r>
        <w:rPr>
          <w:b/>
        </w:rPr>
        <w:t xml:space="preserve">Licencias irregulares</w:t>
      </w:r>
      <w:r>
        <w:t xml:space="preserve">: de 52,5 a 32,9 M en un año [1].</w:t>
      </w:r>
    </w:p>
    <w:p>
      <w:pPr>
        <w:pStyle w:val="ListParagraph"/>
        <w:numPr>
          <w:ilvl w:val="0"/>
          <w:numId w:val="2"/>
        </w:numPr>
        <w:spacing w:after="60"/>
      </w:pPr>
      <w:r>
        <w:rPr>
          <w:b/>
        </w:rPr>
        <w:t xml:space="preserve">Múltiplos altos</w:t>
      </w:r>
      <w:r>
        <w:t xml:space="preserve">: 26,3 veces el beneficio, en el percentil 70 de su década.</w:t>
      </w:r>
    </w:p>
    <w:p>
      <w:pPr>
        <w:pStyle w:val="ListParagraph"/>
        <w:numPr>
          <w:ilvl w:val="0"/>
          <w:numId w:val="2"/>
        </w:numPr>
        <w:spacing w:after="60"/>
      </w:pPr>
      <w:r>
        <w:rPr>
          <w:b/>
        </w:rPr>
        <w:t xml:space="preserve">Gobierno mejorable</w:t>
      </w:r>
      <w:r>
        <w:t xml:space="preserve">: 3 independientes de 7 y votos altos en contra de la remuneración en 2024-2025 [18, 38, 39].</w:t>
      </w:r>
    </w:p>
    <w:p>
      <w:pPr>
        <w:pStyle w:val="Heading2"/>
      </w:pPr>
      <w:r>
        <w:t xml:space="preserve">Qué tiene que pasar para que la tesis funcione</w:t>
      </w:r>
    </w:p>
    <w:p>
      <w:pPr>
        <w:spacing w:after="100"/>
      </w:pPr>
      <w:r>
        <w:t xml:space="preserve">La tesis bajista depende de que el Core crezca menos del 10 % anual. La señal de que nos equivocamos sería un Core del 1S27 por encima del 15 % a tipo constante sin ayuda de las licencias, o un anuncio de Amazon con fecha de estreno y merchandising: entonces el crecimiento que pide el precio dejaría de ser una extrapolación.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Core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(FY2026); +5,1 %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15 % o &lt; 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separa el precio de nuestro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licencias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 M (nuevo éxito)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90 %: mueven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20 aperturas netas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expansión internacional.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costes frente a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Serie de Amazon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desarrollo, sin fecha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Fecha de estreno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única palanca que justificaría el precio.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26,3x / 26,7x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Games Workshop nace en 1975 en Londres, fundada por John Peake, Ian Livingstone y Steve Jackson, como vendedora de juegos de tablero clásicos y después cadena de tiendas de juegos [19, 20]. En 1981 ayuda a fundar Citadel Miniatures, fabricante de miniaturas de metal en Nottinghamshire, y con Warhammer (1983) y Warhammer 40,000 (1987) pasa de distribuir juegos ajenos a crear y explotar su propia propiedad intelectual [19, 20]. En diciembre de 1991 Tom Kirby lidera una compra por la dirección y en septiembre de 1994 la empresa sale a bolsa en Londres [19]. Kevin Rountree, en la casa desde 1998, es consejero delegado desde el 1 de enero de 2015 [18]. Desde 2024 la marca llega al gran público: el videojuego Space Marine 2, el acuerdo con Amazon para cine y series (10 de diciembre de 2024) y la entrada en el FTSE 100 (20 de diciembre de 2024) [17,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Londres por John Peake, Ian Livingstone y Steve Jackson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Games Workshop ayuda a fundar Citadel Miniatures, fabricante de miniaturas de metal en Newark-on-Trent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Warhammer Fantasy Battle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Warhammer 40,000, hoy la marca principal del grupo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por la dirección liderada por Tom Kirby (diciembre)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Londres (septiembre)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las operaciones del Reino Unido a la sede actual de Lenton (Nottingham), con Warhammer World como centro de eventos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del juego de miniaturas de El Señor de los Anillos, coincidiendo con las películas; sigue siendo su única propiedad licenciada [18,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director financiero desde 2008 y director de operaciones desde 2011, pasa a consejero delegado (1 de enero)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global del negocio el 24 de marzo de 2020 por la COVID-19; la empresa estima que solo perdió unas seis semanas de ventas y beneficio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Space Marine 2 (septiembre), el mayor éxito de un videojuego de Warhammer: los royalties suben de 31,0 a 52,5 M GBP en el FY2025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Amazon para adaptar Warhammer 40,000 a cine y series, con derechos de mercancía (10 de diciembre), y entrada en el FTSE 100 (20 de diciembre) [17,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(659,7 M GBP) y beneficio antes de impuestos (275,7 M GBP) récord en el FY2026; creación del puesto de director de operaciones (29 de mayo) y obras de la nueva Factory 4 en Nottingham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Games Workshop diseña, fabrica y vende miniaturas de fantasía y ciencia ficción de plástico (marca Citadel), con los reglamentos, libros, pinturas y accesorios para montarlas, pintarlas y jugar con ellas [18]. Sus marcas propias son Warhammer 40,000, Warhammer: Age of Sigmar, Horus Heresy y Old World, más marcas menores (Necromunda, Blood Bowl) y una sola licencia ajena, El Señor de los Anillos [18]. Es una empresa integrada verticalmente: el estudio de Nottingham (c. 460 personas) crea toda la propiedad intelectual, las fábricas propias de Nottingham la producen y el almacén de East Midlands Gateway abastece a los centros de Memphis y Sídney [18]. Vende por tres canales: 598 tiendas propias en 24 países (465 de un solo empleado), 9.100 tiendas independientes en 71 países y su tienda en línea [18]. El 79 % de las ventas core se hace fuera del Reino Unido [18]. Aparte, cobra royalties por licenciar su propiedad intelectual a videojuegos, cine, series y productos de consumo [18].</w:t>
      </w:r>
    </w:p>
    <w:p>
      <w:pPr>
        <w:pStyle w:val="Heading2"/>
      </w:pPr>
      <w:r>
        <w:t xml:space="preserve">Cómo gana dinero</w:t>
      </w:r>
    </w:p>
    <w:p>
      <w:pPr>
        <w:spacing w:after="100"/>
      </w:pPr>
      <w:r>
        <w:t xml:space="preserve">El negocio core (626,8 M GBP en el FY2026, el 95 % de las ventas) vende producto propio a precio de catálogo en sus canales directos y con descuento a las tiendas independientes, que en el FY2026 pesaron el 65 % de las ventas core frente al 21 % de las tiendas propias y el 14 % de la venta en línea [18]. El margen bruto core subió del 69,5 % al 71,1 % por más volumen, menor coste de material por unidad y eficiencias de producción, pese a unos 12 M GBP de aranceles nuevos de EE. UU. [18]. La estructura de costes es en gran parte fija (fábricas propias, estudio, tiendas), así que el volumen apalanca el margen operativo: el beneficio de explotación pasó de 157,1 a 275,0 M GBP entre el FY2022 y el FY2026 con un crecimiento de ventas del 59 % [18]. Las licencias (32,9 M GBP en el FY2026, el 85 % de videojuegos) tienen un margen cercano al 90 % y dependen del éxito de terceros: bajaron desde 52,5 M GBP en el FY2025 tras el récord de Space Marine 2 [18]. La empresa dice no ser estacional: 102 de los 120 meses de los últimos diez años crecieron en ventas core [18].</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el cliente final es el aficionado, que compra directamente o a través de unas 9.100 tiendas independientes (8.100 un año antes) atendidas por equipos de televenta en Memphis, Nottingham y Barcelona [18]. Las tiendas independientes compran con condiciones muy controladas y la empresa asume que su viabilidad depende de cada propietario [18]. El poder de precios es demostrable: Games Workshop sube los precios de catálogo todos los años, y aun así vende más volumen. La subida media fue de c. 5 % en una gama amplia en el FY2022, 6 % en miniaturas (3 % en el resto) en el FY2023, 2 % y 2 % en el FY2024, 5 % y 4 % en el FY2025, y 3 % en el FY2026 [3, 4, 5, 17, 18]. En el FY2026 las ventas core crecieron un 12,2 % a tipo de cambio constante con una subida de precios del 3 %, y el margen bruto subió 1,6 puntos [18]. La empresa no hace publicidad para el gran público ni da descuentos en su tienda en línea [5,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netas (42 aperturas, 14 cierres)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c. 30 aperturas en el FY2027 en Norteamérica, Europa continental y Asia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comercio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que más crece; Norteamérica 170,9 M y Europa continental 104,4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tiendas propias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36,8 M y Norteamérica 50,9 M, ambos ligeramente a la baja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en línea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25,0 M de ventas digitales (24,8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licencias / regalías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de juegos de PC y consola; caja cobrada 42,9 M (57,0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eficiencias compensan aranceles (-0,7 puntos)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reparto de beneficios al personal: 41,9 % (41,0 %)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del capital empleado Core (ROCE)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empleado Core medio de 124,8 M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juegos de mesa de aficionado (hobby games): juegos de cartas coleccionables, miniaturas, juegos de tablero y de rol vendidos sobre todo en tiendas especializadas. Games Workshop compite en el subsegmento de miniaturas de batalla, que ninguna fuente pública mide por separado. Se usan dos fuentes: ICv2, que mide el mercado de EE. UU. y Canadá en el canal especializado (3.660 M USD en 2025), y Arizton, que estima el mercado mundial de juegos de mesa en sentido amplio, incluidos los de gran consumo (19.500 M USD en 2024) [29, 32]. La serie usa ICv2; en 2025 ICv2 quitó el micromecenazgo y unió juegos de tablero y de cartas, así que 2025 no es comparable con los años anteriores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3.660 M USD en 2025 en EE. UU. y Canadá (ICv2, canal especializado) [29]; ≈ 19.500 M USD en 2024 a escala mundial con todos los juegos de mesa (Arizton) [32].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ercado de juegos de aficionado de EE. UU. y Canadá, ICv2))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Cartas coleccionables y comunidad presencial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EE. UU. y Canadá creció un 40 % en 2025 hasta 3.660 M USD; las cartas coleccionables ya son dos tercios del total y miniaturas, tablero y rol estuvieron planos o crecieron poco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Exposición de la marca en pantalla (videojuegos, series)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Space Marine 2 y el episodio de Secret Level llevaron más visitantes a las tiendas de Games Workshop en 2024/25 [17]; acuerdo con Amazon para cine y series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geográfica del aficionado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Tiendas independientes que venden Warhammer: 9.100 en 71 países en el FY2026 frente a 8.100 un año antes; 42 aperturas y unas 30 previstas en 2026/27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anuales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media de precios de Games Workshop del 2-6 % anual entre el FY2022 y el FY2026, con ventas core al alza todos los años [3, 4, 5,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costes de envase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Games Workshop pagó c. 12 M GBP de aranceles nuevos en el FY2026 (recuperó 7,8 M GBP tras la sentencia del Tribunal Supremo) y prevé c. 13 M GBP en 2026/27 [18]. ICv2 señala que los aranceles frenaron sobre todo el suministro de tablero y miniaturas en 2025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discrecional en juguetes de gran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del segmento de productos de consumo de Hasbro cayeron un 4,2 % en 2025 y las de Spin Master un 6,6 %, con deterioros de fondo de comercio en ambas [22,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miniaturas de fantasía Games Workshop no tiene rival de tamaño comparable: se define como la mayor empresa de miniaturas para aficionados del mundo [19] y sus 626,8 M GBP de ventas core equivalen a c. 844 M USD, frente a un canal especializado de EE. UU. y Canadá de 3.660 M USD con todas las categorías [18, 29]. La rivalidad real es por el tiempo y el dinero del aficionado frente a las cartas coleccionables (dos tercios del canal en 2025)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9.100 tiendas independientes compran con condiciones fijadas por Games Workshop, que vende además directamente por tiendas propias y en línea (35 % de las ventas core)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 en sus propias plantas; la materia prima clave es el plástico, que no cubre con derivados y del que ha asegurado más de lo necesario para 2026/27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la propiedad intelectual propia de más de 40 años, los moldes de inyección (7,6 M GBP de inversión en el FY2026) y la red de 598 tiendas [18, 21]. El micromecenazgo permite entrar a editores pequeños: 220 M USD de aportaciones a juegos de mesa en Kickstarter en 2024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 por el ocio con videojuegos y cartas coleccionables; las cartas crecieron con fuerza en 2025 mientras las miniaturas estaban planas o crecían poco [29]. Los propios videojuegos de Warhammer actúan más como complemento que como sustituto [17].</w:t>
            </w:r>
          </w:p>
        </w:tc>
      </w:tr>
    </w:tbl>
    <w:p>
      <w:pPr>
        <w:spacing w:after="160" w:before="0"/>
      </w:pPr>
    </w:p>
    <w:p>
      <w:pPr>
        <w:pStyle w:val="Heading2"/>
      </w:pPr>
      <w:r>
        <w:t xml:space="preserve">Ciclo</w:t>
      </w:r>
    </w:p>
    <w:p>
      <w:pPr>
        <w:spacing w:after="100"/>
      </w:pPr>
      <w:r>
        <w:t xml:space="preserve">El canal de juegos de aficionado de EE. UU. y Canadá estuvo plano entre 2022 y 2024 (2.860, 2.890 y 2.840 M USD) y creció un 40 % en 2025, con el canal especializado subiendo por decimoséptimo año seguido [29, 30, 31]. Games Workshop creció en ventas core en 102 de los 120 meses de los diez años hasta mayo de 2026 [18]. En 2020 cerró todo el negocio el 24 de marzo y estima que solo perdió unas seis semanas de ventas [7]. En 2022, con la inflación, subió precios c. 5 % y las ventas core crecieron de 353,2 a 386,8 M GBP [5]. No hay datos comparables del sector para 2008-09.</w:t>
      </w:r>
    </w:p>
    <w:p>
      <w:pPr>
        <w:pStyle w:val="Heading2"/>
      </w:pPr>
      <w:r>
        <w:t xml:space="preserve">Regulación</w:t>
      </w:r>
    </w:p>
    <w:p>
      <w:pPr>
        <w:spacing w:after="100"/>
      </w:pPr>
      <w:r>
        <w:t xml:space="preserve">Lo que más pesa en las cifras son los aranceles de EE. UU.: Games Workshop pagó c. 12 M GBP en el FY2026, recuperó 7,8 M GBP de los aranceles recíprocos (IEEPA) tras la sentencia del Tribunal Supremo y paga desde febrero de 2026 los de la Sección 122, con c. 13 M GBP previstos en 2026/27 [18]. Varios países han ampliado la regulación de envases, con más impuestos sobre ellos [18]. En el Reino Unido, el salario mínimo marca el suelo salarial: la empresa paga 13,14 GBP por hora desde 2026/27 [18]. La protección de la propiedad intelectual frente a copias y falsificaciones es la otra norma clave para el negocio [18].</w:t>
      </w:r>
    </w:p>
    <w:p>
      <w:pPr>
        <w:pStyle w:val="Heading2"/>
      </w:pPr>
      <w:r>
        <w:t xml:space="preserve">Tendencias y disrupción</w:t>
      </w:r>
    </w:p>
    <w:p>
      <w:pPr>
        <w:spacing w:after="100"/>
      </w:pPr>
      <w:r>
        <w:t xml:space="preserve">Tres tendencias. Primera, el auge de las cartas coleccionables, con licencias cruzadas (Final Fantasy, Spider-Man en Magic) que llevaron al segmento de Wizards of the Coast a crecer un 44,7 % en 2025 [22, 29]: compite por el gasto del mismo aficionado. Segunda, la llegada de las marcas de juegos de mesa a pantalla: Space Marine 2, Secret Level y el acuerdo con Amazon amplían el público de Warhammer [17, 18]. Tercera, la inteligencia artificial: Games Workshop no la usa en diseño ni en la creación de su propiedad intelectual para proteger su titularidad [18]. La impresión 3D doméstica es la amenaza tecnológica más citada para un fabricante de miniaturas, sin cifras públicas fiables.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miniaturas de fantasía para aficionados; c. 4 % del mercado mundial de juegos de mesa en sentido amplio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Hasbro (grupo)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4.701,3 M USD en 2025; el beneficio de explotación de 11,1 M USD incluye un deterioro de 1.021,9 M USD del fondo de comercio de productos de consumo (sin él, margen del 22,0 %) [22]. Juguetes de gran consumo y juegos clásicos; su negocio de aficionado está en Wizards of the Coast.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Wizards of the Coast and Digital Gaming (Hasbro)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Hasbro: 2.186,9 M USD en 2025 (+44,7 %), de ellos 1.686,6 M USD de juegos de mesa (Magic: The Gathering, Dungeons &amp; Dragons) y beneficio de 1.006,8 M USD [22]. El rival más parecido en modelo: propiedad intelectual propia, aficionado adulto y márgenes altos; compite por el gasto en el mismo canal de tiendas especializadas.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Asmodee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 / 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ASMDEE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1.683,6 M EUR en 2025/26 (+23,0 %, +25,9 % orgánico) y EBIT de 167,6 M EUR con un deterioro de 26,9 M EUR (EBIT ajustado del 15,3 %) [24]. Editor y distribuidor de juegos de tablero y cartas que crece por compras; distribuye producto de terceros, de ahí su menor margen.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5.347,6 M USD en 2025 y beneficio de explotación de 546,4 M USD [23]. Juguetes de gran consumo (Barbie, Hot Wheels) y juegos de cartas familiares; compite con Games Workshop por el gasto en ocio más que por el aficionado.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Spin Master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2.112,9 M USD en 2025 (−6,6 %) y pérdida de explotación de 87,2 M USD por 250,4 M USD de deterioros (sin ellos, margen del 7,7 %) [25]. Juguetes infantiles, juegos de tablero de gran consumo y videojuegos.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Embracer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EMBRAC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15.906 M SEK en 2025/26 y EBIT de −7.053 M SEK por deterioros; EBIT ajustado de 905 M SEK [26]. Tras escindir Asmodee y Coffee Stain, se centra en videojuegos y controla los derechos de El Señor de los Anillos a través de Middle-earth Enterprises [26]; esa marca es la única licencia de terceros de Games Workshop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Bandai Namco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7832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1.348.246 M JPY y beneficio de explotación de 189.517 M JPY en el ejercicio a marzo de 2026 (normas japonesas) [27]. Su segmento de juguetes y aficiones (maquetas Gunpla, figuras, cartas) vendió 673.968 M JPY con un margen del 18,8 % [28]: el comparable más cercano en modelos de plástico para coleccionistas adultos.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juego es presencial: hace falta un rival con su propio ejército, y Games Workshop apoya a más de 2.000 clubes y organizadores y a 598 tiendas que enseñan a jugar [2]. Cuantos más jugadores locales, más valor para el siguiente.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aficionado invierte años y dinero en ejércitos montados y pintados que solo sirven con las reglas de Warhammer; el 65 % de las ventas core pasa por 9.100 tiendas que dependen de la gama de la casa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intelectual propia de más de 40 años, defendida frente a imitadores [5]; Amazon la ha licenciado para cine y series y los videojuegos generan royalties durante años [2]. Subidas de precio del 2-6 % anual con más volumen y margen bruto core del 71,1 % [2, 6,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Nottingham con 57 máquinas de inyección; el margen bruto core sube por volumen y menor coste unitario de material (69,5 % a 71,1 % en el FY2026) [2]. No tiene ventaja de escala frente a Hasbro o Bandai Namco en compras.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de alto coste de entrada (moldes, estudio de c. 460 personas, catálogo de décadas) donde un segundo fabricante de su tamaño no cabe; margen de explotación del 36-42 % entre el FY2022 y el FY2026 frente a un 10 % de Asmodee y Mattel [2, 11, 12].</w:t>
            </w:r>
          </w:p>
        </w:tc>
      </w:tr>
    </w:tbl>
    <w:p>
      <w:pPr>
        <w:spacing w:after="160" w:before="0"/>
      </w:pPr>
    </w:p>
    <w:p>
      <w:pPr>
        <w:pStyle w:val="Heading2"/>
      </w:pPr>
      <w:r>
        <w:t xml:space="preserve">Amenazas</w:t>
      </w:r>
    </w:p>
    <w:p>
      <w:pPr>
        <w:spacing w:after="100"/>
      </w:pPr>
      <w:r>
        <w:t xml:space="preserve">Cuatro amenazas, de más a menos probable. La primera, que una mala ejecución desgaste la confianza del aficionado: subidas de precio por encima del valor percibido o tiendas que rinden poco, algo que la propia empresa reconoce en parte de su red [18]. La segunda, la impresión 3D doméstica de miniaturas, que abarata la copia; la empresa defiende su propiedad intelectual con firmeza [21]. La tercera, la competencia por el gasto del aficionado de las cartas coleccionables, que en 2025 ya eran dos tercios del canal especializado de EE. UU. y Canadá [29]. La cuarta, la dependencia de terceros en licencias: los royalties cayeron de 52,5 a 32,9 M GBP sin un éxito como Space Marine 2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FY2017-FY2026: ingresos </w:t>
      </w:r>
      <w:r>
        <w:rPr>
          <w:b/>
          <w:bCs/>
        </w:rPr>
        <w:t xml:space="preserve">16,6 %</w:t>
      </w:r>
      <w:r>
        <w:t xml:space="preserve">, EBITDA </w:t>
      </w:r>
      <w:r>
        <w:rPr>
          <w:b/>
          <w:bCs/>
        </w:rPr>
        <w:t xml:space="preserve">23,4 %</w:t>
      </w:r>
      <w:r>
        <w:t xml:space="preserve">, BPA </w:t>
      </w:r>
      <w:r>
        <w:rPr>
          <w:b/>
          <w:bCs/>
        </w:rPr>
        <w:t xml:space="preserve">23,3 %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Games Workshop ha pasado de 165,6 M GBP de ingresos en el FY2017 a 659,7 M GBP en el FY2026, todo crecimiento orgánico: no ha hecho compras en el periodo [1, 2, 3, 4, 5, 6, 7, 8]. El beneficio operativo pasó de 38,3 M a 275,0 M y el margen operativo del 23,1 % al 41,7 % [1, 8]. El negocio principal (Core) creció un 10,9 % en el FY2026, hasta 626,8 M GBP (12,2 % a tipo de cambio constante), con un margen operativo del 39,1 % (37,5 % en el FY2025) [1]. Las licencias cayeron de 52,5 M a 32,9 M tras el pico del FY2025 por el lanzamiento de Space Marine 2 [1, 2]. El margen bruto Core subió del 69,5 % al 71,1 % en el FY2026 [1, 2]. Años no comparables: el FY2018 y el FY2024 tienen 53 semanas [3, 8]; el FY2020 incluye el cierre de tiendas por la covid y es el primer año con NIIF 16 (el FY2017-FY2019 no la aplican) [7]; el FY2021 y el FY2022 llevan pagos discrecionales al personal (10,6 M en el FY2021) [5, 6].</w:t>
      </w:r>
    </w:p>
    <w:p>
      <w:pPr>
        <w:pStyle w:val="Heading2"/>
      </w:pPr>
      <w:r>
        <w:t xml:space="preserve">Ajustes y partidas no recurrentes</w:t>
      </w:r>
    </w:p>
    <w:p>
      <w:pPr>
        <w:spacing w:after="100"/>
      </w:pPr>
      <w:r>
        <w:t xml:space="preserve">Se usan cifras reportadas. Hasta el FY2020 las regalías se presentaban como otros ingresos de explotación, fuera de la cifra de negocio; la empresa las pasó a ingresos de licencias desde el FY2022 y reexpresó el FY2021 [5]. Para que la serie sea homogénea, los ingresos del FY2017-FY2020 suman a la cifra de negocio publicada las regalías (7,5; 9,9; 11,3 y 16,8 M GBP) [7, 8]; el beneficio operativo no cambia. El EBITDA es el beneficio operativo más depreciación, amortización y deterioros (incluida la depreciación de derechos de uso desde el FY2020). Los ingresos de licencias incluyen importes fijos de garantías mínimas reconocidos al firmar contratos plurianuales (2,5 M en el FY2026 frente a 11,1 M en el FY2025) y no son recurrentes [1]. Los dividendos no se clasifican como ordinarios o extraordinarios: la empresa reparte la caja sobrante sin política progresiva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Games Workshop no publica transcripciones de conferencias con analistas; los mensajes de la dirección salen de los comunicados de resultados. En el 1S26 (13 de enero de 2026) el consejero delegado, Kevin Rountree, habló de un semestre récord: ingresos Core de 316,1 M GBP (+17,3 %) y licencias de 16,0 M (30,1 M un año antes) [9]. Cifró en c. 6 M GBP el coste de los nuevos aranceles de EE. UU. en el semestre, compensado en el margen bruto por eficiencias, subidas de precio de c. 3,5 % en miniaturas y libros y menores bajas de existencias [9]. En los resultados del FY2026 (28 de julio de 2026) el tono pasa del récord a la cautela sobre licencias: los ingresos de licencias cayeron a 32,9 M tras el pico de Space Marine 2, dos licenciatarios no renovaron y la dirección insiste en que el éxito de las licencias está «broadly out of our control» [1]. Reclamó 7,8 M GBP de aranceles IEEPA tras la sentencia del Tribunal Supremo de EE. UU. y estima c. 13 M GBP de aranceles nuevos para el FY2027 [1]. Sobre Amazon solo confirma que el proyecto avanza según el contrato, que le impide dar detalles comerciales [1]. Los avances del 20 de noviembre de 2025 y del 22 de mayo de 2026 anticiparon ingresos Core de al menos 310 M y 625 M GBP [14,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(FY2020: el activo total crece un 51 % y los ingresos un 7 %).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se ha triplicado desde el FY2020 sin deuda: el activo total pasó de 207,6 M a 466,6 M GBP y la caja de 52,9 M a 182,9 M [1, 6]. La empresa fija un colchón de caja de tres meses de circulante e impuestos (120 M GBP en el FY2026) más la inversión planificada antes de declarar dividendos, así que la caja oscila con el calendario de repartos: en abril de 2026 (y en abril de 2025) aplazó dividendos que habrían caído a caballo del cierre [1]. Las existencias subieron de 39,7 M a 46,5 M en el FY2026, con la provisión de obsolescencia al 12,0 % del stock bruto (10,6 %) [1]. Proveedores y otras cuentas a pagar subieron 14,8 M por el cambio de calendario del reparto de beneficios al personal (9,7 M) [1]. Cuentas a cobrar incluyen 6,8 M de aranceles recíprocos IEEPA de EE. UU. pendientes de devolución tras la sentencia del Tribunal Supremo [1]. El FY2017-FY2019 no aplica NIIF 16 y el FY2020 aplica NIIF 16 por primera vez (balance reexpresado en el informe del FY2021) [6,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1.067</w:t>
      </w:r>
      <w:r>
        <w:t xml:space="preserve">, conversión </w:t>
      </w:r>
      <w:r>
        <w:rPr>
          <w:b/>
          <w:bCs/>
        </w:rPr>
        <w:t xml:space="preserve">92 %</w:t>
      </w:r>
      <w:r>
        <w:t xml:space="preserve"> del beneficio neto; adquisiciones 0, dividendos 920, recompras 0.</w:t>
      </w:r>
    </w:p>
    <w:p>
      <w:pPr>
        <w:spacing w:after="100"/>
      </w:pPr>
      <w:r>
        <w:t xml:space="preserve">La conversión de beneficio en caja es alta y estable: en el FY2026 el flujo operativo (tras impuestos) fue de 267,7 M GBP frente a un beneficio neto de 206,0 M, y la inversión en caja de 49,4 M (32,0 M de inmovilizado material, 17,0 M de desarrollo de producto capitalizado y 0,4 M de otros intangibles) [1]. El FY2022 es el año anómalo: el flujo operativo bajó a 121,5 M (132,7 M en el FY2021) porque el circulante absorbió 12,2 M en existencias y 21,5 M en deudores [5]. La empresa no separa capex de mantenimiento y de crecimiento, pero señala como no recurrentes la Factory 4 (9,9 M en el FY2026), el nuevo Warhammer World de EE. UU. y el almacén de Sawley; para el FY2026/27 prevé unos 8 M más de inversión [1]. El capex de caja no recoge las tiendas en alquiler: las altas de derechos de uso fueron 23,6 M en el FY2026 y 9,9-23,0 M al año desde el FY2021 [1, 2, 3, 4, 5, 6]. Los dividendos absorben casi todo el flujo libre: 160,1 M en el FY2026 y 171,4 M en el FY2025 [1,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el grupo desde el FY2022, tras un concurso en el FY2021 ratificado en la junta de 2021 [16]. El comité de auditoría declara que no hay fuentes importantes de incertidumbre en las estimaciones ni juicios significativos; KPMG señala como cuestiones clave el reconocimiento de ingresos Core y la recuperabilidad de las participaciones de la matriz [16]. Los honorarios por otros servicios fueron de 3.500 GBP [16]. Hay tres partidas a vigilar. Primera, la capitalización del desarrollo de producto: 17,0 M pagados en el FY2026 frente a 14,7 M de amortización, una diferencia pequeña [1]. Segunda, las licencias: los importes fijos de contratos plurianuales se reconocen al firmar a valor razonable aunque se cobren durante años (2,5 M en el FY2026, 11,1 M en el FY2025), y la caja cobrada difiere del ingreso (42,9 M frente a 32,9 M) [1]. Tercera, el FY2026 incluye 7,8 M de recuperación de aranceles IEEPA, de los que 6,8 M estaban pendientes de cobro al cierre [1]. La remuneración en acciones es baja (4,0 M, 1,9 % del beneficio neto) [1]. El tipo impositivo efectivo (25,3 %) está en línea con el británico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licencias con garantías mínimas reconocidas por adelantado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fijos de 2,5 M (FY2026) y 11,1 M (FY2025); cuentas a cobrar de licencias de 15,5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aranceles reconocida antes de cobrarse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 M en el FY2026, 6,8 M cobrados después del cierre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 de producto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17,0 M frente a amortización de 14,7 M y deterioros puntuales (1,2 M en el FY2025, 2,6 M en el FY2024)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ilícito del FY2017 regularizado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Rectificado en el FY2018 con un dividendo de 1,9 M (6 peniques); desde entonces la empresa deposita cuentas intermedias de la matriz en Companies House para justificar las reservas distribuibles (tres veces en el FY2026) [1, 8].</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112,2 % · </w:t>
      </w:r>
      <w:r>
        <w:rPr>
          <w:b/>
          <w:bCs/>
        </w:rPr>
        <w:t xml:space="preserve">WACC</w:t>
      </w:r>
      <w:r>
        <w:t xml:space="preserve">: 10,8 %.</w:t>
      </w:r>
    </w:p>
    <w:p>
      <w:pPr>
        <w:spacing w:after="100"/>
      </w:pPr>
      <w:r>
        <w:t xml:space="preserve">Games Workshop publica su propia rentabilidad del capital empleado en el negocio Core: 196 % en el FY2026, frente a 191 % en el FY2025, 176 % en el FY2024, 133 % en el FY2023 y 118 % en el FY2022 [1, 2, 3, 4]. El capital empleado Core medio fue de solo 124,8 M GBP frente a 245,1 M de beneficio operativo Core [1]. La rentabilidad viene de un margen operativo cercano al 40 % y de un capital mínimo: sin deuda, existencias de 46,5 M y un inmovilizado de 80,1 M más 54,2 M de derechos de uso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may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182,9 M GBP a 31 de mayo de 2026 (132,6 M un año antes), sin deuda financiera; la empresa se financia solo con su flujo de caja libre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ni covenants: «The Group has no external borrowings» [1]. El único pasivo de tipo deuda son los arrendamientos (NIIF 16): 56,0 M GBP a 31 de mayo de 2026 (11,6 M a corto y 44,4 M a largo), con un aumento de 10,8 M en el año por el nuevo Warhammer World de EE. UU. (4,6 M), la revisión de renta del almacén de East Midlands Gateway (3,2 M) y tiendas nuevas [1]. Hay además 28,4 M GBP de compromisos de arrendamiento firmados sobre activos aún no entregados, frente a menos de 0,1 M un año antes [1]. Compromisos de inversión contratados de 9,5 M y de compra de existencias de 10,7 M [1]. Provisiones pequeñas: 3,3 M (2,8 M de prestaciones al personal y 0,5 M de inmuebles) [1]. No consta plan de pensiones de prestación definida en las cuentas consultadas. Cuentas por cobrar de licencias: 15,5 M (24,3 M en el FY2025), de las que 11,5 M vencen en el próximo año [1].</w:t>
      </w:r>
    </w:p>
    <w:p>
      <w:pPr>
        <w:pStyle w:val="Heading1"/>
      </w:pPr>
      <w:r>
        <w:t xml:space="preserve">12. Asignación de capital</w:t>
      </w:r>
    </w:p>
    <w:p>
      <w:pPr>
        <w:pStyle w:val="Confianza"/>
        <w:spacing w:after="100"/>
      </w:pPr>
      <w:r>
        <w:t xml:space="preserve">Confianza: Alta</w:t>
      </w:r>
    </w:p>
    <w:p>
      <w:pPr>
        <w:spacing w:after="100"/>
      </w:pPr>
      <w:r>
        <w:t xml:space="preserve">La empresa reparte como dividendo toda la caja que considera sobrante, sin política progresiva ni recompras ni deuda: «We could add all sorts of financial treasury policies e.g. share buybacks, progressive dividends, forex hedging, but we won't» [1]. Antes de declarar, aparta un colchón de tres meses de circulante e impuestos (120 M GBP en el FY2026), la inversión planificada superior a 1 M y los pagos al personal [1]. Declara y paga los dividendos dentro del mismo ejercicio; en abril de 2025 y abril de 2026 aplazó repartos que habrían quedado a caballo del cierre [1]. Declara no tener intención de comprar ni vender empresas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En diez ejercicios la empresa no ha hecho compras ni recompras: del FY2017 al FY2026 pagó 920,3 M GBP en dividendos e invirtió unos 295,0 M en capex de caja [1, 2, 3, 4, 5, 6, 7, 8]. El dividendo por acción declarado pasó de 0,74 GBP en el FY2017 a 4,85 GBP en el FY2026, con 5,20 GBP en el FY2025 por las licencias de Space Marine 2 [1, 2, 8]. La dilución es baja: las acciones diluidas medias subieron de 32,3 M a 33,1 M en diez años, por el plan de ahorro en acciones para empleados [1, 8]. El reparto de beneficios al personal (17,6 M en el FY2026) es otra salida de caja sobrante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Rountree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1998 como contable del grupo; director financiero desde octubre de 2008, director de operaciones desde 2011 y consejero delegado desde el 1 de enero de 2015 [18]. Con él, los ingresos del negocio principal pasaron de 445,4 M GBP en 2022/23 a 626,8 M GBP en 2025/26 y el beneficio antes de impuestos de 170,6 M a 275,7 M GBP [1, 4]. Tiene 24.472 acciones tras la compra de agosto de 2026, el 594 % de su salario a 31-may-2026 frente al mínimo exigido del 200 % [18,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(Liz) Harrison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(Group Finance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marzo de 2000 (finanzas de la filial alemana, análisis de negocio) y responsable de información financiera del grupo desde 2013; directora financiera y consejera desde el 18 de septiembre de 2024, en sustitución de Rachel Tongue [18, 38]. Censora jurada formada en Coopers and Lybrand [18]. Tiene 2.421 acciones (96 % de su salario a 31-may-2026, frente a un objetivo del 200 % en cinco años) [18,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Neil Tomlinson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febrero de 2018 como jefe de planificación de mercancía, tras pasar por J Sainsbury y ASDA Walmart; consejero como Group Operations Director desde el 2 de junio de 2025 y COO desde el 31 de mayo de 2026, con responsabilidad sobre los estudios de diseño y toda la cadena de diseño a fabricación [18, 45, 49]. Su primera compra de acciones (528) fue en agosto de 2026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desde abril de 2023 y presidente desde el 1 de noviembre de 2024, en sustitución de John Brewis [18, 42]. Fue director de tecnología e información de Openreach y directivo de BT Group; preside el Royal Free London NHS Foundation Trust y es consejero de Lowland Investment Company [18]. Tiene 311 acciones [52].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Max Bottrill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operativo de propiedad intelectual y diseño (fuera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julio de 1996, empezando en el departamento legal y de licencias; consejero como Group Product Director del 1 de diciembre de 2025 al 31 de mayo de 2026 y desde entonces reporta al COO [18, 47, 49]. Tenía 3.602 acciones a 31-may-2026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Ross Matthews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y secretario del consejo (General Counsel &amp; Group Company Secretary)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como secretario del consejo todos los comunicados de gobierno de 2024-2026 y, con el título de General Counsel, la junta de marzo de 2026 [40, 49].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14-jun-2023: ingresos del negocio principal no inferiores a 440 M GBP, licencias de 25 M y beneficio antes de impuestos no inferior a 170 M GBP [64].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negocio principal de 445,4 M, licencias de 25,4 M y beneficio antes de impuestos de 170,6 M GBP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19-jun-2024: ingresos del negocio principal no inferiores a 490 M GBP, licencias de 30 M y beneficio antes de impuestos no inferior a 200 M GBP [65].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negocio principal de 494,7 M, licencias de 31,0 M y beneficio antes de impuestos de 203,0 M GBP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23-may-2025: ingresos del negocio principal no inferiores a 560 M GBP, licencias de c. 50 M y beneficio antes de impuestos no inferior a 255 M GBP; avisó de que las licencias récord no se repetirían en 2025/26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negocio principal de 565,0 M, licencias de 52,5 M y beneficio antes de impuestos de 262,8 M GBP [2]; en 2025/26 las licencias bajaron a 32,9 M GBP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1S26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20-nov-2025: ingresos del negocio principal no inferiores a 310 M GBP, licencias no inferiores a 16 M y beneficio antes de impuestos no inferior a 135 M GBP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negocio principal de 316,1 M, licencias de 16,0 M y beneficio antes de impuestos de 140,8 M GBP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del 22-may-2026: ingresos del negocio principal no inferiores a 625 M GBP, licencias no inferiores a 30 M y beneficio antes de impuestos no inferior a 265 M GBP [14]. En el informe de 2024/25 estimó un coste de los aranceles de EE. UU. de c. 12 M GBP para 2025/26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del negocio principal de 626,8 M, licencias de 32,9 M y beneficio antes de impuestos de 275,7 M GBP [1, 18]; los aranceles costaron c. 6,0 M GBP en el primer semestre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Games Workshop no publica previsiones anuales ni plan a medio plazo: solo avances de cierre («no inferior a…») poco antes de acabar el periodo, y los cinco últimos se cumplieron por poco, entre 0,6 y 10,7 M GBP de beneficio antes de impuestos [1, 2, 3, 4, 9, 14, 15, 64, 65, 66]. Kevin Rountree lleva 28 años en la casa y es consejero delegado desde 2015 [18]. Toda la cúpula ejecutiva sale de la promoción interna: la directora financiera desde 2024, tras la salida de Rachel Tongue, y el COO desde mayo de 2026 [18, 38, 49]. En 24 meses cambió el presidente y entraron o salieron otros seis consejeros [42, 43, 44, 45, 46, 47, 48, 49]. La empresa llama a la sucesión un riesgo y anuncia cambios organizativos en 2026/27 para prepararla, sin nombrar sucesor del consejero delegado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Rountree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Harrison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Neil Tomlinson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Randal Casson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Remuneración (presidente),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Maugein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Nilufer Kheraj</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Remuneración,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0,67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2.845.495 acciones a 30-jun-2026; primer accionista según el informe anual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TR-1, bajó del 9,98 % al 4,97 % el 19-may-2025, subió al 5,05 % el 7-nov-2025 y bajó al 4,999 % el 6-jul-2026 [59, 60, 61]; el 6,86 % es la cifra del informe anual a 30-jun-2026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y sale del umbral del 5 % de derechos de voto (acciones e instrumentos) en junio y julio de 2026; último aviso: 5,00 % (4,82 % en acciones y 0,18 % en instrumentos) a 7-jul-2026 [62, 63]. El informe anual da el 6,76 % a 30-jun-2026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avisos TR-1 en 12 meses [18, 67].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avisos TR-1 en 12 meses [18, 67].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 Morgan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Lindsell Train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Aberdeen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Dimensional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NBIM (fondo soberano de Noruega)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en autocartera; no se recompraron acciones con la autorización de la junta de 2025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Lam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Liz Harrison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Neil Tomlinson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2,31 M GBP en 2025/26, con 1,5 M de bonus, el 200 % del salario y el máximo de la política [18]. El bonus es discrecional, con cuatro métricas sin pesos ni objetivos previos (ventas y margen del negocio principal, beneficio operativo y antes de impuestos), y se pagó al máximo los tres últimos años [18]. El incentivo trienal depende del BPA diluido: 25 % del máximo con un 14 % de crecimiento desde 2023/24 y 100 % con un 24 % [18]. Las acciones restringidas de mayo de 2025 (2,17 M GBP) no tienen condiciones [18]. Hay recuperación de dos años e indemnización de 12 meses [18]. </w:t>
      </w:r>
      <w:r>
        <w:rPr>
          <w:b/>
        </w:rPr>
        <w:t xml:space="preserve">El voto en contra superó el 20 %</w:t>
      </w:r>
      <w:r>
        <w:t xml:space="preserve"> en 2024 (26,76 % la política) y en mayo de 2025 (29,30 % la política y 35,57 % el plan de acciones) [17, 38, 39].</w:t>
      </w:r>
    </w:p>
    <w:p>
      <w:pPr>
        <w:pStyle w:val="Heading2"/>
      </w:pPr>
      <w:r>
        <w:t xml:space="preserve">Operaciones vinculadas, estructura de control y defensas</w:t>
      </w:r>
    </w:p>
    <w:p>
      <w:pPr>
        <w:spacing w:after="100"/>
      </w:pPr>
      <w:r>
        <w:t xml:space="preserve">No hay accionista de control: el primero, Fidelity, tiene el 8,61 % y los diez mayores suman el 42,8 %, todos gestoras institucionales y un fondo soberano [18]. Hay una sola clase de acciones con un voto por acción, sin límites de voto, sin restricciones a la transmisión y sin acciones de oro [18]. Ningún contrato de consejero o empleado prevé indemnizaciones por cambio de control, salvo el ejercicio anticipado del plan de ahorro en acciones y de los premios de «good leaver» [18]. La única operación vinculada de 2025/26 es una garantía mínima de 0,2 M GBP en una licencia de videojuegos con Devolver Digital, que preside Kate Marsh, entonces consejera [18]. La empresa no tiene autocartera y no ha recomprado acciones [18]. La participación en las juntas ronda el 70-73 % del capital [36, 37, 38].</w:t>
      </w:r>
    </w:p>
    <w:p>
      <w:pPr>
        <w:pStyle w:val="Heading2"/>
      </w:pPr>
      <w:r>
        <w:t xml:space="preserve">Señales de alerta</w:t>
      </w:r>
    </w:p>
    <w:p>
      <w:pPr>
        <w:pStyle w:val="ListParagraph"/>
        <w:numPr>
          <w:ilvl w:val="0"/>
          <w:numId w:val="2"/>
        </w:numPr>
        <w:spacing w:after="60"/>
      </w:pPr>
      <w:r>
        <w:t xml:space="preserve">Durante años se pagaron a los consejeros no ejecutivos honorarios por encima del límite de los estatutos; la junta general del 5-mar-2026 lo ratificó con el 99,34 % y aprobó nuevos estatutos con el 99,57 % [18, 40, 41].</w:t>
      </w:r>
    </w:p>
    <w:p>
      <w:pPr>
        <w:pStyle w:val="ListParagraph"/>
        <w:numPr>
          <w:ilvl w:val="0"/>
          <w:numId w:val="2"/>
        </w:numPr>
        <w:spacing w:after="60"/>
      </w:pPr>
      <w:r>
        <w:t xml:space="preserve">La política de remuneración vigente se aprobó el 15-may-2025 con el 29,30 % en contra y el plan de acciones de 2025 con el 35,57 % en contra; en la junta de 2024 el informe tuvo el 20,92 % en contra y la política el 26,76 % [38, 39].</w:t>
      </w:r>
    </w:p>
    <w:p>
      <w:pPr>
        <w:pStyle w:val="ListParagraph"/>
        <w:numPr>
          <w:ilvl w:val="0"/>
          <w:numId w:val="2"/>
        </w:numPr>
        <w:spacing w:after="60"/>
      </w:pPr>
      <w:r>
        <w:t xml:space="preserve">La concesión única de acciones restringidas al consejero delegado (14.178 acciones, 2,17 M GBP, mayo de 2025) no tiene condiciones de rendimiento, y su periodo de tenencia incumple la disposición 36 del Código de Gobierno del Reino Unido, según reconoce la propia empresa [18].</w:t>
      </w:r>
    </w:p>
    <w:p>
      <w:pPr>
        <w:pStyle w:val="ListParagraph"/>
        <w:numPr>
          <w:ilvl w:val="0"/>
          <w:numId w:val="2"/>
        </w:numPr>
        <w:spacing w:after="60"/>
      </w:pPr>
      <w:r>
        <w:t xml:space="preserve">El presidente, Mark Lam, recibió el 15,67 % de votos en contra en su reelección de 2026 y el 12,43 % en la de 2025, el peor resultado del consejo [36, 37].</w:t>
      </w:r>
    </w:p>
    <w:p>
      <w:pPr>
        <w:pStyle w:val="ListParagraph"/>
        <w:numPr>
          <w:ilvl w:val="0"/>
          <w:numId w:val="2"/>
        </w:numPr>
        <w:spacing w:after="60"/>
      </w:pPr>
      <w:r>
        <w:t xml:space="preserve">Randal Casson acumula la coordinación de los independientes y las presidencias de las comisiones de auditoría y de remuneración, y ha entrado en dos consejos más (The Smarter Web Company en octubre de 2025 y Future PLC en agosto de 2026) [18, 68].</w:t>
      </w:r>
    </w:p>
    <w:p>
      <w:pPr>
        <w:pStyle w:val="ListParagraph"/>
        <w:numPr>
          <w:ilvl w:val="0"/>
          <w:numId w:val="2"/>
        </w:numPr>
        <w:spacing w:after="60"/>
      </w:pPr>
      <w:r>
        <w:t xml:space="preserve">El incumplimiento de la disposición 11 del Código (al menos la mitad del consejo, sin contar al presidente, independiente) entre diciembre de 2025 y mayo de 2026 se resolvió sacando del consejo a un ejecutivo, no con un nuevo independiente [18, 49].</w:t>
      </w:r>
    </w:p>
    <w:p>
      <w:pPr>
        <w:pStyle w:val="ListParagraph"/>
        <w:numPr>
          <w:ilvl w:val="0"/>
          <w:numId w:val="2"/>
        </w:numPr>
        <w:spacing w:after="60"/>
      </w:pPr>
      <w:r>
        <w:t xml:space="preserve">El comunicado de 18-ago-2025 da a Kevin Rountree 19.724 acciones, cifra incompatible con las 21.965 del comunicado de 4-ago-2025 y con las 22.153 del de 7-oct-2025 [57,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Games Workshop no publica previsiones de ventas ni de beneficio. Su objetivo declarado es crecer en ventas manteniendo el margen operativo del negocio principal en los niveles actuales (39,1 % en FY2026; 41,9 % sin el reparto de beneficios a la plantilla) [1]. Para 2026/27 prevé abrir unas 30 tiendas en Norteamérica, Europa continental y Asia, que la mayor parte del crecimiento venga del canal de tiendas independientes y que el capex suba unos 8 M netos por el nuevo Warhammer World de EE. UU. y la nave logística de Sawley [1]. El 16-sep-2026 dijo que las ventas hasta el 30-ago-2026 iban en línea con lo que espera el consejo para el ejercicio [72]. En mayo de 2026 avanzó ventas del negocio principal de al menos 625 M y de licencias de al menos 30 M [14]; cerró con 626,8 M y 32,9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(3 analistas) [74]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(3 analistas) [74]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9-oct-2026 (3 analistas) [74]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220,00 – 221,50</w:t>
            </w:r>
          </w:p>
        </w:tc>
      </w:tr>
    </w:tbl>
    <w:p>
      <w:pPr>
        <w:spacing w:after="160" w:before="0"/>
      </w:pPr>
    </w:p>
    <w:p>
      <w:pPr>
        <w:pStyle w:val="Heading2"/>
      </w:pPr>
      <w:r>
        <w:t xml:space="preserve">Revisiones de estimaciones</w:t>
      </w:r>
    </w:p>
    <w:p>
      <w:pPr>
        <w:spacing w:after="100"/>
      </w:pPr>
      <w:r>
        <w:t xml:space="preserve">MarketScreener no publica en abierto la serie de revisiones, así que no se pueden dar los cambios a 3 y 12 meses [74]. Su consenso, de solo 3 analistas, es del negocio Core: 692,2 M de ingresos en FY2027e, un 10,4 % más que los 626,8 M del Core de FY2026, y un BPA de 6,02 GBP frente a 6,225 de FY2026, porque no cuenta las licencias (29,9 M de beneficio operativo en FY2026) [1, 74]. Stock Analysis, con 4 analistas, da 692,2 M de ventas y un BPA de 6,18 GBP [77]. Con unas licencias de ≈25 M, el grupo crecería un 8-9 % en FY2027 (estimación propia).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En diez años la acción ha subido un 40,4 % anual de precio, frente al 4,0 % del FTSE 100, con el salto de 2017 (+269 %) y 2019-2020 (+101 % y +84 %) [69]. La peor caída de los cinco últimos años fue del 46,1 %, entre octubre de 2021 y septiembre de 2022 [69]. En 2026 cae un 13,4 % mientras el FTSE 100 sube un 6,2 %: tocó máximo de 235,40 GBP el 25-jun-2026 y desde entonces ha perdido un 30 %, con caídas diarias del 3,8 % el 8-jul-2026 y del 6,2 % el 1-oct-2026 [69]. Los resultados de FY2026 mostraron licencias de 32,9 M frente a 52,5 M y un beneficio operativo que crece un 5,3 % [1]. La posición corta agregada notificada a la FCA ha subido del 0,9 % en junio al 1,23 % del capital el 6-oct-2026 [79, 80]. Las rentabilidades son de precio: la acción reparte en torno a un 3 % anual en dividendos que no están incluidos.</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 de cierre del último día hábil de mayo de cada año, en GBP [69]; el ejercicio de Games Workshop termina el domingo más cercano al 31 de mayo (31-may-2026, 1-jun-2025) [1]. La acción pasó de 9,34 GBP en mayo de 2017 a 198,60 GBP en mayo de 2026 [69], mientras el BPA diluido subió de 3,91 GBP en FY2022 a 6,23 GBP en FY2026 [1, 74]: con esos datos, el PER al cierre fue de 18,8x en FY2022 y de 31,9x en FY2026 (estimación propia: precio de cierre entre BPA del ejercicio). Al precio del corte, 163,90 GBP, el PER de FY2026 baja a 26,3x. El año de la caída de 2022 (subida de tipos y salida de las acciones de crecimiento) no se excluye: el beneficio no se hundió, bajó el múltiplo.</w:t>
      </w:r>
    </w:p>
    <w:p>
      <w:pPr>
        <w:pStyle w:val="Heading1"/>
      </w:pPr>
      <w:r>
        <w:t xml:space="preserve">18. Comparables cotizados</w:t>
      </w:r>
    </w:p>
    <w:p>
      <w:pPr>
        <w:pStyle w:val="Confianza"/>
        <w:spacing w:after="100"/>
      </w:pPr>
      <w:r>
        <w:t xml:space="preserve">Confianza: Media</w:t>
      </w:r>
    </w:p>
    <w:p>
      <w:pPr>
        <w:spacing w:after="100"/>
      </w:pPr>
      <w:r>
        <w:t xml:space="preserve">Ocho cotizadas que viven de propiedad intelectual de entretenimiento convertida en producto físico: juguetes y juegos (Hasbro con Wizards of the Coast, Mattel, Spin Master, Tomy, Funko), juegos de mesa y miniaturas (Asmodee) y licencias de personajes con margen alto (Bandai Namco, Sanrio). No hay ninguna cotizada pura de miniaturas de fantasía con fabricación propia y tiendas propias; Lego es privada. Se deja fuera Embracer porque está partida en varias escisiones y sus cifras no son comparables, y Nintendo porque su negocio es la consola.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Games Workshop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Hasbro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Spin Master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Funko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Asmodee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Bandai Namco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Tomy (Takara Tomy)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Sanrio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9,8x / 11,6x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10,7x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18,9x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4,6 + 0,62 × crecimiento; R² = 0,59. Para el crecimiento esperado de la empresa (5,2 %), el múltiplo ajustado es 7,8x y el valor por acción, 77,56.</w:t>
      </w:r>
    </w:p>
    <w:p>
      <w:pPr>
        <w:spacing w:after="100"/>
      </w:pPr>
      <w:r>
        <w:t xml:space="preserve">Ninguna comparable reúne a la vez el margen y la falta de deuda de Games Workshop: solo Sanrio, con un 41,6 % de margen EBITDA y caja neta, se le acerca, y es también la única que cotiza a un EV/EBITDA NTM parecido (13,7x) [81, 89]. Hasbro, con Wizards of the Coast, cotiza a 10,1x con 1,8 veces de deuda neta sobre EBITDA [82, 90]; Mattel, Spin Master y Funko, entre 4,4x y 7,6x, con márgenes del 3 al 17 % [83, 84, 85, 91, 92, 93]. Los juguetes masivos dependen de minoristas como Walmart y Target y de licencias de terceros; Games Workshop vende su propia propiedad intelectual por canales que controla. Los japoneses (Bandai Namco a 22,5x de PER y Tomy a 18,6x) cotizan con caja neta y crecimiento del 6-7 % [86, 87, 94, 95].</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Merlin Entertainments (parques y atracciones con marcas como LEGOLAND)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KIRKBI (dueña de LEGO), Blackstone y CPPIB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455 peniques por acción; valor empresa de 5.905 M GBP, 12,0 veces el EBITDA subyacente de 2018 (494 M), sobre unas ventas de 1.700 M GBP; prima del 36,8 % sobre el cierre sin afectar del 22-may-2019 [98].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Entertainment One (cine, televisión y marcas infantiles: Peppa Pig, PJ Masks)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Hasbro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en efectivo valorada en unos 3.300 M GBP (4.000 M USD), 5,60 GBP por acción, prima del 31 % sobre la media ponderada de 30 sesiones [99]. Múltiplos de estimación propia sobre ventas de 941,2 M GBP y EBITDA de 197,6 M GBP del ejercicio a marzo de 2019 que da el anuncio; la nota no dice si los 3.300 M incluyen la deuda neta.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Asmodee (editora y distribuidora de juegos de mesa)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Embracer Group (a PAI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inicial de unos 2.750 M EUR (2.342 M GBP al cambio del 15-dic-2021) y hasta 360 M EUR más en acciones; ventas proforma de 2021 de 1.100 M EUR y EBITDA ajustado de 240 M EUR [97, 100]. Múltiplos de estimación propia: la nota no los publica y el valor empresa incluiría además los minoritarios de Asmodee.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Melissa &amp; Doug (juguetes educativos para la primera infancia)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 Master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USD en efectivo (772 M GBP al cambio del 11-oct-2023) más un variable de hasta 150 M USD; 10,5 veces el EBITDA ajustado de 2022 (90,3 M USD) antes de sinergias y 8,1 veces con ellas; ventas de 2022 de 489 M USD [97,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Electronic Arts (videojuegos: EA Sports FC, Madden, Battlefield)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PIF, Silver Lake y Affinity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unos 55.000 M USD (40.987 M GBP al cambio del 29-sep-2025), 210 USD por acción, prima del 25 % sobre el precio sin afectar de 168,32 USD [97, 102]. Múltiplos de estimación propia sobre el ejercicio a marzo de 2025: ventas de 7.463 M USD y EBITDA de 1.876 M USD (beneficio operativo de 1.520 M más 356 M de amortizaciones) [103].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(11,5x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113,15 – 163,62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cinco operaciones con cifras publicadas pagaron entre 10,5 y 16,7 veces el EBITDA en juguetes, juegos de mesa y entretenimiento familiar, y 29,3 veces en videojuegos (Electronic Arts) [98, 99, 100, 101, 102, 103]. Las primas en las tres compras de cotizadas fueron del 25 al 37 % [98, 99, 102]. Games Workshop cotiza por encima de ese rango de control: unas 16-17 veces su EBITDA NIIF de FY2026, con caja neta. Su accionariado está repartido entre institucionales (88,7 % según Stock Analysis) y la dirección tiene un 0,09 % [78], y no tiene una mayoría que impida una oferta; tampoco hay noticias de interés de compradores. Lo que buscan los compradores recientes, fondos soberanos y dueños de marcas como KIRKBI, es propiedad intelectual con años de vida.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+9,0 %: el Core crece un 10,4 % según el consenso (692,2 M) y las licencias bajan a ≈25 M sin un nuevo éxito como Space Marine 2 [1, 74]. El Core creció un 12,2 % a tipo constante en FY2026 con subidas de precio de c. 3 %, unas 30 tiendas nuevas y más ventas a comercios independientes [1, 18]. FY2028e +10 % y bajada gradual hasta el 4 % en FY2034e. La media del caso base (7,3 %) está por debajo del 12,3 % anual de FY2021-FY2026 y muy por debajo del 16,6 % de la década, que parte de una base mucho menor (165,6 M en FY2017) [1, 2, 3, 4, 5, 6, 7, 8].</w:t>
      </w:r>
    </w:p>
    <w:p>
      <w:pPr>
        <w:keepNext/>
        <w:spacing w:after="100"/>
      </w:pPr>
      <w:r>
        <w:rPr>
          <w:b/>
          <w:bCs/>
        </w:rPr>
        <w:t xml:space="preserve">Márgenes.</w:t>
      </w:r>
    </w:p>
    <w:p>
      <w:pPr>
        <w:spacing w:after="100"/>
      </w:pPr>
      <w:r>
        <w:t xml:space="preserve">Margen EBITDA del 47,0 % en FY2027e y del 47,5 % después, frente al 48,7 % de FY2026 y el 49,6 % de FY2025, inflados por las licencias de Space Marine 2 (52,5 M de ingresos con un 94 % de margen) [1, 2]. Sin licencias, el margen operativo Core fue del 39,1 % en FY2026 (41,9 % sin el reparto de beneficios a la plantilla) y la empresa quiere mantenerlo [1]. Los aranceles de EE. UU. costaron c. 6 M en el 1S26 [9].</w:t>
      </w:r>
    </w:p>
    <w:p>
      <w:pPr>
        <w:keepNext/>
        <w:spacing w:after="100"/>
      </w:pPr>
      <w:r>
        <w:rPr>
          <w:b/>
          <w:bCs/>
        </w:rPr>
        <w:t xml:space="preserve">Inversión y circulante.</w:t>
      </w:r>
    </w:p>
    <w:p>
      <w:pPr>
        <w:spacing w:after="100"/>
      </w:pPr>
      <w:r>
        <w:t xml:space="preserve">Capex del 11,0 % de las ventas en FY2027e que baja al 9,5 %: el de caja (7,5 % en FY2026, con 17,0 M de desarrollo de producto capitalizado, moldes y la nueva fábrica) más las altas de derechos de uso de las tiendas (23,6 M, 3,6 % de las ventas) [1]. La amortización (7,0 %) incluye la de los derechos de uso. Circulante del 5,5 % de las ventas, el de FY2026; tipo impositivo del 25 %.</w:t>
      </w:r>
    </w:p>
    <w:p>
      <w:pPr>
        <w:keepNext/>
        <w:spacing w:after="100"/>
      </w:pPr>
      <w:r>
        <w:rPr>
          <w:b/>
          <w:bCs/>
        </w:rPr>
        <w:t xml:space="preserve">Coste del capital.</w:t>
      </w:r>
    </w:p>
    <w:p>
      <w:pPr>
        <w:spacing w:after="100"/>
      </w:pPr>
      <w:r>
        <w:t xml:space="preserve">Tasa libre del 5,39 %, el gilt a 10 años del Banco de Inglaterra del 7-oct-2026 [97]. Beta de 0,99: la mensual a 5 años frente al FTSE 100 (la semanal a 5 años da 1,01) [69]. Prima de mercado del 5,5 % y sin prima adicional; sin deuda financiera. WACC del 10,84 %; con la prima implícita del mercado (4,20 %), el 9,55 % [104].</w:t>
      </w:r>
    </w:p>
    <w:p>
      <w:pPr>
        <w:keepNext/>
        <w:spacing w:after="100"/>
      </w:pPr>
      <w:r>
        <w:rPr>
          <w:b/>
          <w:bCs/>
        </w:rPr>
        <w:t xml:space="preserve">Valor terminal.</w:t>
      </w:r>
    </w:p>
    <w:p>
      <w:pPr>
        <w:spacing w:after="100"/>
      </w:pPr>
      <w:r>
        <w:t xml:space="preserve">Crecimiento a perpetuidad del 3,0 %: inflación británica esperada de algo más del 2,5 % y algo de crecimiento real por la expansión del aficionado fuera del Reino Unido, por debajo de la tasa libre menos medio punto (4,89 %). El múltiplo de salida implícito es de 7,7 veces el EBITDA, bajo frente a los 16,7 veces de hoy: refleja un WACC alto y un crecimiento a perpetuidad que no paga la escasez de activos así.</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M (11 % del NOPAT)</w:t>
            </w:r>
          </w:p>
        </w:tc>
      </w:tr>
    </w:tbl>
    <w:p>
      <w:pPr>
        <w:spacing w:after="160" w:before="0"/>
      </w:pPr>
    </w:p>
    <w:p>
      <w:pPr>
        <w:spacing w:after="100"/>
      </w:pPr>
      <w:r>
        <w:t xml:space="preserve">La proyección apenas necesita inversión neta de la amortización (reinversión acumulada de 263 M, el 11 % del NOPAT, con un capex bruto medio del 10,2 % de las ventas). En un negocio de activos ligeros, el crecimiento medio del 7,3 %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+10,4 % según el consenso: subidas de c. 3 %, unas 30 tiendas nuevas y más comercios; licencias de 32,9 a ≈25 M [1, 18, 74].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como el del Core en FY2022-FY2026 (12,3 % anual en el grupo, con 2-6 % de precio) [1,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Expansión fuera del Reino Unido: Norteamérica ya es el 42,6 % del Core y Asia-Pacífico el 10,2 % [1].</w:t>
            </w:r>
          </w:p>
        </w:tc>
      </w:tr>
    </w:tbl>
    <w:p>
      <w:pPr>
        <w:spacing w:after="160" w:before="0"/>
      </w:pPr>
    </w:p>
    <w:p>
      <w:pPr>
        <w:spacing w:after="100"/>
      </w:pPr>
      <w:r>
        <w:t xml:space="preserve">Para nuestro caso base, sí: el 7,3 % anual se financia con holgura, porque la reinversión prevista al ROIC actual (102 %) da para crecer un 11,6 % al año, y tiene precedente, con subidas de precio del 2-6 % cada año y volumen al alza en las tiendas y en los comercios [1, 18]. El foso es amplio: propiedad intelectual propia, fábricas propias y un margen operativo Core del 39 % frente al 0-22 % de los juguetes [22, 23, 24, 25, 26, 27, 28]. Para el crecimiento que pide el precio (15,9 % anual), no: exigiría que el número de aficionados creciera más deprisa que en ningún momento con este tamaño, y eso no depende de la calidad sino de un éxito de pantalla sin fecha.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 (base: 7,3 %)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71,7 % (base: 47,5 %)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10,8 %)</w:t>
            </w:r>
          </w:p>
        </w:tc>
      </w:tr>
    </w:tbl>
    <w:p>
      <w:pPr>
        <w:spacing w:after="160" w:before="0"/>
      </w:pPr>
    </w:p>
    <w:p>
      <w:pPr>
        <w:spacing w:after="100"/>
      </w:pPr>
      <w:r>
        <w:t xml:space="preserve">El DCF da 99,10 GBP por acción, un 39,5 % por debajo del precio, con un 59 % del valor en el terminal. </w:t>
      </w:r>
      <w:r>
        <w:rPr>
          <w:b/>
        </w:rPr>
        <w:t xml:space="preserve">El precio descuenta que Games Workshop repite su década.</w:t>
      </w:r>
      <w:r>
        <w:t xml:space="preserve"> El DCF inverso dice que, con nuestros márgenes, los 163,90 GBP de hoy suponen un crecimiento de los ingresos del 15,9 % anual de FY2027e a FY2034e, frente al 7,3 % de nuestro caso base y al 12,3 % de FY2021-FY2026; comprar a este precio rinde un 7,8 % anual si se cumple el caso base, frente a un WACC del 10,8 %. Que lo haya hecho antes no basta: en la década pasada partía de 165,6 M de ventas; ahora factura 660 M y el Core ya está en 598 tiendas propias y miles de comercios. Para llegar al precio hace falta que la serie de Amazon o un videojuego multipliquen el número de aficionados, algo posible pero sin fecha.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del 2S26 (Core +5,1 % frente al +17,3 % del 1S26) no es puntual: Warhammer se enfría, las subidas de precio y los aranceles pesan en el volumen de EE. UU. y las licencias no encuentran otro Space Marine 2 [1]: crecimiento 4 puntos menor cada año, margen EBITDA del 43,5 %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Core crece un 9-10 % dos años con precio, tiendas y comercios, y se frena hacia el 4 %; licencias de 25-35 M al año. Crecimiento medio del 7,3 % y margen EBITDA del 47,5 %.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serie de Amazon y nuevos videojuegos atraen aficionados y el Core crece como en FY2022-FY2025 (11-17 % al año): crecimiento 4 puntos mayor cada año y margen del 49,5 %, con más licencias.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GBP) · precio actual 163,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98,88 GBP (-39,7 %).</w:t>
      </w:r>
    </w:p>
    <w:p>
      <w:pPr>
        <w:spacing w:after="100"/>
      </w:pPr>
      <w:r>
        <w:t xml:space="preserve">La asimetría es mala: el alcista vale 132,01 GBP (−19,5 %) y el bajista 65,32 (−60,1 %). Ni el escenario bueno, con un crecimiento medio de más del 11 % durante ocho años, llega al precio. El bajista es verosímil: es prolongar el frenazo del Core del 2S26 (+5,1 %) [1]. Con la prima de riesgo que hoy pide el mercado (4,20 %), el alcista sube a 159,28 GBP, aún por debajo del precio. El valor ponderado por probabilidad es de 98,88 GBP.</w:t>
      </w:r>
    </w:p>
    <w:p>
      <w:pPr>
        <w:pStyle w:val="Heading1"/>
      </w:pPr>
      <w:r>
        <w:t xml:space="preserve">22. Suma de partes</w:t>
      </w:r>
    </w:p>
    <w:p>
      <w:pPr>
        <w:pStyle w:val="Confianza"/>
        <w:spacing w:after="100"/>
      </w:pPr>
      <w:r>
        <w:t xml:space="preserve">Confianza: Media</w:t>
      </w:r>
    </w:p>
    <w:p>
      <w:pPr>
        <w:spacing w:after="100"/>
      </w:pPr>
      <w:r>
        <w:t xml:space="preserve">No aplica en el valor objetivo: las licencias (32,9 M de ingresos en FY2026) se valoran dentro del DCF; el texto de valoración da su peso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GBP) · precio actual 163,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102,00 GBP (-37,8 % sobre 163,90).</w:t>
      </w:r>
    </w:p>
    <w:p>
      <w:pPr>
        <w:spacing w:after="100"/>
      </w:pPr>
      <w:r>
        <w:t xml:space="preserve">Pesos: DCF 50 %, escenarios 25 %, comparables 15 %, transacciones 10 % y suma de partes 0 %. El DCF manda porque el negocio es estable y su caja, predecible: convirtió en caja el 92 % del beneficio en la década. Los comparables pesan poco (15 %) porque ninguno se le parece: los juguetes masivos tienen márgenes de la mitad o menos y dependen de grandes minoristas; solo Sanrio se acerca. Las transacciones (118,00 GBP, 10,5-16,7 veces el EBITDA con prima de control) recuerdan que ningún comprador ha pagado nunca lo que hoy paga la bolsa por Games Workshop. Todos los métodos quedan entre 98,88 y 118,00 GBP, muy por debajo del precio de 163,90 GBP. El valor objetivo es de 102,00 GBP.</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(25.3x) ÷ 1.1 (tope: la mediana de 5 años, 20.6x,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r>
    </w:tbl>
    <w:p>
      <w:pPr>
        <w:spacing w:after="160" w:before="0"/>
      </w:pPr>
    </w:p>
    <w:p>
      <w:pPr>
        <w:spacing w:after="100"/>
      </w:pPr>
      <w:r>
        <w:rPr>
          <w:b/>
          <w:bCs/>
        </w:rPr>
        <w:t xml:space="preserve">Objetivo a 12 meses (ponderado):</w:t>
      </w:r>
      <w:r>
        <w:t xml:space="preserve"> 154,67 GBP · rentabilidad -2,7 % (base +4,1 %) · señal Mantener.</w:t>
      </w:r>
    </w:p>
    <w:p>
      <w:pPr>
        <w:spacing w:after="100"/>
      </w:pPr>
      <w:r>
        <w:t xml:space="preserve">Para comparar, con la regla v2 (historia al cierre, mismo precio): 18,8x / 23,1x / 23,9x, 0,5 % Mantener; con el tope anterior del base (×1,3, 14-oct mediodía): -3,4 % Mantener. Decide la regla vigente (v3 con tope ×1,1; METODO-VIGENTE.md).</w:t>
      </w:r>
    </w:p>
    <w:p>
      <w:pPr>
        <w:keepNext/>
        <w:spacing w:after="100"/>
      </w:pPr>
      <w:r>
        <w:rPr>
          <w:b/>
          <w:bCs/>
        </w:rPr>
        <w:t xml:space="preserve">Frente al consenso (solo contraste).</w:t>
      </w:r>
    </w:p>
    <w:p>
      <w:pPr>
        <w:spacing w:after="100"/>
      </w:pPr>
      <w:r>
        <w:t xml:space="preserve">Nuestro BPA base de FY2028e (7,21) se separa un +13,5 % del consenso (6,35) y nuestro precio base (166,55) un -24,6 % del objetivo medio de los analistas (220,75).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102,00 (-37,8 %) frente al objetivo a 12 meses ponderado 159,83 (+0,5 % con dividendo; base +4,6 %).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 (ex)</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0,70 GBP por acción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el reparto de toda la caja por encima del colchón de 120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1S27 («no inferior 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del año: si el Core sigue al 10 % sin licencias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12-ene-2027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con aranceles y licencias en mínimos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Estreno de la serie de animación Deathwatch y avances de la serie de Amazon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la pantalla amplía el número de aficionados; el precio ya lo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videojuegos con licencia (Total War: Warhammer 40,000, Space Marine 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por encima de los 32,9 M de FY2026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el crecimiento del Core y el ritmo de tiendas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precio pide un crecimiento del 15,9 % anual durante ocho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Caso base: 99,10 GBP, −39,5 %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crecimiento del 16,6 % anual en la década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por debajo del 8 % a tipo constante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Enfriamiento del aficionado (el Core creció solo un 5,1 % en el 2S26)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65,32 GBP, −34 %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comercios y países; el aficionado de Warhammer es fiel y gasta cada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las tiendas propias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irregulares: de 52,5 M a 32,9 M en un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 M de licencias con un 90 % de margen ≈ 0,20 GBP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juegos anunciados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Royalties por debajo de 25 M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productos fabricados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 6 M en el 1S26; Norteamérica es el 42,6 % del Core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y 7,8 M de aranceles IEEPA recuperados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Core por debajo del 69 %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y 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un WACC del 9,8 %, el DCF sube a 113,65 GBP, aún −31 %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Gilt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consejo con 3 independientes de 7 y votos de remuneración del 20-29 % en contra en 2024-2025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cambia el valor; resta en la prima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del 4,90 % en 2026 tras ajustar la política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voto alto en contra o salida del consejero delegado</w:t>
            </w:r>
          </w:p>
        </w:tc>
      </w:tr>
    </w:tbl>
    <w:p>
      <w:pPr>
        <w:spacing w:after="160" w:before="0"/>
      </w:pPr>
    </w:p>
    <w:p>
      <w:pPr>
        <w:pStyle w:val="Heading2"/>
      </w:pPr>
      <w:r>
        <w:t xml:space="preserve">Pre-mortem</w:t>
      </w:r>
    </w:p>
    <w:p>
      <w:pPr>
        <w:spacing w:after="100"/>
      </w:pPr>
      <w:r>
        <w:t xml:space="preserve">Octubre de 2029: la acción ha caído un 40 %, a unos 98 GBP. La historia más probable no es un colapso del negocio sino de las expectativas. FY2027 cierra con el Core creciendo un 7 % y unas licencias de 20 M; la serie de Amazon se retrasa y la de animación pasa sin pena ni gloria. En FY2028 los aranceles y los salarios suben el coste y la empresa sube precios un 5 %, lo que frena el volumen en EE. UU. El mercado deja de pagar 26 veces el beneficio por una empresa que crece al 6-8 %, y el PER baja hacia 18 veces, su media de FY2022. El indicador que lo habría anticipado: el 2S26, con el Core creciendo solo un 5,1 %, y un consenso que ya esperaba menos BPA en FY2027 que en FY2026.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(ESG Risk Rating)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13,79, riesgo bajo (ambiental 1,87; social 7,87; gobierno 4,06)</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Tres asuntos mueven las cifras. Primero, el plástico y los envases: es la materia prima clave, no se cubre con derivados y la regulación de envases ya ha subido los impuestos sobre ellos; la empresa trabaja en plásticos reciclados y alternativos [18]. Segundo, las emisiones: alcances 1 y 2 de 1.150 tCO2e en el FY2026 (−20 %), por delante del objetivo de reducirlas un 55 % en 2032 frente a 2021/22, pero el alcance 3 subió a 85.038 tCO2e (+15.399) por la Factory 4, las máquinas nuevas y un cambio de método de los transportistas [18]. Tercero, la plantilla: c. 3.700 empleados, subida salarial del 3 %, salario base de 13,14 GBP por hora en el Reino Unido y una prima de 5.000 GBP por empleado en el FY2026 [18].</w:t>
      </w:r>
    </w:p>
    <w:p>
      <w:pPr>
        <w:pStyle w:val="Heading2"/>
      </w:pPr>
      <w:r>
        <w:t xml:space="preserve">Controversias</w:t>
      </w:r>
    </w:p>
    <w:p>
      <w:pPr>
        <w:spacing w:after="100"/>
      </w:pPr>
      <w:r>
        <w:t xml:space="preserve">No constan sanciones ni litigios relevantes en los informes anuales de 2025 y 2026 [17, 18]. En el FY2026 la empresa investigó varios errores humanos en imágenes de producto de su marketing para confirmar que no se había usado inteligencia artificial, que tiene prohibida en diseño y en la creación de su propiedad intelectual [18]. No hubo incumplimientos de su política contra la esclavitud moderna en el periodo [18].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activos y cuántos comercios nuevos aportaron el crecimiento del Core en FY2026, y cuánto fue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exige un 15,9 % anual: hay que saber de dónde puede salir.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mínimos y qué calendario tiene el acuerdo con Amazon, y qué parte del merchandising controla Games Workshop?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palanca que justificaría el precio y sus condiciones no son públicas.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juegos con licencia tienen fecha en FY2027-FY2028 y qué garantías mínimas llevan?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licencias cayeron de 52,5 a 32,9 M en un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Core creció solo un 5,1 % en el 2S26 frente al +17,3 % del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la primera señal del enfriamiento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coste arancelario se ha trasladado a precios en EE. UU. y con qué efecto en el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es el 42,6 % del Core.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se ampliará el consejo, con 3 independientes de 7 y uno solo presidiendo auditoría, remuneración y como consejero coordinador?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 en una persona tres funciones de control.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(análisis técnico)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acción un 20 % por debajo del máximo de junio, ve riesgo de caer hacia 168 GBP si pierde los 170,60 GBP, y solo un rebote por encima de 186 GBP abriría el camino a 222 GBP [105].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Freedom Isn't Free (blog de inversión)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pone como uno de los mejores negocios de la Bolsa de Londres por márgenes y fidelidad de los clientes, pero recuerda que en mayo cotizaba a casi 40 veces el beneficio y que el precio es la duda [106].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negocio y fidelidad de los aficionados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contrasta con el margen bruto del negocio principal y el crecimiento de los ingresos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contrasta con los múltiplos históricos y el DCF inverso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Licencias irregulares (Space Marine 2, Amazon)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licencias cayeron de 52,5 M a 32,9 M en FY2026: el informe las trata aparte del negocio principal.</w:t>
            </w:r>
          </w:p>
        </w:tc>
      </w:tr>
    </w:tbl>
    <w:p>
      <w:pPr>
        <w:spacing w:after="160" w:before="0"/>
      </w:pPr>
    </w:p>
    <w:p>
      <w:pPr>
        <w:spacing w:after="100"/>
      </w:pPr>
      <w:r>
        <w:t xml:space="preserve">El poco debate abierto que se puede leer separa negocio y precio: nadie discute la calidad (márgenes y fidelidad de los aficionados), y la duda es la valoración tras la caída del 30 % desde junio [1, 2]. Coincide con nuestra lectura: la acción no cae por el negocio, que creció un 12,2 % a tipo constante en el Core, sino porque el precio de mayo (casi 40 veces el beneficio) pedía un crecimiento que nadie había visto en una empresa de este tamaño. El sentimiento no es extremo: la posición corta es del 1,23 % [79].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3 explicados. Fuentes: 106 (74 primarias); citas distintas en el texto: 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51 % y los ingresos un 7 %: si hubo una compra cerca del cierre, decláralo en financieros.cambios_perimetro y explícalo. Explicación: No hubo compras: el salto del activo de FY2020 es la entrada en balance de los derechos de uso de las tiendas al aplicar la NIIF 16 (33,6 M en la transición) y más caja por la covid [7].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5,5 % frente a 5,5 %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Funko (8,4x → 5,2x): el salto implica un crecimiento del EBITDA que no cuadra con el de las ventas. ¿EBITDA de proveedores distintos, o un cambio de perímetro? Explicación: Funko sale de pérdidas y reestructuración: su EBITDA de los próximos 12 meses sube mucho más que las ventas. Pesa poco en la mediana y los comparables solo pesan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(FY2029e)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25,5 % frente al consenso: justifica la diferencia en el DCF. Explicación: El consenso de MarketScreener (3 analistas) es solo del Core y su FY2029e (745,3 M de ventas, +1,6 %) es atípico; nuestro EBITDA incluye además las licencias (≈25-35 M al año con un 90 % de margen) [74].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-24,9 %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-34,8 % (-25,9 % con la prima del mercado) y el precio pide 8,6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 fuentes (74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semestrales y anuales (no dan consenso previo); 2) avances de ventas de noviembre de 2025 y mayo de 2026 (solo guía propia); 3) no se buscó consenso de pago por semestre: sin fuente gratuita fiable a fecha de cada publicación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2S23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FY2023 en Investegate (tabla de tipo de cambio constante con etiquetas descolocadas); 2) resultados FY2024 (solo da FY2024 frente a FY2023); 3) semestral 1S24 (solo semestres)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transcripciones de conferencias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(carga por JavaScript, sin enlaces visibles); 2) RNS en Investegate (no hay transcripciones); 3) informe anual 2026 en Companies House (no menciona conferencias)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Core/Licencias FY2017-FY2020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FY2020 y FY2018 (segmentación antigua por canal y regalías); 2) resultados FY2022 (solo reexpresa el FY2021); 3) derivación posible con la segmentación antigua, descartada para no mezclar segmentaciones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ICv2 de 2023-2025: solo dan el total del canal y el peso de las cartas coleccionables; 2) Arizton y otros estudios de mercado (Allied, Technavio): las cuotas están en la versión de pago; 3) cálculo con los ingresos de Hasbro, Asmodee, Mattel, Spin Master y Games Workshop: descartado porque sus ingresos mezclan juguetes, videojuegos y distribución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subsegmento de miniaturas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Artículo de ICv2 de abril de 2026: no da la cifra por categoría en abierto; 2) prensa sectorial (Popverse, EN World) que resume a ICv2: sin cifra de miniaturas; 3) Arizton: tiene un cuadro de miniaturas, pero su valor solo está en el informe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Buscador de calificaciones de MSCI: no muestra la de Games Workshop en abierto; 2) informe anual 2026: no cita calificaciones externas; 3) búsqueda web de calificaciones ESG: solo aparece Sustainalytics (vía Saxo)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jugadores o copias vendidas de Space Marine 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de Games Workshop: no da cifras del juego; 2) resultados 2025/26 de Pullup Entertainment (AMF): no publican jugadores; 3) búsqueda web: solo cifras de prensa sin documento primario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consensus-revisions: solo gráficos sin cifras; 2) MarketScreener consensus: sin serie de revisiones; 3) Stock Analysis forecast: solo el año en curso y sin histórico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(r/UKInvesting, r/Warhammer40k sobre la acción): bloqueado para la lectura automática; 2) LSE Chat (lse.co.uk): 403; 3) búsqueda de comentarios de lectores de 2026: artículos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Results for the 52 week period ended 31 May 2026 (resultados FY2026,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https://www.investegate.co.uk/announcement/rns/games-workshop-group--gaw/results-for-the-52-week-period-ended-31-may-2026/9689924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resultados del ejercicio a 1 de junio de 2025 (FY2025,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https://www.investegate.co.uk/announcement/rns/games-workshop-group--gaw/annual-report/9008022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resultados del ejercicio a 2 de junio de 2024 (FY2024, 53 semanas,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https://www.investegate.co.uk/announcement/rns/games-workshop-group--gaw/annual-report/8337097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resultados del ejercicio a 28 de mayo de 2023 (FY2023,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https://www.investegate.co.uk/announcement/rns/games-workshop-group--gaw/annual-report-/7652313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resultados del ejercicio a 29 de mayo de 2022 (FY2022,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https://www.investegate.co.uk/announcement/rns/games-workshop-group--gaw/annual-report/7136158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report: resultados del ejercicio a 30 de mayo de 2021 (FY2021,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https://www.investegate.co.uk/announcement/rns/games-workshop-group--gaw/annual-financial-report/6744294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report: resultados del ejercicio a 31 de mayo de 2020 (FY2020,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https://www.investegate.co.uk/announcement/rns/games-workshop-group--gaw/annual-financial-report/6081740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report: resultados del ejercicio a 3 de junio de 2018 (FY2018, 53 semanas,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https://www.investegate.co.uk/announcement/rns/games-workshop-group--gaw/annual-financial-report/5443232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report: 26 semanas a 30 de noviembre de 2025 (1S26,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https://www.investegate.co.uk/announcement/rns/games-workshop-group--gaw/half-yearly-report/9349031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report: 26 semanas a 1 de diciembre de 2024 (1S25,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https://www.investegate.co.uk/announcement/rns/games-workshop-group--gaw/half-yearly-report/8686469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report: 26 semanas a 26 de noviembre de 2023 (1S24,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https://www.investegate.co.uk/announcement/rns/games-workshop-group--gaw/half-yearly-report/7980178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26 semanas a 27 de noviembre de 2022 (1S23,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https://www.investegate.co.uk/announcement/rns/games-workshop-group--gaw/half-year-report/7345706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seis meses a 28 de noviembre de 2021 (1S22,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https://www.investegate.co.uk/announcement/rns/games-workshop-group--gaw/half-year-report/6807788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statement (avance del FY2026,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https://www.investegate.co.uk/announcement/rns/games-workshop-group--gaw/trading-statement/9581196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(avance del 1S26,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https://www.investegate.co.uk/announcement/rns/games-workshop-group--gaw/trading-update/9245430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2026 (informe anual del FY2026, cuentas depositadas en Companies House)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Companies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https://find-and-update.company-information.service.gov.uk/company/02670969/filing-history/MzU0NTg3Nzg4MGFkaXF6a2N4/document?format=pdf&amp;download=0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(52 semanas a 1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https://assets.ctfassets.net/ost7hseic9hc/3kXsoA4jSOmOj6BLZ7bV7F/c34a5f56769e8be055c19b8e1ccc5526/Accounts_2024-25_FINAL.pdf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2026 (52 semanas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https://assets.ctfassets.net/ost7hseic9hc/1C4g3JYVr04ZCkPb39ygIA/93055850ed01cc1fa1da261e29a57fa5/Accounts_2025-26_FINAL_v2.pdf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https://investor.games-workshop.com/our-history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(artículo de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https://en.wikipedia.org/wiki/Games_Workshop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Business Model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https://investor.games-workshop.com/our-business-model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Inc. Form 10-K del ejercicio terminado el 28 de diciembre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https://www.sec.gov/Archives/edgar/data/46080/000004608026000011/has-20251228.htm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Mattel, Inc. Form 10-K 2025, datos XBRL (companyfacts, presentación 0001628280-26-010716)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https://data.sec.gov/api/xbrl/companyfacts/CIK0000063276.json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Asmodee Group Annual and Sustainability Report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Asmodee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https://storage.mfn.se/c80d63ae-9cfb-4319-aa31-63ea481fdf57/eng-asmodee-group-annual-report-2025-2026.pdf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Reports Q4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Corp.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https://www.newswire.ca/news-releases/spin-master-reports-q4-2025-financial-results-865384470.html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Embracer Group Annual Report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Embracer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https://embracer.com/wp-content/uploads/2026/06/Embracer-Group-publishes-annual-report-202526-260618.pdf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Report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Holdings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https://www.bandainamco.co.jp/files/E_HP_2026E5B9B43E69C88E69C9F_E6B1BAE7AE97E79FADE4B.pdf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Supplementary information FY2026.3 (ventas y beneficio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Holdings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https://www.bandainamco.co.jp/files/ir/financialstatements/pdf/20260513_en_Complement.pdf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Big Growth in Hobby Games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ICv2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https://icv2.com/articles/markets/view/62035/big-growth-hobby-games-2025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Gaming hobby industry stabilized in 2024 (datos de ICv2)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Popverse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https://www.thepopverse.com/gaming-hobby-industry-stablized-in-2024-sales-small-growth/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ICv2 Reports Disappointing Year For Hobby Games Channel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https://www.enworld.org/posts/9304165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Tabletop Games Market - Global Outlook &amp; Forecast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 Advisory &amp;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https://www.arizton.com/market-reports/tabletop-games-market-size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PULLUP Entertainment: 2025/26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Pullup Entertainment (AMF, info-financière)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https://echanges.dila.gouv.fr/OPENDATA/AMF/ACT/2026/06/FCACT080073_20260611.pdf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(GAW) – ESG risk (datos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https://www.home.saxo/markets/stocks/gaw-xlon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2026 AGM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https://www.investegate.co.uk/announcement/rns/games-workshop-group--gaw/2026-agm-voting-results/9775741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2025 AGM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https://www.investegate.co.uk/announcement/rns/games-workshop-group--gaw/2025-agm-voting-results/9114384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2024 AGM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https://www.investegate.co.uk/announcement/rns/games-workshop-group--gaw/2024-agm-voting-results/8423817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General Meeting Voting Results (política de remuneración y Share Awards Plan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https://www.investegate.co.uk/announcement/rns/games-workshop-group--gaw/general-meeting-voting-results/8881102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Result of Meeting (junta general de 5-mar-2026: honorarios de consejeros y nuevos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https://www.investegate.co.uk/announcement/rns/games-workshop-group--gaw/result-of-meeting/9460765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Publication of Notice Convening a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https://www.investegate.co.uk/announcement/rns/games-workshop-group--gaw/publication-of-notice-convening-a-general-meeting/9422666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Appointment of Chair (Mark Lam)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https://www.investegate.co.uk/announcement/rns/games-workshop-group--gaw/appointment-of-chair/8477029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(Randal Casson, consejero independiente coordinador)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https://www.investegate.co.uk/announcement/rns/games-workshop-group--gaw/directorate-change/8574669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(nombramiento de Eric Maugein)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https://www.investegate.co.uk/announcement/rns/games-workshop-group--gaw/directorate-change/8717217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(Neil Tomlinson, Group Operations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https://www.investegate.co.uk/announcement/rns/games-workshop-group--gaw/directorate-change/8906298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(salida anunciada de Kate Marsh)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https://www.investegate.co.uk/announcement/rns/games-workshop-group--gaw/directorate-change/9008064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(Max Bottrill, Group Product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https://www.investegate.co.uk/announcement/rns/games-workshop-group--gaw/directorate-change/9257279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Changes (Nilufer Kheraj; salida de Kate Marsh)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https://www.investegate.co.uk/announcement/rns/games-workshop-group--gaw/directorate-change/9307831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Changes (Neil Tomlinson, consejero delegado de operaciones; salida de Max Bottrill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https://www.investegate.co.uk/announcement/rns/games-workshop-group--gaw/directorate-change/9560453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(Kevin Rountree, 21-nov-2025)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https://www.investegate.co.uk/announcement/rns/games-workshop-group--gaw/director-pdmr-shareholding/9254618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 Shareholdings (Kevin Rountree, 28-ene-2026)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https://www.investegate.co.uk/announcement/rns/games-workshop-group--gaw/director-shareholdings/9399889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(Mark Lam, 11-mar-2026)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https://www.investegate.co.uk/announcement/rns/games-workshop-group--gaw/director-pdmr-shareholding/9469919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(traspaso a cuenta de custodia de Kevin Rountree, 18-mar-2026)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https://www.investegate.co.uk/announcement/rns/games-workshop-group--gaw/director-pdmr-shareholding/9482896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(Kevin Rountree, 27-mar-2026)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https://www.investegate.co.uk/announcement/rns/games-workshop-group--gaw/director-pdmr-shareholding/9506367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(traspaso a cuenta de custodia de Kevin Rountree, 10-abr-2026)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https://www.investegate.co.uk/announcement/rns/games-workshop-group--gaw/director-pdmr-shareholding/9517737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(Rountree, Harrison y Tomlinson, 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https://www.investegate.co.uk/announcement/rns/games-workshop-group--gaw/director-pdmr-shareholding/9704604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 Shareholding (Rountree y Harrison, 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https://www.investegate.co.uk/announcement/rns/games-workshop-group--gaw/director-shareholding/9023767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 Shareholdings (Kevin Rountree, 15-ago-2025)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https://www.investegate.co.uk/announcement/rns/games-workshop-group--gaw/director-shareholdings/9061796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(Baillie Gifford, 19-may-2025)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https://www.investegate.co.uk/announcement/rns/games-workshop-group--gaw/holding-s-in-company/8888770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(Baillie Gifford, 7-nov-2025)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https://www.investegate.co.uk/announcement/rns/games-workshop-group--gaw/holding-s-in-company/9224368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(Baillie Gifford, 6-jul-2026)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https://www.investegate.co.uk/announcement/rns/games-workshop-group--gaw/holding-s-in-company/9656718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(BlackRock, 29-may-2026)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https://www.investegate.co.uk/announcement/rns/games-workshop-group--gaw/holding-s-in-company/9595639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(BlackRock, 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https://www.investegate.co.uk/announcement/rns/games-workshop-group--gaw/holding-s-in-company/9660986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Year End Trading Update (ejercicio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https://www.investegate.co.uk/announcement/rns/games-workshop-group--gaw/year-end-trading-update/7573592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Year End Trading Update (ejercicio 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https://www.investegate.co.uk/announcement/rns/games-workshop-group--gaw/year-end-trading-update/8266568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Full Year Trading Update (ejercicio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https://www.investegate.co.uk/announcement/rns/games-workshop-group--gaw/full-year-trading-update/8893715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comunicados de Games Workshop (GAW), páginas 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https://www.investegate.co.uk/company/GAW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Disclosure of New Directorship (Randal Casson en Future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https://www.investegate.co.uk/announcement/rns/games-workshop-group--gaw/disclosure-of-new-directorship/9700855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GAW.L, ^FTSE e ISF.L hasta 2026-10-09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https://finance.yahoo.com/quote/GAW.L/history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 (RNS, 1,40 GBP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https://www.investegate.co.uk/announcement/rns/games-workshop-group--gaw/dividend/9690132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 Declaration (RNS, 0,90 GBP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https://www.investegate.co.uk/announcement/rns/games-workshop-group--gaw/dividend-declaration/9621830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 Declaration (RNS, 0,70 GBP por acción y actualización de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https://www.investegate.co.uk/announcement/rns/games-workshop-group--gaw/dividend-declaration/9773954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(RNS,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https://www.investegate.co.uk/announcement/rns/games-workshop-group--gaw/total-voting-rights/9802326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finances (estimaciones y cuentas)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https://www.marketscreener.com/quote/stock/GAMES-WORKSHOP-GROUP-PLC-4001963/finances/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https://www.marketscreener.com/quote/stock/GAMES-WORKSHOP-GROUP-PLC-4001963/consensus/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https://www.marketscreener.com/quote/stock/GAMES-WORKSHOP-GROUP-PLC-4001963/calendar/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(LON:GAW)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https://stockanalysis.com/quote/lon/GAW/forecast/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(LON:GAW)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https://stockanalysis.com/quote/lon/GAW/statistics/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current net short positions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https://www.fca.org.uk/publication/documents/aggregated-current-net-short-positions.csv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historic net short positions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https://www.fca.org.uk/publication/documents/aggregated-historic-net-short-positions.csv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Sanrio Company: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https://www.marketscreener.com/quote/stock/SANRIO-COMPANY-LTD-6491193/finances/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https://www.marketscreener.com/quote/stock/HASBRO-INC-12874/finances/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Mattel: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https://www.marketscreener.com/quote/stock/MATTEL-INC-13462/finances/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Funko: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https://www.marketscreener.com/quote/stock/FUNKO-INC-38530152/finances/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https://www.marketscreener.com/quote/stock/SPIN-MASTER-CORP-23219288/finances/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Holdings: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https://www.marketscreener.com/quote/stock/BANDAI-NAMCO-HOLDINGS-INC-6497993/finances/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TOMY Company: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https://www.marketscreener.com/quote/stock/TOMY-COMPANY-LTD-6492220/finances/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Asmodee: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https://www.marketscreener.com/quote/stock/ASMODEE-181989836/finances/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Sanrio (TYO:8136):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https://stockanalysis.com/quote/tyo/8136/statistics/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(HAS):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https://stockanalysis.com/stocks/has/statistics/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Mattel (MAT):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(TSX:TOY):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https://stockanalysis.com/quote/tsx/TOY/statistics/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Funko (FNKO):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https://stockanalysis.com/stocks/fnko/statistics/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(TYO:7832):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https://stockanalysis.com/quote/tyo/7832/statistics/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TOMY (TYO:7867):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https://stockanalysis.com/quote/tyo/7867/statistics/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Asmodee (STO:ASMDEE.B):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https://stockanalysis.com/quote/sto/ASMDEE.B/statistics/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de la libra (XUDLUSS, XUDLCDS, XUDLSKS, XUDLJYS, XUDLERS)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acquisition of Merlin Entertainments plc (Rule 2.7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Merlin Entertainments plc y Motion Acquisition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https://lexismarkettracker.lexisnexis.com/documents/0032/32960/158013/MT_Merlin%20Entertainment%20plc_Rule%202.7%20announcement_28%20June%202019.pdf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to acquire Entertainment One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https://www.sec.gov/Archives/edgar/data/46080/000095015719000917/ex99-1.htm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Embracer Group intends to make a strategic acquisition of leading board gaming group Asmodee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Embracer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https://embracer.com/release/embracer-group-intends-to-make-a-strategic-acquisition-of-leading-board-gaming-group-asmodee-that-would-form-the-ninth-operating-group/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to Acquire Melissa &amp; Doug for $950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https://spinmaster.mediaroom.com/2023-10-11-Spin-Master-to-Acquire-Melissa-Doug,-a-Trusted-Brand-in-Early-Childhood-Play-for-950-million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 Announces Agreement to be Acquired by PIF, Silver Lake, and Affinity Partners for $55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Electronic Arts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https://www.ea.com/news/ea-announces-agreement-to-be-acquired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Electronic Arts: datos XBRL de los 10-K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https://data.sec.gov/api/xbrl/companyfacts/CIK0000712515.json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and the odds of a return to highs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https://www.ii.co.uk/analysis-commentary/games-workshop-and-odds-return-highs-ii540280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share price: how Warhammer got so big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Freedom Isn't Free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https://freedomisntfree.co.uk/articles/games-workshop-share-price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90,7 %</w:t>
      </w:r>
      <w:r>
        <w:t xml:space="preserve"> · Secciones con menos del 60 % de campos cubiertos: </w:t>
      </w:r>
      <w:r>
        <w:rPr>
          <w:b/>
          <w:bCs/>
        </w:rPr>
        <w:t xml:space="preserve">capital</w:t>
      </w:r>
      <w:r>
        <w:t xml:space="preserve"> · Generado el 14 oct 2026.</w:t>
      </w:r>
    </w:p>
    <w:p>
      <w:pPr>
        <w:pStyle w:val="Nota"/>
        <w:spacing w:after="100"/>
      </w:pPr>
      <w:r>
        <w:t xml:space="preserve">Se valora la acción ordinaria de la Bolsa de Londres (GAW), que cotiza en peniques; precio y valores por acción en libras (cierre del viernes 9-oct-2026, 163,90 GBP; el corte cae en sábado) [69]. El ejercicio cierra el domingo más cercano al 31 de mayo y se nombra por el año en que termina (FY2026 = jun-25 a may-26); FY2018 y FY2024 tienen 53 semanas [1, 4]. Hasta FY2020 las regalías se presentaban fuera de la cifra de negocio: se suman para que la serie sea homogénea [7, 8]. Segmentos Core y Licencias solo desde FY2021, el único año que la empresa reexpresó [6]. El capex del flujo de caja es solo el de caja; el del DCF suma las altas de derechos de uso de las tiendas (NIIF 16) [1]. El puente es del 31-may-2026 y resta los dividendos pagados después (76 M) [70, 71]. </w:t>
      </w:r>
      <w:r>
        <w:rPr>
          <w:b/>
        </w:rPr>
        <w:t xml:space="preserve">El consenso de MarketScreener (3 analistas) es solo del negocio Core, sin licencias</w:t>
      </w:r>
      <w:r>
        <w:t xml:space="preserve">: sus ingresos de FY2027e (692,2 M) crecen un 10,4 % sobre el Core de FY2026 (626,8 M), no un 4,9 % sobre el grupo; los múltiplos de los próximos 12 meses salen, por tanto, algo altos [1, 74]. No hay transcripciones de conferencias ni previsiones de la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Games Workshop Group PLC (GAW)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163,90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(143,00 – 235,40)</c:v>
                </c:pt>
                <c:pt idx="1">
                  <c:v>Precio objetivo de los analistas (220,00 – 221,50)</c:v>
                </c:pt>
                <c:pt idx="2">
                  <c:v>Comparables: EV/EBITDA NTM (69,76 – 114,84)</c:v>
                </c:pt>
                <c:pt idx="3">
                  <c:v>Comparables: PER NTM (86,44 – 124,36)</c:v>
                </c:pt>
                <c:pt idx="4">
                  <c:v>Transacciones precedentes (EV/EBITDA) (113,15 – 163,62)</c:v>
                </c:pt>
                <c:pt idx="5">
                  <c:v>DCF (WACC y g ± 0,5) (89,94 – 110,87)</c:v>
                </c:pt>
                <c:pt idx="6">
                  <c:v>Escenarios (bajista – alcista) (65,32 – 132,01)</c:v>
                </c:pt>
                <c:pt idx="7">
                  <c:v>DCF con la prima implícita del mercado (4,2 %)</c:v>
                </c:pt>
                <c:pt idx="8">
                  <c:v>Precio actual (163,90)</c:v>
                </c:pt>
              </c:strCache>
            </c:strRef>
          </c:cat>
          <c:val>
            <c:numRef>
              <c:f>Hoja1!$B$2:$B$10</c:f>
              <c:numCache>
                <c:formatCode>#,##0</c:formatCode>
                <c:ptCount val="9"/>
                <c:pt idx="0">
                  <c:v>143</c:v>
                </c:pt>
                <c:pt idx="1">
                  <c:v>220</c:v>
                </c:pt>
                <c:pt idx="2">
                  <c:v>69.76</c:v>
                </c:pt>
                <c:pt idx="3">
                  <c:v>86.44</c:v>
                </c:pt>
                <c:pt idx="4">
                  <c:v>113.15</c:v>
                </c:pt>
                <c:pt idx="5">
                  <c:v>89.94</c:v>
                </c:pt>
                <c:pt idx="6">
                  <c:v>65.32</c:v>
                </c:pt>
                <c:pt idx="7">
                  <c:v>110.2</c:v>
                </c:pt>
                <c:pt idx="8">
                  <c:v>163.08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(143,00 – 235,40)</c:v>
                </c:pt>
                <c:pt idx="1">
                  <c:v>Precio objetivo de los analistas (220,00 – 221,50)</c:v>
                </c:pt>
                <c:pt idx="2">
                  <c:v>Comparables: EV/EBITDA NTM (69,76 – 114,84)</c:v>
                </c:pt>
                <c:pt idx="3">
                  <c:v>Comparables: PER NTM (86,44 – 124,36)</c:v>
                </c:pt>
                <c:pt idx="4">
                  <c:v>Transacciones precedentes (EV/EBITDA) (113,15 – 163,62)</c:v>
                </c:pt>
                <c:pt idx="5">
                  <c:v>DCF (WACC y g ± 0,5) (89,94 – 110,87)</c:v>
                </c:pt>
                <c:pt idx="6">
                  <c:v>Escenarios (bajista – alcista) (65,32 – 132,01)</c:v>
                </c:pt>
                <c:pt idx="7">
                  <c:v>DCF con la prima implícita del mercado (4,2 %)</c:v>
                </c:pt>
                <c:pt idx="8">
                  <c:v>Precio actual (163,90)</c:v>
                </c:pt>
              </c:strCache>
            </c:strRef>
          </c:cat>
          <c:val>
            <c:numRef>
              <c:f>Hoja1!$C$2:$C$10</c:f>
              <c:numCache>
                <c:formatCode>#,##0</c:formatCode>
                <c:ptCount val="9"/>
                <c:pt idx="0">
                  <c:v>92.4</c:v>
                </c:pt>
                <c:pt idx="1">
                  <c:v>1.5</c:v>
                </c:pt>
                <c:pt idx="2">
                  <c:v>45.08</c:v>
                </c:pt>
                <c:pt idx="3">
                  <c:v>37.92</c:v>
                </c:pt>
                <c:pt idx="4">
                  <c:v>50.47</c:v>
                </c:pt>
                <c:pt idx="5">
                  <c:v>20.930000000000007</c:v>
                </c:pt>
                <c:pt idx="6">
                  <c:v>66.69</c:v>
                </c:pt>
                <c:pt idx="7">
                  <c:v>18.33</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Core</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353.2</c:v>
                </c:pt>
                <c:pt idx="1">
                  <c:v>386.8</c:v>
                </c:pt>
                <c:pt idx="2">
                  <c:v>445.4</c:v>
                </c:pt>
                <c:pt idx="3">
                  <c:v>494.7</c:v>
                </c:pt>
                <c:pt idx="4">
                  <c:v>565</c:v>
                </c:pt>
                <c:pt idx="5">
                  <c:v>626.8</c:v>
                </c:pt>
              </c:numCache>
            </c:numRef>
          </c:val>
        </c:ser>
        <c:ser>
          <c:idx val="1"/>
          <c:order val="1"/>
          <c:tx>
            <c:strRef>
              <c:f>Hoja1!$C$1</c:f>
              <c:strCache>
                <c:ptCount val="1"/>
                <c:pt idx="0">
                  <c:v>Licencias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16.3</c:v>
                </c:pt>
                <c:pt idx="1">
                  <c:v>28</c:v>
                </c:pt>
                <c:pt idx="2">
                  <c:v>25.4</c:v>
                </c:pt>
                <c:pt idx="3">
                  <c:v>31</c:v>
                </c:pt>
                <c:pt idx="4">
                  <c:v>52.5</c:v>
                </c:pt>
                <c:pt idx="5">
                  <c:v>32.9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Core</c:v>
                </c:pt>
                <c:pt idx="1">
                  <c:v>Licencias</c:v>
                </c:pt>
              </c:strCache>
            </c:strRef>
          </c:cat>
          <c:val>
            <c:numRef>
              <c:f>Hoja1!$B$2:$B$3</c:f>
              <c:numCache>
                <c:formatCode>General</c:formatCode>
                <c:ptCount val="2"/>
                <c:pt idx="0">
                  <c:v>95</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Norteamérica</c:v>
                </c:pt>
                <c:pt idx="1">
                  <c:v>Europa continental</c:v>
                </c:pt>
                <c:pt idx="2">
                  <c:v>Reino Unido</c:v>
                </c:pt>
                <c:pt idx="3">
                  <c:v>Australia y Nueva Zelanda</c:v>
                </c:pt>
                <c:pt idx="4">
                  <c:v>Asia</c:v>
                </c:pt>
                <c:pt idx="5">
                  <c:v>Resto del mundo</c:v>
                </c:pt>
              </c:strCache>
            </c:strRef>
          </c:cat>
          <c:val>
            <c:numRef>
              <c:f>Hoja1!$B$2:$B$7</c:f>
              <c:numCache>
                <c:formatCode>0"%"</c:formatCode>
                <c:ptCount val="6"/>
                <c:pt idx="0">
                  <c:v>42.6</c:v>
                </c:pt>
                <c:pt idx="1">
                  <c:v>26.1</c:v>
                </c:pt>
                <c:pt idx="2">
                  <c:v>20.5</c:v>
                </c:pt>
                <c:pt idx="3">
                  <c:v>5.5</c:v>
                </c:pt>
                <c:pt idx="4">
                  <c:v>4.7</c:v>
                </c:pt>
                <c:pt idx="5">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(mercado de juegos de aficionado de EE. UU. y Canadá, ICv2))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c:formatCode>
                <c:ptCount val="4"/>
                <c:pt idx="0">
                  <c:v>2860</c:v>
                </c:pt>
                <c:pt idx="1">
                  <c:v>2890</c:v>
                </c:pt>
                <c:pt idx="2">
                  <c:v>2840</c:v>
                </c:pt>
                <c:pt idx="3">
                  <c:v>3660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1</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Games Workshop</c:v>
                </c:pt>
                <c:pt idx="1">
                  <c:v>Hasbro (grupo)</c:v>
                </c:pt>
                <c:pt idx="2">
                  <c:v>Wizards of the Coast and Digital Gaming (Hasbro)</c:v>
                </c:pt>
                <c:pt idx="3">
                  <c:v>Asmodee Group</c:v>
                </c:pt>
                <c:pt idx="4">
                  <c:v>Mattel</c:v>
                </c:pt>
                <c:pt idx="5">
                  <c:v>Spin Master</c:v>
                </c:pt>
                <c:pt idx="6">
                  <c:v>Embracer Group</c:v>
                </c:pt>
                <c:pt idx="7">
                  <c:v>Bandai Namco Holdings</c:v>
                </c:pt>
              </c:strCache>
            </c:strRef>
          </c:cat>
          <c:val>
            <c:numRef>
              <c:f>Hoja1!$B$2:$B$9</c:f>
              <c:numCache>
                <c:formatCode>0.0"%"</c:formatCode>
                <c:ptCount val="8"/>
                <c:pt idx="0">
                  <c:v>41.7</c:v>
                </c:pt>
                <c:pt idx="1">
                  <c:v>0.2</c:v>
                </c:pt>
                <c:pt idx="2">
                  <c:v>46</c:v>
                </c:pt>
                <c:pt idx="3">
                  <c:v>10</c:v>
                </c:pt>
                <c:pt idx="4">
                  <c:v>10.2</c:v>
                </c:pt>
                <c:pt idx="5">
                  <c:v>-4.1</c:v>
                </c:pt>
                <c:pt idx="6">
                  <c:v>-44.3</c:v>
                </c:pt>
                <c:pt idx="7">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165.6</c:v>
                </c:pt>
                <c:pt idx="1">
                  <c:v>229.8</c:v>
                </c:pt>
                <c:pt idx="2">
                  <c:v>267.9</c:v>
                </c:pt>
                <c:pt idx="3">
                  <c:v>286.5</c:v>
                </c:pt>
                <c:pt idx="4">
                  <c:v>369.5</c:v>
                </c:pt>
                <c:pt idx="5">
                  <c:v>414.8</c:v>
                </c:pt>
                <c:pt idx="6">
                  <c:v>470.8</c:v>
                </c:pt>
                <c:pt idx="7">
                  <c:v>525.7</c:v>
                </c:pt>
                <c:pt idx="8">
                  <c:v>617.5</c:v>
                </c:pt>
                <c:pt idx="9">
                  <c:v>659.7</c:v>
                </c:pt>
                <c:pt idx="10">
                  <c:v>719</c:v>
                </c:pt>
                <c:pt idx="11">
                  <c:v>791</c:v>
                </c:pt>
                <c:pt idx="12">
                  <c:v>862</c:v>
                </c:pt>
                <c:pt idx="13">
                  <c:v>931</c:v>
                </c:pt>
                <c:pt idx="14">
                  <c:v>996</c:v>
                </c:pt>
                <c:pt idx="15">
                  <c:v>1056</c:v>
                </c:pt>
                <c:pt idx="16">
                  <c:v>1109</c:v>
                </c:pt>
                <c:pt idx="17">
                  <c:v>1153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48.5</c:v>
                </c:pt>
                <c:pt idx="1">
                  <c:v>86.8</c:v>
                </c:pt>
                <c:pt idx="2">
                  <c:v>97.1</c:v>
                </c:pt>
                <c:pt idx="3">
                  <c:v>115.6</c:v>
                </c:pt>
                <c:pt idx="4">
                  <c:v>178.3</c:v>
                </c:pt>
                <c:pt idx="5">
                  <c:v>193.1</c:v>
                </c:pt>
                <c:pt idx="6">
                  <c:v>213.3</c:v>
                </c:pt>
                <c:pt idx="7">
                  <c:v>243.4</c:v>
                </c:pt>
                <c:pt idx="8">
                  <c:v>306.4</c:v>
                </c:pt>
                <c:pt idx="9">
                  <c:v>321.5</c:v>
                </c:pt>
                <c:pt idx="10">
                  <c:v>338</c:v>
                </c:pt>
                <c:pt idx="11">
                  <c:v>376</c:v>
                </c:pt>
                <c:pt idx="12">
                  <c:v>410</c:v>
                </c:pt>
                <c:pt idx="13">
                  <c:v>442</c:v>
                </c:pt>
                <c:pt idx="14">
                  <c:v>473</c:v>
                </c:pt>
                <c:pt idx="15">
                  <c:v>502</c:v>
                </c:pt>
                <c:pt idx="16">
                  <c:v>527</c:v>
                </c:pt>
                <c:pt idx="17">
                  <c:v>548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73.6</c:v>
                </c:pt>
                <c:pt idx="1">
                  <c:v>72.7</c:v>
                </c:pt>
                <c:pt idx="2">
                  <c:v>68.9</c:v>
                </c:pt>
                <c:pt idx="3">
                  <c:v>68.9</c:v>
                </c:pt>
                <c:pt idx="4">
                  <c:v>73.9</c:v>
                </c:pt>
                <c:pt idx="5">
                  <c:v>69.3</c:v>
                </c:pt>
                <c:pt idx="6">
                  <c:v>68.3</c:v>
                </c:pt>
                <c:pt idx="7">
                  <c:v>71.2</c:v>
                </c:pt>
                <c:pt idx="8">
                  <c:v>72.1</c:v>
                </c:pt>
                <c:pt idx="9">
                  <c:v>72.5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29.3</c:v>
                </c:pt>
                <c:pt idx="1">
                  <c:v>37.8</c:v>
                </c:pt>
                <c:pt idx="2">
                  <c:v>36.2</c:v>
                </c:pt>
                <c:pt idx="3">
                  <c:v>40.3</c:v>
                </c:pt>
                <c:pt idx="4">
                  <c:v>48.3</c:v>
                </c:pt>
                <c:pt idx="5">
                  <c:v>46.6</c:v>
                </c:pt>
                <c:pt idx="6">
                  <c:v>45.3</c:v>
                </c:pt>
                <c:pt idx="7">
                  <c:v>46.3</c:v>
                </c:pt>
                <c:pt idx="8">
                  <c:v>49.6</c:v>
                </c:pt>
                <c:pt idx="9">
                  <c:v>48.7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23.1</c:v>
                </c:pt>
                <c:pt idx="1">
                  <c:v>32.5</c:v>
                </c:pt>
                <c:pt idx="2">
                  <c:v>30.3</c:v>
                </c:pt>
                <c:pt idx="3">
                  <c:v>31.4</c:v>
                </c:pt>
                <c:pt idx="4">
                  <c:v>41.1</c:v>
                </c:pt>
                <c:pt idx="5">
                  <c:v>37.9</c:v>
                </c:pt>
                <c:pt idx="6">
                  <c:v>36.2</c:v>
                </c:pt>
                <c:pt idx="7">
                  <c:v>38.4</c:v>
                </c:pt>
                <c:pt idx="8">
                  <c:v>42.3</c:v>
                </c:pt>
                <c:pt idx="9">
                  <c:v>41.7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18.4</c:v>
                </c:pt>
                <c:pt idx="1">
                  <c:v>26</c:v>
                </c:pt>
                <c:pt idx="2">
                  <c:v>24.6</c:v>
                </c:pt>
                <c:pt idx="3">
                  <c:v>24.9</c:v>
                </c:pt>
                <c:pt idx="4">
                  <c:v>33</c:v>
                </c:pt>
                <c:pt idx="5">
                  <c:v>31</c:v>
                </c:pt>
                <c:pt idx="6">
                  <c:v>28.6</c:v>
                </c:pt>
                <c:pt idx="7">
                  <c:v>28.7</c:v>
                </c:pt>
                <c:pt idx="8">
                  <c:v>31.8</c:v>
                </c:pt>
                <c:pt idx="9">
                  <c:v>31.2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7.1</c:v>
                </c:pt>
                <c:pt idx="1">
                  <c:v>20.2</c:v>
                </c:pt>
                <c:pt idx="2">
                  <c:v>9.3</c:v>
                </c:pt>
                <c:pt idx="3">
                  <c:v>13.8</c:v>
                </c:pt>
                <c:pt idx="4">
                  <c:v>20.9</c:v>
                </c:pt>
                <c:pt idx="5">
                  <c:v>14.4</c:v>
                </c:pt>
                <c:pt idx="6">
                  <c:v>10.9</c:v>
                </c:pt>
                <c:pt idx="7">
                  <c:v>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0</c:v>
                </c:pt>
                <c:pt idx="2">
                  <c:v>12.5</c:v>
                </c:pt>
                <c:pt idx="3">
                  <c:v>16.8</c:v>
                </c:pt>
                <c:pt idx="4">
                  <c:v>23.4</c:v>
                </c:pt>
                <c:pt idx="5">
                  <c:v>16.2</c:v>
                </c:pt>
                <c:pt idx="6">
                  <c:v>11.8</c:v>
                </c:pt>
                <c:pt idx="7">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29</c:v>
                </c:pt>
                <c:pt idx="1">
                  <c:v>21</c:v>
                </c:pt>
                <c:pt idx="2">
                  <c:v>26</c:v>
                </c:pt>
                <c:pt idx="3">
                  <c:v>25</c:v>
                </c:pt>
                <c:pt idx="4">
                  <c:v>30</c:v>
                </c:pt>
                <c:pt idx="5">
                  <c:v>35</c:v>
                </c:pt>
                <c:pt idx="6">
                  <c:v>28</c:v>
                </c:pt>
                <c:pt idx="7">
                  <c:v>26</c:v>
                </c:pt>
                <c:pt idx="8">
                  <c:v>31</c:v>
                </c:pt>
                <c:pt idx="9">
                  <c:v>30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104</c:v>
                </c:pt>
                <c:pt idx="1">
                  <c:v>117</c:v>
                </c:pt>
                <c:pt idx="2">
                  <c:v>106</c:v>
                </c:pt>
                <c:pt idx="3">
                  <c:v>85</c:v>
                </c:pt>
                <c:pt idx="4">
                  <c:v>104</c:v>
                </c:pt>
                <c:pt idx="5">
                  <c:v>110</c:v>
                </c:pt>
                <c:pt idx="6">
                  <c:v>81</c:v>
                </c:pt>
                <c:pt idx="7">
                  <c:v>102</c:v>
                </c:pt>
                <c:pt idx="8">
                  <c:v>84</c:v>
                </c:pt>
                <c:pt idx="9">
                  <c:v>94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138</c:v>
                </c:pt>
                <c:pt idx="1">
                  <c:v>128</c:v>
                </c:pt>
                <c:pt idx="2">
                  <c:v>84</c:v>
                </c:pt>
                <c:pt idx="3">
                  <c:v>124</c:v>
                </c:pt>
                <c:pt idx="4">
                  <c:v>134</c:v>
                </c:pt>
                <c:pt idx="5">
                  <c:v>96</c:v>
                </c:pt>
                <c:pt idx="6">
                  <c:v>91</c:v>
                </c:pt>
                <c:pt idx="7">
                  <c:v>112</c:v>
                </c:pt>
                <c:pt idx="8">
                  <c:v>107</c:v>
                </c:pt>
                <c:pt idx="9">
                  <c:v>131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31.095999999999997</c:v>
                </c:pt>
                <c:pt idx="1">
                  <c:v>48.361999999999995</c:v>
                </c:pt>
                <c:pt idx="2">
                  <c:v>49.900000000000006</c:v>
                </c:pt>
                <c:pt idx="3">
                  <c:v>69.60000000000001</c:v>
                </c:pt>
                <c:pt idx="4">
                  <c:v>91.79999999999998</c:v>
                </c:pt>
                <c:pt idx="5">
                  <c:v>77.30000000000001</c:v>
                </c:pt>
                <c:pt idx="6">
                  <c:v>151.69999999999996</c:v>
                </c:pt>
                <c:pt idx="7">
                  <c:v>150.7</c:v>
                </c:pt>
                <c:pt idx="8">
                  <c:v>192.79999999999998</c:v>
                </c:pt>
                <c:pt idx="9">
                  <c:v>203.29999999999998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30.5</c:v>
                </c:pt>
                <c:pt idx="1">
                  <c:v>59.7</c:v>
                </c:pt>
                <c:pt idx="2">
                  <c:v>65.8</c:v>
                </c:pt>
                <c:pt idx="3">
                  <c:v>71.3</c:v>
                </c:pt>
                <c:pt idx="4">
                  <c:v>122</c:v>
                </c:pt>
                <c:pt idx="5">
                  <c:v>128.4</c:v>
                </c:pt>
                <c:pt idx="6">
                  <c:v>134.7</c:v>
                </c:pt>
                <c:pt idx="7">
                  <c:v>151.1</c:v>
                </c:pt>
                <c:pt idx="8">
                  <c:v>196.1</c:v>
                </c:pt>
                <c:pt idx="9">
                  <c:v>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67.8</c:v>
                </c:pt>
                <c:pt idx="1">
                  <c:v>118.3</c:v>
                </c:pt>
                <c:pt idx="2">
                  <c:v>98.8</c:v>
                </c:pt>
                <c:pt idx="3">
                  <c:v>73.7</c:v>
                </c:pt>
                <c:pt idx="4">
                  <c:v>88.9</c:v>
                </c:pt>
                <c:pt idx="5">
                  <c:v>69.6</c:v>
                </c:pt>
                <c:pt idx="6">
                  <c:v>66</c:v>
                </c:pt>
                <c:pt idx="7">
                  <c:v>77.9</c:v>
                </c:pt>
                <c:pt idx="8">
                  <c:v>101.4</c:v>
                </c:pt>
                <c:pt idx="9">
                  <c:v>102.3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10.8</c:v>
                </c:pt>
                <c:pt idx="1">
                  <c:v>10.8</c:v>
                </c:pt>
                <c:pt idx="2">
                  <c:v>10.8</c:v>
                </c:pt>
                <c:pt idx="3">
                  <c:v>10.8</c:v>
                </c:pt>
                <c:pt idx="4">
                  <c:v>10.8</c:v>
                </c:pt>
                <c:pt idx="5">
                  <c:v>10.8</c:v>
                </c:pt>
                <c:pt idx="6">
                  <c:v>10.8</c:v>
                </c:pt>
                <c:pt idx="7">
                  <c:v>10.8</c:v>
                </c:pt>
                <c:pt idx="8">
                  <c:v>10.8</c:v>
                </c:pt>
                <c:pt idx="9">
                  <c:v>10.8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48.6</c:v>
                </c:pt>
                <c:pt idx="1">
                  <c:v>81.1</c:v>
                </c:pt>
                <c:pt idx="2">
                  <c:v>68.9</c:v>
                </c:pt>
                <c:pt idx="3">
                  <c:v>59.4</c:v>
                </c:pt>
                <c:pt idx="4">
                  <c:v>73.9</c:v>
                </c:pt>
                <c:pt idx="5">
                  <c:v>59.6</c:v>
                </c:pt>
                <c:pt idx="6">
                  <c:v>57.3</c:v>
                </c:pt>
                <c:pt idx="7">
                  <c:v>62.1</c:v>
                </c:pt>
                <c:pt idx="8">
                  <c:v>73.7</c:v>
                </c:pt>
                <c:pt idx="9">
                  <c:v>66.9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-0.37</c:v>
                </c:pt>
                <c:pt idx="1">
                  <c:v>-0.33</c:v>
                </c:pt>
                <c:pt idx="2">
                  <c:v>-0.3</c:v>
                </c:pt>
                <c:pt idx="3">
                  <c:v>-0.14</c:v>
                </c:pt>
                <c:pt idx="4">
                  <c:v>-0.21</c:v>
                </c:pt>
                <c:pt idx="5">
                  <c:v>-0.12</c:v>
                </c:pt>
                <c:pt idx="6">
                  <c:v>-0.19</c:v>
                </c:pt>
                <c:pt idx="7">
                  <c:v>-0.25</c:v>
                </c:pt>
                <c:pt idx="8">
                  <c:v>-0.29</c:v>
                </c:pt>
                <c:pt idx="9">
                  <c:v>-0.39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23.8</c:v>
                </c:pt>
                <c:pt idx="1">
                  <c:v>38.7</c:v>
                </c:pt>
                <c:pt idx="2">
                  <c:v>50.2</c:v>
                </c:pt>
                <c:pt idx="3">
                  <c:v>47.3</c:v>
                </c:pt>
                <c:pt idx="4">
                  <c:v>60.5</c:v>
                </c:pt>
                <c:pt idx="5">
                  <c:v>93.5</c:v>
                </c:pt>
                <c:pt idx="6">
                  <c:v>136.5</c:v>
                </c:pt>
                <c:pt idx="7">
                  <c:v>138.3</c:v>
                </c:pt>
                <c:pt idx="8">
                  <c:v>171.4</c:v>
                </c:pt>
                <c:pt idx="9">
                  <c:v>160.1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4</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Fidelity</c:v>
                </c:pt>
                <c:pt idx="1">
                  <c:v>Baillie Gifford</c:v>
                </c:pt>
                <c:pt idx="2">
                  <c:v>BlackRock</c:v>
                </c:pt>
                <c:pt idx="3">
                  <c:v>Vanguard</c:v>
                </c:pt>
                <c:pt idx="4">
                  <c:v>Capital Group</c:v>
                </c:pt>
                <c:pt idx="5">
                  <c:v>JP Morgan</c:v>
                </c:pt>
                <c:pt idx="6">
                  <c:v>Lindsell Train</c:v>
                </c:pt>
                <c:pt idx="7">
                  <c:v>Aberdeen</c:v>
                </c:pt>
                <c:pt idx="8">
                  <c:v>Dimensional</c:v>
                </c:pt>
                <c:pt idx="9">
                  <c:v>NBIM (fondo soberano de Noruega)</c:v>
                </c:pt>
                <c:pt idx="10">
                  <c:v>Autocartera</c:v>
                </c:pt>
              </c:strCache>
            </c:strRef>
          </c:cat>
          <c:val>
            <c:numRef>
              <c:f>Hoja1!$B$2:$B$12</c:f>
              <c:numCache>
                <c:formatCode>0.0"%"</c:formatCode>
                <c:ptCount val="11"/>
                <c:pt idx="0">
                  <c:v>8.61</c:v>
                </c:pt>
                <c:pt idx="1">
                  <c:v>6.86</c:v>
                </c:pt>
                <c:pt idx="2">
                  <c:v>6.76</c:v>
                </c:pt>
                <c:pt idx="3">
                  <c:v>5.74</c:v>
                </c:pt>
                <c:pt idx="4">
                  <c:v>4.03</c:v>
                </c:pt>
                <c:pt idx="5">
                  <c:v>2.58</c:v>
                </c:pt>
                <c:pt idx="6">
                  <c:v>2.23</c:v>
                </c:pt>
                <c:pt idx="7">
                  <c:v>2.05</c:v>
                </c:pt>
                <c:pt idx="8">
                  <c:v>2.02</c:v>
                </c:pt>
                <c:pt idx="9">
                  <c:v>1.87</c:v>
                </c:pt>
                <c:pt idx="10">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269</c:v>
                </c:pt>
                <c:pt idx="2">
                  <c:v>15.5</c:v>
                </c:pt>
                <c:pt idx="3">
                  <c:v>100.8</c:v>
                </c:pt>
                <c:pt idx="4">
                  <c:v>83.5</c:v>
                </c:pt>
                <c:pt idx="5">
                  <c:v>-11</c:v>
                </c:pt>
                <c:pt idx="6">
                  <c:v>-14.1</c:v>
                </c:pt>
                <c:pt idx="7">
                  <c:v>15.2</c:v>
                </c:pt>
                <c:pt idx="8">
                  <c:v>34.9</c:v>
                </c:pt>
                <c:pt idx="9">
                  <c:v>42.1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5.9</c:v>
                </c:pt>
                <c:pt idx="1">
                  <c:v>10.6</c:v>
                </c:pt>
                <c:pt idx="2">
                  <c:v>14.8</c:v>
                </c:pt>
                <c:pt idx="3">
                  <c:v>22.4</c:v>
                </c:pt>
                <c:pt idx="4">
                  <c:v>21.8</c:v>
                </c:pt>
                <c:pt idx="5">
                  <c:v>12.4</c:v>
                </c:pt>
                <c:pt idx="6">
                  <c:v>14.4</c:v>
                </c:pt>
                <c:pt idx="7">
                  <c:v>13.3</c:v>
                </c:pt>
                <c:pt idx="8">
                  <c:v>16.2</c:v>
                </c:pt>
                <c:pt idx="9">
                  <c:v>20</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14.6</c:v>
                </c:pt>
                <c:pt idx="1">
                  <c:v>14.6</c:v>
                </c:pt>
                <c:pt idx="2">
                  <c:v>14.6</c:v>
                </c:pt>
                <c:pt idx="3">
                  <c:v>14.6</c:v>
                </c:pt>
                <c:pt idx="4">
                  <c:v>14.6</c:v>
                </c:pt>
                <c:pt idx="5">
                  <c:v>14.6</c:v>
                </c:pt>
                <c:pt idx="6">
                  <c:v>14.6</c:v>
                </c:pt>
                <c:pt idx="7">
                  <c:v>14.6</c:v>
                </c:pt>
                <c:pt idx="8">
                  <c:v>14.6</c:v>
                </c:pt>
                <c:pt idx="9">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Games Workshop</c:v>
                </c:pt>
                <c:pt idx="1">
                  <c:v>Hasbro</c:v>
                </c:pt>
                <c:pt idx="2">
                  <c:v>Mattel</c:v>
                </c:pt>
                <c:pt idx="3">
                  <c:v>Spin Master</c:v>
                </c:pt>
                <c:pt idx="4">
                  <c:v>Funko</c:v>
                </c:pt>
                <c:pt idx="5">
                  <c:v>Asmodee</c:v>
                </c:pt>
                <c:pt idx="6">
                  <c:v>Bandai Namco</c:v>
                </c:pt>
                <c:pt idx="7">
                  <c:v>Tomy (Takara Tomy)</c:v>
                </c:pt>
                <c:pt idx="8">
                  <c:v>Sanrio</c:v>
                </c:pt>
              </c:strCache>
            </c:strRef>
          </c:cat>
          <c:val>
            <c:numRef>
              <c:f>Hoja1!$B$2:$B$10</c:f>
              <c:numCache>
                <c:formatCode>0.0"x"</c:formatCode>
                <c:ptCount val="9"/>
                <c:pt idx="0">
                  <c:v>16.7</c:v>
                </c:pt>
                <c:pt idx="1">
                  <c:v>10.1</c:v>
                </c:pt>
                <c:pt idx="2">
                  <c:v>7.6</c:v>
                </c:pt>
                <c:pt idx="3">
                  <c:v>4.4</c:v>
                </c:pt>
                <c:pt idx="4">
                  <c:v>5.2</c:v>
                </c:pt>
                <c:pt idx="5">
                  <c:v>11.4</c:v>
                </c:pt>
                <c:pt idx="6">
                  <c:v>12.3</c:v>
                </c:pt>
                <c:pt idx="7">
                  <c:v>9.4</c:v>
                </c:pt>
                <c:pt idx="8">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Games Workshop</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5.2</c:v>
                </c:pt>
              </c:numCache>
            </c:numRef>
          </c:xVal>
          <c:yVal>
            <c:numRef>
              <c:f>Hoja1!$C$2</c:f>
              <c:numCache>
                <c:formatCode>0.0"x"</c:formatCode>
                <c:ptCount val="1"/>
                <c:pt idx="0">
                  <c:v>16.7</c:v>
                </c:pt>
              </c:numCache>
            </c:numRef>
          </c:yVal>
          <c:smooth val="0"/>
        </c:ser>
        <c:ser>
          <c:idx val="1"/>
          <c:order val="1"/>
          <c:tx>
            <c:strRef>
              <c:f>Hoja1!$A$3</c:f>
              <c:strCache>
                <c:ptCount val="1"/>
                <c:pt idx="0">
                  <c:v>Hasbro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7.2</c:v>
                </c:pt>
              </c:numCache>
            </c:numRef>
          </c:xVal>
          <c:yVal>
            <c:numRef>
              <c:f>Hoja1!$C$3</c:f>
              <c:numCache>
                <c:formatCode>0.0"x"</c:formatCode>
                <c:ptCount val="1"/>
                <c:pt idx="0">
                  <c:v>10.1</c:v>
                </c:pt>
              </c:numCache>
            </c:numRef>
          </c:yVal>
          <c:smooth val="0"/>
        </c:ser>
        <c:ser>
          <c:idx val="2"/>
          <c:order val="2"/>
          <c:tx>
            <c:strRef>
              <c:f>Hoja1!$A$4</c:f>
              <c:strCache>
                <c:ptCount val="1"/>
                <c:pt idx="0">
                  <c:v>Mattel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7.6</c:v>
                </c:pt>
              </c:numCache>
            </c:numRef>
          </c:yVal>
          <c:smooth val="0"/>
        </c:ser>
        <c:ser>
          <c:idx val="3"/>
          <c:order val="3"/>
          <c:tx>
            <c:strRef>
              <c:f>Hoja1!$A$5</c:f>
              <c:strCache>
                <c:ptCount val="1"/>
                <c:pt idx="0">
                  <c:v>Spin Master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2.5</c:v>
                </c:pt>
              </c:numCache>
            </c:numRef>
          </c:xVal>
          <c:yVal>
            <c:numRef>
              <c:f>Hoja1!$C$5</c:f>
              <c:numCache>
                <c:formatCode>0.0"x"</c:formatCode>
                <c:ptCount val="1"/>
                <c:pt idx="0">
                  <c:v>4.4</c:v>
                </c:pt>
              </c:numCache>
            </c:numRef>
          </c:yVal>
          <c:smooth val="0"/>
        </c:ser>
        <c:ser>
          <c:idx val="4"/>
          <c:order val="4"/>
          <c:tx>
            <c:strRef>
              <c:f>Hoja1!$A$6</c:f>
              <c:strCache>
                <c:ptCount val="1"/>
                <c:pt idx="0">
                  <c:v>Funko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6.1</c:v>
                </c:pt>
              </c:numCache>
            </c:numRef>
          </c:xVal>
          <c:yVal>
            <c:numRef>
              <c:f>Hoja1!$C$6</c:f>
              <c:numCache>
                <c:formatCode>0.0"x"</c:formatCode>
                <c:ptCount val="1"/>
                <c:pt idx="0">
                  <c:v>5.2</c:v>
                </c:pt>
              </c:numCache>
            </c:numRef>
          </c:yVal>
          <c:smooth val="0"/>
        </c:ser>
        <c:ser>
          <c:idx val="5"/>
          <c:order val="5"/>
          <c:tx>
            <c:strRef>
              <c:f>Hoja1!$A$7</c:f>
              <c:strCache>
                <c:ptCount val="1"/>
                <c:pt idx="0">
                  <c:v>Asmodee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11.4</c:v>
                </c:pt>
              </c:numCache>
            </c:numRef>
          </c:yVal>
          <c:smooth val="0"/>
        </c:ser>
        <c:ser>
          <c:idx val="6"/>
          <c:order val="6"/>
          <c:tx>
            <c:strRef>
              <c:f>Hoja1!$A$8</c:f>
              <c:strCache>
                <c:ptCount val="1"/>
                <c:pt idx="0">
                  <c:v>Bandai Namco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6.5</c:v>
                </c:pt>
              </c:numCache>
            </c:numRef>
          </c:xVal>
          <c:yVal>
            <c:numRef>
              <c:f>Hoja1!$C$8</c:f>
              <c:numCache>
                <c:formatCode>0.0"x"</c:formatCode>
                <c:ptCount val="1"/>
                <c:pt idx="0">
                  <c:v>12.3</c:v>
                </c:pt>
              </c:numCache>
            </c:numRef>
          </c:yVal>
          <c:smooth val="0"/>
        </c:ser>
        <c:ser>
          <c:idx val="7"/>
          <c:order val="7"/>
          <c:tx>
            <c:strRef>
              <c:f>Hoja1!$A$9</c:f>
              <c:strCache>
                <c:ptCount val="1"/>
                <c:pt idx="0">
                  <c:v>Tomy (Takara Tomy)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6.5</c:v>
                </c:pt>
              </c:numCache>
            </c:numRef>
          </c:xVal>
          <c:yVal>
            <c:numRef>
              <c:f>Hoja1!$C$9</c:f>
              <c:numCache>
                <c:formatCode>0.0"x"</c:formatCode>
                <c:ptCount val="1"/>
                <c:pt idx="0">
                  <c:v>9.4</c:v>
                </c:pt>
              </c:numCache>
            </c:numRef>
          </c:yVal>
          <c:smooth val="0"/>
        </c:ser>
        <c:ser>
          <c:idx val="8"/>
          <c:order val="8"/>
          <c:tx>
            <c:strRef>
              <c:f>Hoja1!$A$10</c:f>
              <c:strCache>
                <c:ptCount val="1"/>
                <c:pt idx="0">
                  <c:v>Sanrio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16.7</c:v>
                </c:pt>
              </c:numCache>
            </c:numRef>
          </c:xVal>
          <c:yVal>
            <c:numRef>
              <c:f>Hoja1!$C$10</c:f>
              <c:numCache>
                <c:formatCode>0.0"x"</c:formatCode>
                <c:ptCount val="1"/>
                <c:pt idx="0">
                  <c:v>13.7</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Merlin Entertainments (parques y atracciones con marcas como LEGOLAND)</c:v>
                </c:pt>
                <c:pt idx="1">
                  <c:v>Entertainment One (cine, televisión y marcas infantiles: Peppa Pig, PJ Masks)</c:v>
                </c:pt>
                <c:pt idx="2">
                  <c:v>Asmodee (editora y distribuidora de juegos de mesa)</c:v>
                </c:pt>
                <c:pt idx="3">
                  <c:v>Melissa &amp; Doug (juguetes educativos para la primera infancia)</c:v>
                </c:pt>
                <c:pt idx="4">
                  <c:v>Electronic Arts (videojuegos: EA Sports FC, Madden, Battlefield)</c:v>
                </c:pt>
              </c:strCache>
            </c:strRef>
          </c:cat>
          <c:val>
            <c:numRef>
              <c:f>Hoja1!$B$2:$B$6</c:f>
              <c:numCache>
                <c:formatCode>0.0"x"</c:formatCode>
                <c:ptCount val="5"/>
                <c:pt idx="0">
                  <c:v>12</c:v>
                </c:pt>
                <c:pt idx="1">
                  <c:v>16.7</c:v>
                </c:pt>
                <c:pt idx="2">
                  <c:v>11.5</c:v>
                </c:pt>
                <c:pt idx="3">
                  <c:v>10.5</c:v>
                </c:pt>
                <c:pt idx="4">
                  <c:v>29.3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184</c:v>
                </c:pt>
                <c:pt idx="1">
                  <c:v>206</c:v>
                </c:pt>
                <c:pt idx="2">
                  <c:v>228</c:v>
                </c:pt>
                <c:pt idx="3">
                  <c:v>249</c:v>
                </c:pt>
                <c:pt idx="4">
                  <c:v>269</c:v>
                </c:pt>
                <c:pt idx="5">
                  <c:v>288</c:v>
                </c:pt>
                <c:pt idx="6">
                  <c:v>305</c:v>
                </c:pt>
                <c:pt idx="7">
                  <c:v>319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1320</c:v>
                </c:pt>
                <c:pt idx="1">
                  <c:v>1911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163,90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65.32</c:v>
                </c:pt>
                <c:pt idx="1">
                  <c:v>99.1</c:v>
                </c:pt>
                <c:pt idx="2">
                  <c:v>132.01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163,90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(143,00 – 235,40)</c:v>
                </c:pt>
                <c:pt idx="1">
                  <c:v>Precio objetivo de los analistas (220,00 – 221,50)</c:v>
                </c:pt>
                <c:pt idx="2">
                  <c:v>Comparables: EV/EBITDA NTM (69,76 – 114,84)</c:v>
                </c:pt>
                <c:pt idx="3">
                  <c:v>Comparables: PER NTM (86,44 – 124,36)</c:v>
                </c:pt>
                <c:pt idx="4">
                  <c:v>Transacciones precedentes (EV/EBITDA) (113,15 – 163,62)</c:v>
                </c:pt>
                <c:pt idx="5">
                  <c:v>DCF (WACC y g ± 0,5) (89,94 – 110,87)</c:v>
                </c:pt>
                <c:pt idx="6">
                  <c:v>Escenarios (bajista – alcista) (65,32 – 132,01)</c:v>
                </c:pt>
                <c:pt idx="7">
                  <c:v>DCF con la prima implícita del mercado (4,2 %)</c:v>
                </c:pt>
                <c:pt idx="8">
                  <c:v>Precio actual (163,90)</c:v>
                </c:pt>
              </c:strCache>
            </c:strRef>
          </c:cat>
          <c:val>
            <c:numRef>
              <c:f>Hoja1!$B$2:$B$10</c:f>
              <c:numCache>
                <c:formatCode>#,##0</c:formatCode>
                <c:ptCount val="9"/>
                <c:pt idx="0">
                  <c:v>143</c:v>
                </c:pt>
                <c:pt idx="1">
                  <c:v>220</c:v>
                </c:pt>
                <c:pt idx="2">
                  <c:v>69.76</c:v>
                </c:pt>
                <c:pt idx="3">
                  <c:v>86.44</c:v>
                </c:pt>
                <c:pt idx="4">
                  <c:v>113.15</c:v>
                </c:pt>
                <c:pt idx="5">
                  <c:v>89.94</c:v>
                </c:pt>
                <c:pt idx="6">
                  <c:v>65.32</c:v>
                </c:pt>
                <c:pt idx="7">
                  <c:v>110.2</c:v>
                </c:pt>
                <c:pt idx="8">
                  <c:v>163.08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(143,00 – 235,40)</c:v>
                </c:pt>
                <c:pt idx="1">
                  <c:v>Precio objetivo de los analistas (220,00 – 221,50)</c:v>
                </c:pt>
                <c:pt idx="2">
                  <c:v>Comparables: EV/EBITDA NTM (69,76 – 114,84)</c:v>
                </c:pt>
                <c:pt idx="3">
                  <c:v>Comparables: PER NTM (86,44 – 124,36)</c:v>
                </c:pt>
                <c:pt idx="4">
                  <c:v>Transacciones precedentes (EV/EBITDA) (113,15 – 163,62)</c:v>
                </c:pt>
                <c:pt idx="5">
                  <c:v>DCF (WACC y g ± 0,5) (89,94 – 110,87)</c:v>
                </c:pt>
                <c:pt idx="6">
                  <c:v>Escenarios (bajista – alcista) (65,32 – 132,01)</c:v>
                </c:pt>
                <c:pt idx="7">
                  <c:v>DCF con la prima implícita del mercado (4,2 %)</c:v>
                </c:pt>
                <c:pt idx="8">
                  <c:v>Precio actual (163,90)</c:v>
                </c:pt>
              </c:strCache>
            </c:strRef>
          </c:cat>
          <c:val>
            <c:numRef>
              <c:f>Hoja1!$C$2:$C$10</c:f>
              <c:numCache>
                <c:formatCode>#,##0</c:formatCode>
                <c:ptCount val="9"/>
                <c:pt idx="0">
                  <c:v>92.4</c:v>
                </c:pt>
                <c:pt idx="1">
                  <c:v>1.5</c:v>
                </c:pt>
                <c:pt idx="2">
                  <c:v>45.08</c:v>
                </c:pt>
                <c:pt idx="3">
                  <c:v>37.92</c:v>
                </c:pt>
                <c:pt idx="4">
                  <c:v>50.47</c:v>
                </c:pt>
                <c:pt idx="5">
                  <c:v>20.930000000000007</c:v>
                </c:pt>
                <c:pt idx="6">
                  <c:v>66.69</c:v>
                </c:pt>
                <c:pt idx="7">
                  <c:v>18.33</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