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Gartner, Inc.</w:t>
      </w:r>
    </w:p>
    <w:p>
      <w:pPr>
        <w:spacing w:after="60"/>
        <w:rPr>
          <w:color w:val="52514E"/>
          <w:sz w:val="22"/>
          <w:szCs w:val="22"/>
        </w:rPr>
      </w:pPr>
      <w:r>
        <w:rPr>
          <w:color w:val="52514E"/>
          <w:sz w:val="22"/>
          <w:szCs w:val="22"/>
        </w:rPr>
        <w:t xml:space="preserve">IT · New York Stock Exchange · ISIN US3666511072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191,15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219,66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+14,9 % (base +17,2 %)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258,48 USD · mercado 298,15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12.086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Gartner,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IT / US3666511072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Servicios de TI (investigación y asesoramiento)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Stamford (Connecticut) · 1979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www.gartner.com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191,15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124,25 – 261,10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12.086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13.757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217,6 M USD/día (1,24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219,66 USD</w:t>
      </w:r>
      <w:r>
        <w:t xml:space="preserve"> frente a 191,15 · Rentabilidad a 12 meses </w:t>
      </w:r>
      <w:r>
        <w:rPr>
          <w:b/>
          <w:bCs/>
        </w:rPr>
        <w:t xml:space="preserve">+14,9 % (base +17,2 %)</w:t>
      </w:r>
      <w:r>
        <w:t xml:space="preserve"> · Valor intrínseco 258,48 USD · con la prima implícita del mercado: 298,15 (+56,0 %) · Alcista / bajista +80,4 % / -39,4 %</w:t>
      </w:r>
    </w:p>
    <w:p>
      <w:pPr>
        <w:spacing w:after="100"/>
      </w:pPr>
      <w:r>
        <w:rPr>
          <w:b/>
        </w:rPr>
        <w:t xml:space="preserve">La recomendación y por qué.</w:t>
      </w:r>
      <w:r>
        <w:t xml:space="preserve"> Comprar, con convicción media. El valor objetivo es de 258,48 USD, un 35,2 % por encima del precio de 191,15 USD; sin dividendo, esa es la rentabilidad total esperada a 12 meses. La asimetría es de 2,04 veces (+80,4 % en el alcista frente a −39,4 % en el bajista) y las dos reglas dan Comprar; con la prima de riesgo que hoy pide el mercado, el objetivo sube a 298,15 USD (+56,0 %). La razón: el precio descuenta unas ventas planas hasta 2033e y el valor de contratos ya vuelve a crecer un 2 %. La convicción es media porque el bajista pierde más de un 25 %: si la IA sustituye la investigación de pago, la pérdida es grande. Subiría si la retención de cartera de GTS vuelve al 100 % y bajaría si cae por debajo del 95 % (resultados del 3T26, 3 de noviembre).</w:t>
      </w:r>
    </w:p>
    <w:p>
      <w:pPr>
        <w:spacing w:after="100"/>
      </w:pPr>
      <w:r>
        <w:rPr>
          <w:b/>
        </w:rPr>
        <w:t xml:space="preserve">El negocio.</w:t>
      </w:r>
      <w:r>
        <w:t xml:space="preserve"> Gartner vende suscripciones de investigación para directivos: Insights es el 78 % de los ingresos, con un margen de contribución del 77 %, el 85 % de los clientes renueva y cobra por adelantado, lo que da un circulante del −36 % de las ventas y un ROIC del 51,1 % frente a un WACC del 9,3 % [2]. La amenaza es real: el valor de contratos pasó de crecer un 8 % en 2024 al 1 % en 2025 por los recortes federales y por clientes que gastan menos (retención de cartera de GTS del 102 % al 97 %) [3, 4]. Su calidad sostiene </w:t>
      </w:r>
      <w:r>
        <w:rPr>
          <w:b/>
        </w:rPr>
        <w:t xml:space="preserve">en parte</w:t>
      </w:r>
      <w:r>
        <w:t xml:space="preserve"> el crecimiento que proyectamos: el 2,8 % anual no pide capital y es la cuarta parte del 11,5 % de 2016-2025, pero el volumen no está demostrado hoy.</w:t>
      </w:r>
    </w:p>
    <w:p>
      <w:pPr>
        <w:spacing w:after="100"/>
      </w:pPr>
      <w:r>
        <w:rPr>
          <w:b/>
        </w:rPr>
        <w:t xml:space="preserve">Finanzas.</w:t>
      </w:r>
      <w:r>
        <w:t xml:space="preserve"> Flujo libre de 1.289 M en los últimos 12 meses (10,7 % de la capitalización) y deuda neta ajustada de 1.671 M (1,2 veces el EBITDA) [3]. El patrimonio es negativo por las recompras, no por pérdidas. El BPA ajustado excluye 155,9 M de pagos en acciones, que nosotros restamos [2].</w:t>
      </w:r>
    </w:p>
    <w:p>
      <w:pPr>
        <w:spacing w:after="100"/>
      </w:pPr>
      <w:r>
        <w:rPr>
          <w:b/>
        </w:rPr>
        <w:t xml:space="preserve">Equipo y gobierno.</w:t>
      </w:r>
      <w:r>
        <w:t xml:space="preserve"> Neutro: 12 consejeros independientes de 13, una acción un voto y sin accionista de control [25]. Restan la sucesión de Hall (69 años, primer ejecutivo y presidente), recompras a 283-453 USD de media en 2024-2025 y una demanda colectiva por la guía de 2025 [25, 37].</w:t>
      </w:r>
    </w:p>
    <w:p>
      <w:pPr>
        <w:spacing w:after="100"/>
      </w:pPr>
      <w:r>
        <w:rPr>
          <w:b/>
        </w:rPr>
        <w:t xml:space="preserve">Valoración.</w:t>
      </w:r>
      <w:r>
        <w:t xml:space="preserve"> El DCF da 254,13 USD (+32,9 %). El DCF inverso dice que el precio supone unas ventas planas (0,0 % anual) en 2027e-2033e, frente al 3,4 % de nuestro caso base, o un margen EBITDA del 18,3 % en vez del 23,5 %: comprar hoy rinde un 11,3 % anual con nuestro caso base, frente a un WACC del 9,3 %. Cotiza a 9,1 veces el EBITDA de los próximos 12 meses, en mínimos de diez años y frente a una mediana de 13,9 veces de los comparables, que tienen el doble de margen. Nuestras cifras quedan algo por debajo del consenso (−2,7 % en ventas de 2028e), pero su precio objetivo medio (189,08 USD) es el precio de hoy [63]: discrepamos de los analistas en el valor, no en las cifras.</w:t>
      </w:r>
    </w:p>
    <w:p>
      <w:pPr>
        <w:spacing w:after="100"/>
      </w:pPr>
      <w:r>
        <w:rPr>
          <w:b/>
        </w:rPr>
        <w:t xml:space="preserve">Riesgos y catalizadores.</w:t>
      </w:r>
      <w:r>
        <w:t xml:space="preserve"> El mayor riesgo es la sustitución por la IA generativa: el bajista, con ingresos a la baja y el margen de 2020, vale 115,79 USD. Cada punto menos de crecimiento anual resta un 8 % y dos puntos de margen, un 9 %. Los foros pasan del miedo a un optimismo prudente; la posición corta es del 13,2 % [60, 95]. Catalizadores: el 3T26 (3-nov) y la guía de 2027 (febrero).</w:t>
      </w:r>
    </w:p>
    <w:p>
      <w:pPr>
        <w:spacing w:after="100"/>
      </w:pPr>
      <w:r>
        <w:rPr>
          <w:b/>
        </w:rPr>
        <w:t xml:space="preserve">Qué cambiaría la decisión.</w:t>
      </w:r>
      <w:r>
        <w:t xml:space="preserve"> Comprar por debajo de 246,07 USD y vender por encima de 318,96. Pasaríamos a Mantener si el valor de contratos crece menos de un 1 % en el 3T26 o el 4T26, o si la retención de cartera de GTS baja del 95 %.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219,66 USD</w:t>
      </w:r>
      <w:r>
        <w:t xml:space="preserve"> (rentabilidad +14,9 % (base +17,2 %)) · Valor intrínseco: 258,48 USD (+35,2 % sobre 191,15) · con la prima implícita del mercado: 298,15 (+56,0 %)</w:t>
      </w:r>
    </w:p>
    <w:p>
      <w:pPr>
        <w:spacing w:after="100"/>
      </w:pPr>
      <w:r>
        <w:t xml:space="preserve">Gartner es la mayor empresa de investigación y asesoramiento para directivos: 6.497 M USD de ingresos en 2025, un valor de contratos de 5.283 M a junio de 2026 y más de 13.000 empresas clientes, con unos ingresos de Insights 17 veces los de investigación de Forrester [2, 4, 26]. Cobra por adelantado, invierte un 2 % de las ventas y convierte en caja el 149 % del beneficio: un ROIC del 51,1 %. En diez años ha recomprado 6.768 M de acciones [1].</w:t>
      </w:r>
    </w:p>
    <w:p>
      <w:pPr>
        <w:spacing w:after="100"/>
      </w:pPr>
      <w:r>
        <w:t xml:space="preserve">El precio, 191,15 USD, descuenta que ese negocio deja de crecer. A 9,1 veces el EBITDA de los próximos 12 meses, en mínimos de diez años, el DCF inverso pide unas ventas planas hasta 2033e o un margen EBITDA del 18,3 %. La caída del 77 % desde noviembre de 2024 responde al frenazo del valor de contratos (del +8 % al +1 %), a los recortes federales y al miedo a que la IA generativa sustituya la investigación de pago [4, 59].</w:t>
      </w:r>
    </w:p>
    <w:p>
      <w:pPr>
        <w:spacing w:after="100"/>
      </w:pPr>
      <w:r>
        <w:t xml:space="preserve">El mercado acierta en que el crecimiento de doble dígito no vuelve pronto, y exagera al suponer que no habrá ninguno: el valor de contratos se ha acelerado del +1,0 % del 4T25 y el 1T26 al +1,7 % del 2T26, la retención de clientes aguanta en el 85 % y la dirección ha subido dos veces la guía de beneficio de 2026 [3, 4, 57]. Para invertir hay que creer que la IA reduce el gasto por cliente, pero no el número de clientes, y que Gartner puede subir sus tarifas al ritmo de la inflación. Con eso, la acción rinde un 11,3 % anual.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10,80 = 126,36 · 14,6x × 15,34 = 223,96 · 19,8x × 17,62 = 348,88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 / 17,2 %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189,08 (nuestro base +18,4 %)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258,48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80,4 % / -39,4 %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frente a 9,3 % y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298,15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bajista del -39,4 %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191,01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191,01 y 244,07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244,07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valor de contratos crece menos de un 1 % interanual en el 3T26 o el 4T26, pasaríamos a Mantener.</w:t>
      </w:r>
    </w:p>
    <w:p>
      <w:pPr>
        <w:pStyle w:val="ListParagraph"/>
        <w:numPr>
          <w:ilvl w:val="0"/>
          <w:numId w:val="2"/>
        </w:numPr>
        <w:spacing w:after="60"/>
      </w:pPr>
      <w:r>
        <w:t xml:space="preserve">Si la retención de cartera de GTS baja del 95 % o la de clientes del 84 %, pasaríamos a Mantener o Vender.</w:t>
      </w:r>
    </w:p>
    <w:p>
      <w:pPr>
        <w:pStyle w:val="ListParagraph"/>
        <w:numPr>
          <w:ilvl w:val="0"/>
          <w:numId w:val="2"/>
        </w:numPr>
        <w:spacing w:after="60"/>
      </w:pPr>
      <w:r>
        <w:t xml:space="preserve">Si la guía de 2027 (febrero) da ingresos por debajo del +2 % sin divisa, revisaríamos el caso base a la baja.</w:t>
      </w:r>
    </w:p>
    <w:p>
      <w:pPr>
        <w:pStyle w:val="ListParagraph"/>
        <w:numPr>
          <w:ilvl w:val="0"/>
          <w:numId w:val="2"/>
        </w:numPr>
        <w:spacing w:after="60"/>
      </w:pPr>
      <w:r>
        <w:t xml:space="preserve">Si el precio supera los 318,96 USD sin cambios en las cifras, pasaríamos a Vender o reducir.</w:t>
      </w:r>
    </w:p>
    <w:p>
      <w:pPr>
        <w:pStyle w:val="ListParagraph"/>
        <w:numPr>
          <w:ilvl w:val="0"/>
          <w:numId w:val="2"/>
        </w:numPr>
        <w:spacing w:after="60"/>
      </w:pPr>
      <w:r>
        <w:t xml:space="preserve">Si Hall sale sin un sucesor interno creíble,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Unas ventas planas de 2027e a 2033e con nuestro margen, o un margen EBITDA del 18,3 % con nuestro crecimiento: una Gartner que la IA generativa estanca, valorada a 9,1 veces el EBITDA de los próximos 12 meses, por debajo de su mínimo de diez años (14,8 veces) y de Dun &amp; Bradstreet en su venta (8,3 veces).</w:t>
      </w:r>
    </w:p>
    <w:p>
      <w:pPr>
        <w:keepNext/>
        <w:spacing w:after="100"/>
      </w:pPr>
      <w:r>
        <w:rPr>
          <w:b/>
          <w:bCs/>
        </w:rPr>
        <w:t xml:space="preserve">Lo que creemos nosotros.</w:t>
      </w:r>
    </w:p>
    <w:p>
      <w:pPr>
        <w:spacing w:after="100"/>
      </w:pPr>
      <w:r>
        <w:t xml:space="preserve">Un crecimiento del 2,8 % anual (3,4 % desde 2027e) que sube del 2,5 % de 2027e al 4 % de 2029e-2030e, con un margen EBITDA contable que pasa del 22,6 % al 23,5 %, algo por debajo del consenso en ventas. Es una Gartner mucho más lenta que la de 2016-2025, pero no una que deje de crecer.</w:t>
      </w:r>
    </w:p>
    <w:p>
      <w:pPr>
        <w:keepNext/>
        <w:spacing w:after="100"/>
      </w:pPr>
      <w:r>
        <w:rPr>
          <w:b/>
          <w:bCs/>
        </w:rPr>
        <w:t xml:space="preserve">Por qué podemos tener razón.</w:t>
      </w:r>
    </w:p>
    <w:p>
      <w:pPr>
        <w:spacing w:after="100"/>
      </w:pPr>
      <w:r>
        <w:t xml:space="preserve">El valor de contratos ya se acelera (del +1,0 % del 4T25 al +1,7 % del 2T26) y la retención de clientes aguanta en el 85-86 % [3, 4]. La IA reduce lo que gasta cada cliente (retención de cartera del 97 %), pero no ha hecho que se vayan, y Gartner la incorpora con AskGartner [2]. Con un circulante negativo, cada punto de crecimiento genera caja; y el flujo libre (10,7 % de la capitalización) paga esperar.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9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Caja abundante y barata</w:t>
      </w:r>
      <w:r>
        <w:t xml:space="preserve">: flujo libre de 1.289 M en los últimos 12 meses, el 10,7 % de la capitalización.</w:t>
      </w:r>
    </w:p>
    <w:p>
      <w:pPr>
        <w:pStyle w:val="ListParagraph"/>
        <w:numPr>
          <w:ilvl w:val="0"/>
          <w:numId w:val="2"/>
        </w:numPr>
        <w:spacing w:after="60"/>
      </w:pPr>
      <w:r>
        <w:rPr>
          <w:b/>
        </w:rPr>
        <w:t xml:space="preserve">Negocio de suscripción con circulante negativo</w:t>
      </w:r>
      <w:r>
        <w:t xml:space="preserve">: los ingresos diferidos (2.810 M) financian el crecimiento y el ROIC es del 51,1 %.</w:t>
      </w:r>
    </w:p>
    <w:p>
      <w:pPr>
        <w:pStyle w:val="ListParagraph"/>
        <w:numPr>
          <w:ilvl w:val="0"/>
          <w:numId w:val="2"/>
        </w:numPr>
        <w:spacing w:after="60"/>
      </w:pPr>
      <w:r>
        <w:rPr>
          <w:b/>
        </w:rPr>
        <w:t xml:space="preserve">El precio no pide crecimiento</w:t>
      </w:r>
      <w:r>
        <w:t xml:space="preserve">: el DCF inverso descuenta unas ventas planas (0,0 % anual) hasta 2033e.</w:t>
      </w:r>
    </w:p>
    <w:p>
      <w:pPr>
        <w:pStyle w:val="ListParagraph"/>
        <w:numPr>
          <w:ilvl w:val="0"/>
          <w:numId w:val="2"/>
        </w:numPr>
        <w:spacing w:after="60"/>
      </w:pPr>
      <w:r>
        <w:rPr>
          <w:b/>
        </w:rPr>
        <w:t xml:space="preserve">Aceleración incipiente</w:t>
      </w:r>
      <w:r>
        <w:t xml:space="preserve">: el valor de contratos pasa del +1,0 % al +1,7 % en dos trimestres y la guía de BPA ajustado sube de 12,30 a 14,00 USD.</w:t>
      </w:r>
    </w:p>
    <w:p>
      <w:pPr>
        <w:pStyle w:val="ListParagraph"/>
        <w:numPr>
          <w:ilvl w:val="0"/>
          <w:numId w:val="2"/>
        </w:numPr>
        <w:spacing w:after="60"/>
      </w:pPr>
      <w:r>
        <w:rPr>
          <w:b/>
        </w:rPr>
        <w:t xml:space="preserve">Recompras a precios bajos</w:t>
      </w:r>
      <w:r>
        <w:t xml:space="preserve">: 1.081,8 M en el primer semestre de 2026 a 153,49 USD de media, y 500 M más autorizados en julio.</w:t>
      </w:r>
    </w:p>
    <w:p>
      <w:pPr>
        <w:pStyle w:val="Heading2"/>
      </w:pPr>
      <w:r>
        <w:t xml:space="preserve">En contra</w:t>
      </w:r>
    </w:p>
    <w:p>
      <w:pPr>
        <w:pStyle w:val="ListParagraph"/>
        <w:numPr>
          <w:ilvl w:val="0"/>
          <w:numId w:val="2"/>
        </w:numPr>
        <w:spacing w:after="60"/>
      </w:pPr>
      <w:r>
        <w:rPr>
          <w:b/>
        </w:rPr>
        <w:t xml:space="preserve">Riesgo de sustitución por la IA</w:t>
      </w:r>
      <w:r>
        <w:t xml:space="preserve">: la retención de cartera de GTS ha bajado del 102 % al 97 %; el bajista vale 115,79 USD (−39,4 %).</w:t>
      </w:r>
    </w:p>
    <w:p>
      <w:pPr>
        <w:pStyle w:val="ListParagraph"/>
        <w:numPr>
          <w:ilvl w:val="0"/>
          <w:numId w:val="2"/>
        </w:numPr>
        <w:spacing w:after="60"/>
      </w:pPr>
      <w:r>
        <w:rPr>
          <w:b/>
        </w:rPr>
        <w:t xml:space="preserve">Sin crecimiento demostrado</w:t>
      </w:r>
      <w:r>
        <w:t xml:space="preserve">: los ingresos de 2026 caen un 1,2 % y la plantilla comercial ha bajado un 4,5 % desde dic-2024.</w:t>
      </w:r>
    </w:p>
    <w:p>
      <w:pPr>
        <w:pStyle w:val="ListParagraph"/>
        <w:numPr>
          <w:ilvl w:val="0"/>
          <w:numId w:val="2"/>
        </w:numPr>
        <w:spacing w:after="60"/>
      </w:pPr>
      <w:r>
        <w:rPr>
          <w:b/>
        </w:rPr>
        <w:t xml:space="preserve">Recompras caras en el pasado</w:t>
      </w:r>
      <w:r>
        <w:t xml:space="preserve">: 1.991 M en 2025 a unos 283 USD de media, en parte con deuda.</w:t>
      </w:r>
    </w:p>
    <w:p>
      <w:pPr>
        <w:pStyle w:val="ListParagraph"/>
        <w:numPr>
          <w:ilvl w:val="0"/>
          <w:numId w:val="2"/>
        </w:numPr>
        <w:spacing w:after="60"/>
      </w:pPr>
      <w:r>
        <w:rPr>
          <w:b/>
        </w:rPr>
        <w:t xml:space="preserve">Persona clave</w:t>
      </w:r>
      <w:r>
        <w:t xml:space="preserve">: Hall, 69 años, es primer ejecutivo desde 2004 y presidente, sin sucesor público.</w:t>
      </w:r>
    </w:p>
    <w:p>
      <w:pPr>
        <w:pStyle w:val="ListParagraph"/>
        <w:numPr>
          <w:ilvl w:val="0"/>
          <w:numId w:val="2"/>
        </w:numPr>
        <w:spacing w:after="60"/>
      </w:pPr>
      <w:r>
        <w:rPr>
          <w:b/>
        </w:rPr>
        <w:t xml:space="preserve">Analistas escépticos</w:t>
      </w:r>
      <w:r>
        <w:t xml:space="preserve">: solo 3 de 15 recomiendan comprar y el precio objetivo medio (189,08 USD) es el precio actual.</w:t>
      </w:r>
    </w:p>
    <w:p>
      <w:pPr>
        <w:pStyle w:val="Heading2"/>
      </w:pPr>
      <w:r>
        <w:t xml:space="preserve">Qué tiene que pasar para que la tesis funcione</w:t>
      </w:r>
    </w:p>
    <w:p>
      <w:pPr>
        <w:spacing w:after="100"/>
      </w:pPr>
      <w:r>
        <w:t xml:space="preserve">La tesis depende de que la IA reduzca el gasto por cliente pero no el número de clientes. La señal es la retención de cartera de GTS: si vuelve al 100 % (97 % a junio de 2026), el valor de contratos se acercará al 4 % del caso base; si baja del 95 % con una retención de clientes por debajo del 84 %, estaremos en el bajista. El dato llega cada trimestre; el próximo, el 3-nov-2026.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valor de contratos (sin divisa)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de Insights un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cartera de GTS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reduce lo que gastan los clientes.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GTS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hace que los clientes se vayan.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comercial con cuota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Sigue bajando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sigue a la contratación comercial.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24,6 %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«nueva base» del director financiero sostiene el DCF.</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17,1x / 12,8x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Gideon Gartner y David Stein fundaron Gartner en 1979 en Stamford (Connecticut) para vender análisis sobre IBM y el mercado de ordenadores [27]. Saatchi &amp; Saatchi la compró en 1988; en 1990 sus directivos la sacaron de bolsa con Bain Capital y Dun &amp; Bradstreet, y volvió a cotizar en octubre de 1993 [27]. Tras una etapa de compras dispersas en la burbuja puntocom, Eugene (Gene) Hall, exdirectivo de McKinsey y ADP, es consejero delegado desde agosto de 2004 y presidente del consejo desde julio de 2024 [25][27]. Con él, Gartner absorbió a sus rivales directos (META Group, AMR Research, Burton Group) y en 2017 compró CEB por 3.500 M USD, lo que la llevó de la investigación de TI a todas las funciones de la empresa [14]. En 2025-2026 vendió Digital Markets (Capterra, GetApp, Software Advice) y sufrió el frenazo del valor de contratos por los recortes federales de EE. UU.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Gideon Gartner y David Stein fundan la empresa en Stamford para ofrecer análisis del sector informático, centrado en IBM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Saatchi &amp; Saatchi compra Gartner Group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directivos la sacan de Saatchi con fondos de Bain Capital y Dun &amp; Bradstreet; bajo Bain el margen pasa del 10 % al 30 %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a bolsa en octubre, con Dun &amp; Bradstreet como dueña del 50 %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el ciclo de sobreexpectación (Hype Cycle), una de sus marcas más conocidas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Eugene A. Hall, consejero delegado (sigue en el cargo en 2026); en diciembre acuerda comprar META Group por 162 M USD [25][27].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AMR Research (cadena de suministro) y Burton Group: absorbe a sus competidores directos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Software Advice, Nubera (GetApp) y Capterra: nace Gartner Digital Markets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CEB (Arlington, 4.900 empleados) por 3.500 M USD: 2.700 M en efectivo y 818,7 M en acciones; entra en investigación para RR. HH., ventas, finanzas y legal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CEB Talent Assessment (antigua SHL) a Exponent Private Equity por 400 M USD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Renombra el segmento Research como Business and Technology Insights; deterioro de 150 M USD del fondo de comercio de Digital Markets; los ingresos federales de EE. UU. caen unos 58 M USD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la venta de Digital Markets por unos 110 M USD (5-feb); entran en el consejo Daniela Rus (MIT) y Edward Bousa; el 3-oct dimite el director jurídico, Thomas Kim, con efecto 16-oct [2][17][16].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Gartner vende investigación, asesoramiento y datos de referencia para directivos de todas las funciones de la empresa (TI, finanzas, RR. HH., cadena de suministro, ventas, marketing, legal) [2]. Tiene tres segmentos: Business and Technology Insights (suscripciones; 5.073 M USD en 2025, el 78 % de los ingresos), Conferences (53 congresos presenciales con más de 83.000 asistentes, entre ellos 12 Symposium/Xpo; 645 M USD) y Consulting (920 consultores, sobre todo optimización de costes y contratos de TI; 552 M USD) [2]. Dentro de Insights, Global Technology Sales vende a usuarios y proveedores de tecnología (CV de 3.910 M USD) y Global Business Sales al resto de funciones (1.245 M USD) [2]. Cuenta con más de 2.400 expertos y 20.244 empleados en 40 países; atiende a más de 13.000 empresas en unos 90 países y sus expertos tuvieron más de 510.000 interacciones con clientes en 2025 [2]. Desde agosto de 2025 ofrece AskGartner, un asistente de IA sobre su contenido [2].</w:t>
      </w:r>
    </w:p>
    <w:p>
      <w:pPr>
        <w:pStyle w:val="Heading2"/>
      </w:pPr>
      <w:r>
        <w:t xml:space="preserve">Cómo gana dinero</w:t>
      </w:r>
    </w:p>
    <w:p>
      <w:pPr>
        <w:spacing w:after="100"/>
      </w:pPr>
      <w:r>
        <w:t xml:space="preserve">El núcleo es una suscripción anual o plurianual por usuario a Insights, cobrada por adelantado y reconocida a lo largo del contrato: da caja antes que beneficio y un capital circulante negativo [2]. El 77 % de los contratos es plurianual [2]. El indicador que adelanta los ingresos es el valor de contratos (CV): 5.155 M USD a cierre de 2025 (+1 %) y 5.283 M USD a junio de 2026 (+2 %) [2][3]. Insights deja un margen de contribución bruta del 77 %, frente al 50 % de Conferences y el 34 % de Consulting [2]. El margen depende de la productividad de la fuerza de ventas y del coste de analistas y comerciales (personal), no de materias primas: el contenido se escribe una vez y se vende muchas veces, con fuerte apalancamiento operativo. Los congresos se reconocen al celebrarse y concentran ingresos en el segundo y cuarto trimestres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Insights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Research (segmentación anterior: Insights + Digital 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Conferences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(Digital Markets, vendido en feb-2026)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Insights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Research (segmentación anterior: Insights + Digital 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Conferences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(Digital Markets, vendido en feb-2026)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y la pérdida de uno solo no sería material [2]. La base es muy amplia (más de 13.000 empresas) y el contrato mínimo es de doce meses [2]. La retención de clientes de Insights fue del 85 % en 2025 (84 % en 2024); la de cartera (wallet retention) bajó en 2025 al 96 % en GTS (102 % en 2024) y al 99 % en GBS (106 %) porque los clientes existentes gastaron menos [2]. A junio de 2026: GTS 85 % de clientes y 97 % de cartera; GBS 86 % y 99 % [3]. El sector público es la debilidad: a cierre de 2025 Gartner tenía 1.000 M USD de contratos pendientes con administraciones (1.200 M en 2024); el CV de Insights con el Gobierno federal de EE. UU. quedó en 126 M USD y se renovó menos de la mitad del de 2024 [2]. El poder de precios se ve en que la cartera retenida superó al 100 % en 2024 (subidas y ampliaciones) y cayó por debajo en 2025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 value (CV) de Insights,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 (dic-2025); 5.282,6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en 2025; +2 % interanual a jun-2026 (a tipo de cambio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crecimiento en Global Technology Sales en 2025 (3.910 frente a 3.911); Global Business Sales +3 %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(GTS / GBS)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 / 87 %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 86 % (2025); 85 % / 86 %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se pierden pocos clientes, pero gastan menos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cartera, wallet retention (GTS / GBS)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 / 106 %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 / 99 % (2025); 97 % / 99 %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 puntos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atribuye a menor gasto de los clientes existentes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Empresas cliente (aprox.)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cerca de 14.000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13.000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 (cifras redondeadas)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10-K de 2022 eran más de 15.000 [2, 12,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Comerciales con cuota (GTS + GBS)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5.102 (3.804 + 1.298,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4.984 (3.704 + 1.280, dic-2025); 4.874 (3.581 + 1.293,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2025; −3 % interanual a jun-2026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reducción de la fuerza de ventas tras años de crecimiento [2, 3,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Asistentes a congresos presenciales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86.625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 congresos frente a 51; los ingresos subieron un 11 % por expositores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consultoría (backlog),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 (dic-2025); 213,8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en 2025; +9 % interanual a jun-2026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tipo de cambio constante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21.044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20.244 (dic-2025); 19.285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 en 2025; −8 % interanual a jun-2026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Bajas sobre todo en Insights y Digital Markets [2, 3, 23].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investigación y asesoramiento independiente para directivos (research &amp; advisory), vendido por suscripción, junto con los congresos de ese mismo público y la consultoría de costes y contratos de TI; perímetro mundial, con EE. UU. y Canadá como primera región de Gartner (4.032,6 M USD de 6.497,2 M en 2025) [2]. No hay estadística oficial ni estudio público y gratuito que mida el gasto real de este mercado. Se usan dos referencias: el mercado potencial que estima la propia Gartner (gasto que podrían hacer las empresas en sus funciones, no gasto realizado) [29, 30, 31] y la cifra de Informa TechTarget para el mercado vecino de investigación tecnológica y marketing B2B [32]. La primera es la que mejor encaja con lo que vende Gartner; ambas son estimaciones de parte interesada.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Gartner estima su mercado potencial en 198.000 M USD (estimación interna presentada en los Investor Day de 2018 y 2019: 55.000 M en tecnología, 23.000 M en cadena de suministro, 25.000 M en marketing, 14.000 M en RR. HH., 24.000 M en finanzas, 38.000 M en ventas y 19.000 M en legal y otras) [30, 31]; en febrero de 2016, antes de comprar CEB, lo cifraba en 61.000 M USD [29]. Informa TechTarget valora en unos 20.000 M USD anuales el área en la intersección de tecnología y marketing B2B, con unos 45.000 clientes potenciales [32]. Frente a esas cifras, el CV de Gartner era de 5.155 M USD a cierre de 2025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TI y demanda de criterio sobre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es el tema de mayor demanda de los clientes de Gartner: más de 6.000 documentos sobre IA, más de 200.000 conversaciones en profundidad y 500.000 preguntas a AskGartner en 2025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Ampliación a funciones distintas de TI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CEB el mercado potencial estimado pasó de 61.000 M USD (2016) a 198.000 M USD (2018) [24, 29, 30]; el CV de Global Business Sales sin el Gobierno federal creció en torno al 6 % en el 4T25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públicos (recortes federales de EE. UU., DOGE)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con agencias federales cayeron unos 58 M USD en 2025; el CV federal de Insights quedó en 126 M USD y se renovó menos de la mitad del de 2024 [2]. A junio de 2026 el sector público aún restaba (caída de un dígito medio)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por IA generativa e información gratuita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y Forrester citan en sus 10-K a los modelos de lenguaje como competencia [2, 26]; el CV de Forrester cayó un 6 % en 2025 (292,4 M USD) y un 3 % a junio de 2026 (283,2 M USD) [26,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compra de los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de Gartner habla de más escrutinio, aprobaciones a más alto nivel y ciclos de compra más largos; la nueva contratación de GTS (más de 300 M USD en el 4T25) bajó un 5 % [18]. La retención de cartera de GTS cayó del 102 % (2024) al 96 % (2025)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domina la investigación sindicada: sus ingresos de Insights (5.073 M USD en 2025) multiplican por 17 los de investigación de Forrester (295,6 M USD) [2, 26]. La rivalidad se libra en los bordes: consultoras, proveedores de datos y medios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muy atomizada (más de 13.000 empresas, ninguna por encima del 10 % de los ingresos) [2], pero los clientes recortan gasto al renovar: retención de cartera del 96 % en GTS y 99 % en GBS en 2025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es el talento (más de 2.400 expertos y 920 consultores en Gartner) [2]; se compite por él con consultoras, editoriales y tecnológicas [26], pero no hay proveedores concentrados.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y Forrester admiten barreras de entrada bajas en partes de su mercado [2, 26]; la marca, la red de analistas y el alcance global (unos 90 países) [2] protegen la parte de suscripción para directivos.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gratuita en internet y servicios de IA; Gartner prevé «más competencia» con la adopción de la IA y avisa de que los chatbots pueden reducir la necesidad de acudir a sus webs [2].</w:t>
            </w:r>
          </w:p>
        </w:tc>
      </w:tr>
    </w:tbl>
    <w:p>
      <w:pPr>
        <w:spacing w:after="160" w:before="0"/>
      </w:pPr>
    </w:p>
    <w:p>
      <w:pPr>
        <w:pStyle w:val="Heading2"/>
      </w:pPr>
      <w:r>
        <w:t xml:space="preserve">Ciclo</w:t>
      </w:r>
    </w:p>
    <w:p>
      <w:pPr>
        <w:spacing w:after="100"/>
      </w:pPr>
      <w:r>
        <w:t xml:space="preserve">El indicador adelantado es el valor de contratos (CV). El de Gartner creció un 12 % en 2019, un 4 % en 2020 (pandemia), un 16 % en 2021, un 12 % en 2022, un 8 % en 2023 y 2024, un 1 % en 2025 y un 2 % a junio de 2026 [2, 3, 10, 38, 39, 40, 41, 42]. En 2008-09 sus clientes de investigación bajaron de 6.798 (2007) a 6.400 (2008) y el CV medio por empresa de 130.000 a 120.000 USD en 2009 [29]. Forrester encoge: CV −6 % en 2025 y −3 % a junio de 2026 [26, 33].</w:t>
      </w:r>
    </w:p>
    <w:p>
      <w:pPr>
        <w:pStyle w:val="Heading2"/>
      </w:pPr>
      <w:r>
        <w:t xml:space="preserve">Regulación</w:t>
      </w:r>
    </w:p>
    <w:p>
      <w:pPr>
        <w:spacing w:after="100"/>
      </w:pPr>
      <w:r>
        <w:t xml:space="preserve">No hay regulación sectorial específica: las normas que pesan en costes son las de datos y de IA. Gartner cita el Reglamento de IA de la UE (en vigor desde el 1-ago-2024) y las leyes de protección de datos (RGPD, CCPA y CPRA, LGPD de Brasil y las de ciberseguridad y datos personales de China) [2]. En contratación pública, las agencias federales de EE. UU. pueden rescindir por conveniencia: Gartner había recibido avisos por unos 3 M USD a cierre de 2025 [2]. Sus objetivos de emisiones están validados por SBTi y vigila la regulación de sostenibilidad en desarrollo en Europa y EE. UU. [2].</w:t>
      </w:r>
    </w:p>
    <w:p>
      <w:pPr>
        <w:pStyle w:val="Heading2"/>
      </w:pPr>
      <w:r>
        <w:t xml:space="preserve">Tendencias y disrupción</w:t>
      </w:r>
    </w:p>
    <w:p>
      <w:pPr>
        <w:spacing w:after="100"/>
      </w:pPr>
      <w:r>
        <w:t xml:space="preserve">La IA generativa es a la vez el tema más demandado y el sustituto más peligroso [2, 18]. Los incumbentes responden con asistentes sobre su propio contenido: AskGartner (agosto de 2025) [2], Forrester AI (2023) y AI Access (3T25), que Forrester asocia a la mejora de su retención de clientes del 73 % al 77 % [26], e ISG Tango en contratación de servicios [36]. Gartner dice haber reducido un 75 % el tiempo de producción de ciertos informes y ampliado su biblioteca activa un 50 % [18]. El sector se concentra: TechTarget se combinó con los negocios digitales de Informa Tech (Omdia, Canalys) en diciembre de 2024 [32].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investigación y asesoramiento por suscripción para directivos: sus ingresos de Insights (5.073 M USD en 2025) multiplican por 17 los de investigación de Forrester, el segundo independiente cotizado [2, 26]. La cuota del 2,6 % es una estimación propia: CV de 5.155 M USD a cierre de 2025 [2] sobre el mercado potencial de 198.000 M USD que estimó la propia Gartner en 2018-2019 [30, 31]; mide la penetración de un mercado teórico, no la cuota del gasto real. En congresos y consultoría (1.197 M USD en 2025) su peso es marginal frente a Informa o Accenture [2, 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Forrester Research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en investigación (295,6 M USD) y consultoría (88,2 M); pérdida operativa de 113,2 M USD por un deterioro del fondo de comercio de 110,7 M (sin él, −0,6 %). CV de 292,4 M USD (−6 %) y 1.797 clientes en 2025; retención de clientes del 77 % y de cartera del 87 % [26]. A junio de 2026, CV de 283,2 M USD (−3 %)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Informa TechTarget (Omdia, Enterprise Strategy Group, Canalys)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TTGT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Controlada por Informa; investigación y asesoramiento (129,4 M USD) más marketing B2B (355,8 M). Pérdida operativa de 1.025,9 M USD por deterioros de 931,5 M (sin ellos, −19,4 %). Cita a Gartner, IDC y Forrester como rivales en investigación tecnológica especializada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Accenture (consultoría)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31-ago-2025; consultoría 35.107 M USD de 69.673 M. Compite con Gartner Consulting y con el asesoramiento a directivos; la propia Gartner la trata como competencia indirecta (consultoras) [2,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Hackett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HCKT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Referencias comparativas (benchmarking) y consultoría de procesos e implantación de Oracle y SAP; resultado operativo de 23,5 M USD en 2025; sus diez primeros clientes son el 24 % de los ingresos y los contratos son cortos (30 días de preaviso)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Information Services Group (ISG)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Asesoramiento en contratación de servicios de TI e investigación (ISG Research); resultado operativo de 17,8 M USD en 2025 y plataforma ISG Tango con más de 25.000 M USD de contratos gestionados [36]. Compite con la consultoría de costes y contratos de Gartner.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IDC (International Data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no publica cuentas. Informa TechTarget la cita entre los grandes de la investigación tecnológica especializada junto a Gartner y Forrester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Info-Tech Research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investigación y asesoramiento de TI para medianas empresas. No publica cuentas.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13.000 empresas clientes y más de 510.000 interacciones de expertos con clientes en 2025 alimentan los datos y comparativas que vende [1]; el negocio es de dos lados (usuarios y proveedores de tecnología en GTS, con 3.910 M USD de CV) y sus evaluaciones de proveedores ganan valor con el uso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77 % de los contratos es plurianual y la retención de clientes de Insights fue del 85 % en 2025 [1]; pero la retención de cartera de GTS bajó del 102 % al 96 % y el Gobierno federal renovó menos de la mitad de su CV: cambiar o recortar es posible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40 años de marca y metodologías propias (Magic Quadrant, Hype Cycle) [1, 8, 15]; margen de contribución de Insights del 77 % en 2025 [1, 15], frente a una Forrester con CV en caída y retención de clientes del 77 %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contenido se produce una vez y se vende muchas veces; margen operativo de Gartner del 15,8 % en 2025 (18,1 % sin el deterioro de 150 M USD) frente a −28,5 % de Forrester, 7,7 % de Hackett y 7,3 % de ISG [1, 7, 18,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2.400 expertos, cuando Forrester tiene 1.474 empleados en total [1, 7]; Gartner compró a sus rivales directos (META Group, AMR, Burton, CEB) [8, 13] y sus ingresos de Insights son 17 veces los de investigación de Forrester [1, 7].</w:t>
            </w:r>
          </w:p>
        </w:tc>
      </w:tr>
    </w:tbl>
    <w:p>
      <w:pPr>
        <w:spacing w:after="160" w:before="0"/>
      </w:pPr>
    </w:p>
    <w:p>
      <w:pPr>
        <w:pStyle w:val="Heading2"/>
      </w:pPr>
      <w:r>
        <w:t xml:space="preserve">Amenazas</w:t>
      </w:r>
    </w:p>
    <w:p>
      <w:pPr>
        <w:spacing w:after="100"/>
      </w:pPr>
      <w:r>
        <w:t xml:space="preserve">La principal es la IA generativa: asistentes generales que responden gratis preguntas que antes requerían un analista, y que pueden entrenarse con contenido de Gartner [2, 26]; Gartner responde con AskGartner (500.000 preguntas en 2025) [18]. La segunda, los presupuestos: recortes federales de EE. UU. (CV federal de 126 M USD a cierre de 2025, menos de la mitad renovado) y ciclos de compra más largos en empresas [2, 18]. La tercera, la erosión de la cartera retenida: GTS al 96 % en 2025 y al 97 % a junio de 2026 [2, 3]. Forrester, con CV −6 % en 2025, muestra hasta dónde puede llegar la presión en un competidor sin escala [26].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2016-2025: ingresos </w:t>
      </w:r>
      <w:r>
        <w:rPr>
          <w:b/>
          <w:bCs/>
        </w:rPr>
        <w:t xml:space="preserve">11,5 %</w:t>
      </w:r>
      <w:r>
        <w:t xml:space="preserve">, EBITDA </w:t>
      </w:r>
      <w:r>
        <w:rPr>
          <w:b/>
          <w:bCs/>
        </w:rPr>
        <w:t xml:space="preserve">15,8 %</w:t>
      </w:r>
      <w:r>
        <w:t xml:space="preserve">, BPA </w:t>
      </w:r>
      <w:r>
        <w:rPr>
          <w:b/>
          <w:bCs/>
        </w:rPr>
        <w:t xml:space="preserve">17,2 %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2.444,5 M USD en 2016 a 6.497,2 M en 2025 (TCAC del 11,5 %), con un salto inorgánico en 2017-2018 por la compra de CEB [1, 14]. Desde 2023 el crecimiento se frena: +7,9 % en 2023, +6,1 % en 2024 y +3,7 % en 2025 (+3 % sin divisa), y el LTM a jun-26 cae un 0,5 % por la venta de Digital Markets; sin ella, los ingresos ajustados del 2T26 suben un 2,8 % [2, 4]. El margen EBIT tocó máximo en 2023 (20,9 %, con la plusvalía de TalentNeuron) y bajó a 15,8 % en 2025 por el deterioro de 150 M del fondo de comercio de Digital Markets y por un SG&amp;A que creció un 6 % (más plantilla y 56,6 M más de costes de despidos) frente a ingresos +4 % [2]. En el primer semestre de 2026 el margen EBIT sube a 21,8 % (18,8 % en el 1S25) porque sale Digital Markets y bajan coste de servicios y amortizaciones [3]. Años no comparables: 2017-2018 (CEB y sus desinversiones), 2020 (pandemia: Conferences cayó a 120 M) y 2026 (venta de Digital Markets).</w:t>
      </w:r>
    </w:p>
    <w:p>
      <w:pPr>
        <w:pStyle w:val="Heading2"/>
      </w:pPr>
      <w:r>
        <w:t xml:space="preserve">Ajustes y partidas no recurrentes</w:t>
      </w:r>
    </w:p>
    <w:p>
      <w:pPr>
        <w:spacing w:after="100"/>
      </w:pPr>
      <w:r>
        <w:t xml:space="preserve">Se usan cifras GAAP. El EBITDA es EBIT + depreciación + amortización de intangibles y lleva dentro la remuneración en acciones (155,9 M en 2025; 154,8 M en 2024; 129,8 M en 2023) [2]. El EBITDA ajustado de la empresa la excluye, junto con despidos, deterioros y plusvalías: 1.611 M en 2025, 1.556 M en 2024 y 1.483 M en 2023 [6, 10]. No recurrentes devueltos al EBITDA: costes de adquisición e integración de CEB (158,5 M en 2017 y 107,2 M en 2018) [13], plusvalía de TalentNeuron (−135,4 M en 2023) [2], deterioro de Digital Markets (150 M en 2025) [7] y, en el LTM, ese deterioro menos la plusvalía de 5,4 M de la venta de Digital Markets [3]. Los deterioros de locales arrendados (49,5 M en 2021 a 4,8 M en 2025) se repiten cada año y se dejan dentro. Debajo del EBIT quedan las indemnizaciones del seguro de cancelación de eventos: 152,3 M en 2021 y 300 M en 2024 [2, 12]; inflan el beneficio neto y el BPA de esos años.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conferencia del 4T25 (3-feb-2026) la dirección presentó una guía 2026 por debajo de lo esperado: ingresos de al menos 6.455 M USD (+2 % sin divisa, sin Digital Markets), EBITDA ajustado de al menos 1.515 M (margen ≥ 23,5 %), BPA ajustado ≥ 12,30 USD y flujo libre ≥ 1.135 M [18]; el consenso esperaba unos 13,48 USD de BPA y 6.700 M de ventas, y la acción abrió un 31,2 % abajo [19]. El director financiero llamó al 23,5 % «the new baseline» del margen [18]. Los analistas preguntaron sobre todo por la reaceleración del contract value (Baird, William Blair, Jefferies), la IA como sustituto de Gartner (Morgan Stanley), la bajada de licencias en las renovaciones (BMO) y el margen (Goldman). A William Blair, que recordó el objetivo de volver a un crecimiento del CV de un dígito alto en 2026, la dirección no lo reiteró: solo dijo que el CV se aceleraría durante el año [18]. En la del 2T26 (4-ago-2026) el tono mejoró: CV +2 % (+3,3 % sin el Gobierno federal), segunda aceleración seguida, y la guía subió a EBITDA ≥ 1.570 M, BPA ajustado ≥ 14 USD y flujo libre ≥ 1.185 M, con ingresos rebajados a ≥ 6.375 M por el dólar [20]. Se preguntó por la plantilla comercial, las retenciones y AskGartner; la dirección se negó a dar un objetivo de crecimiento del CV a medio plazo («as is our normal practice») y no cuantificó los ahorros de costes [20].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(2017: Compra de CEB (5-abr-2017, 3.518,8 M USD: 2.700 M en caja y 818,7 M en acciones) y de L2 (9-mar-2017, 134,2 M): la cuenta solo recoge nueve meses de CEB y el balance la incluye entera [14].; 2018: Venta de CEB Talent Assessment (3-abr-2018, 403,0 M USD) y de otros negocios no estratégicos de CEB: 526,8 M de cobros netos por desinversiones en el año [1, 13].; 2023: Venta de TalentNeuron (feb-2023, 161,1 M USD; plusvalía de 135,4 M dentro del resultado de explotación) [2].; 2026: Venta de Digital Markets (Capterra, GetApp, Software Advice), cerrada el 5-feb-2026 por unos 110 M USD; en 2025 aportó 227,4 M de ingresos y el LTM a jun-26 solo incluye 19,4 M de ella [2,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balance es el de un negocio de suscripción que cobra por adelantado: los ingresos diferidos (2.810 M en 2025, 43 % de las ventas) superan a los clientes (1.685 M), y el circulante operativo es negativo [2]. Incluir los pasivos de contrato en el circulante es clave: sin ellos el fondo de maniobra parecería positivo. La deuda bruta subió de 2.460 M en 2024 a 2.982 M en 2025 por la primera emisión en grado de inversión (800 M en nov-2025), destinada a recompras [2, 15]. La deuda neta pasó de 527 M (2024) a 1.259 M (2025) y unos 1.511 M a jun-2026 [2, 3]. El patrimonio neto se hundió de 1.359 M (2024) a 320 M (2025) y es negativo (−167 M) a jun-2026 porque la autocartera acumulada (10.110 M) supera a los beneficios retenidos (7.220 M) [3]: es efecto de las recompras, no de pérdidas. Deuda bruta / EBITDA ajustado LTM de 1,9 veces según la empresa [18].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2016-2025: FCF </w:t>
      </w:r>
      <w:r>
        <w:rPr>
          <w:b/>
          <w:bCs/>
        </w:rPr>
        <w:t xml:space="preserve">7.897</w:t>
      </w:r>
      <w:r>
        <w:t xml:space="preserve">, conversión </w:t>
      </w:r>
      <w:r>
        <w:rPr>
          <w:b/>
          <w:bCs/>
        </w:rPr>
        <w:t xml:space="preserve">149 %</w:t>
      </w:r>
      <w:r>
        <w:t xml:space="preserve"> del beneficio neto; adquisiciones 2.770, dividendos 0, recompras 6.768.</w:t>
      </w:r>
    </w:p>
    <w:p>
      <w:pPr>
        <w:spacing w:after="100"/>
      </w:pPr>
      <w:r>
        <w:t xml:space="preserve">La conversión de beneficio en caja es alta porque las suscripciones de Insights se cobran por adelantado: el flujo libre (operativo − capex) fue de 1.175 M USD en 2025, el 161 % del beneficio neto y el 18,1 % de las ventas [2]. Los años anómalos tienen causa conocida: 2017 (254,5 M de flujo operativo) carga los costes de integración de CEB [14]; 2021 (1.312,5 M) incluye 166,9 M de cobros del seguro de cancelación de eventos de 2020 [12]; 2024 (1.484,9 M) incluye los 300 M del acuerdo con las aseguradoras y 181 M de aumento de ingresos diferidos [2]. En 2025 el flujo operativo cayó un 13 % porque los ingresos diferidos bajaron 41,9 M (frenazo del CV) frente a la subida de 181,2 M de 2024 [2]. En el 1S26 el flujo operativo sube a 789,3 M (697,1 M en el 1S25) por mejores cobros [3]. El capex es bajo y estable (≈1,5-2 % de las ventas: 115,1 M en 2025), sobre todo software interno y mejoras de oficinas; la empresa no separa mantenimiento y crecimiento. Estimación propia: casi todo es de mantenimiento, porque el crecimiento lo pone la plantilla comercial y de analistas, que va a gasto.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fiables en lo esencial. KPMG firma sin salvedades las cuentas y el control interno, y lleva 30 años como auditor; su materia clave es la incertidumbre fiscal por precios de transferencia [2, 25]. Los tres indicadores son buenos: Altman Z de 3,38 (zona segura, pese al patrimonio casi nulo), Piotroski F de 6 sobre 9 (falla en el ROA, el endeudamiento y la liquidez, por la emisión de bonos para recomprar) y Beneish M de −2,88, lejos del umbral de manipulación. Hay que leer tres cosas con cuidado. El BPA ajustado que comunica la empresa (13,17 USD en 2025) excluye los pagos en acciones (155,9 M, el 2,4 % de las ventas y el 21 % del beneficio), que son un coste real: el BPA contable fue de 9,65 USD [2, 6]. Los beneficios de 2021 y 2024 llevan 152,3 M y 300 M de indemnizaciones del seguro de cancelación de congresos, y el de 2024 otros 161,9 M de beneficio fiscal por una transferencia interna de propiedad intelectual: el BPA de 16,00 USD de 2024 no es repetible [2]. Y las comisiones comerciales se activan (400,7 M en balance) y se amortizan con el contrato, lo que suaviza el gasto comercial [2]. La caja confirma el beneficio: el flujo libre ha sido el 149 % del beneficio neto acumulado de 2016-2025.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155,9 M en 2025 (154,8 M en 2024 y 129,8 M en 2023), un 2,4 % de los ingresos; el EBITDA ajustado de la empresa los excluye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comerciales activadas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400,7 M de comisiones diferidas en el balance a dic-2025 (413,9 M en 2024); la variación sumó 25,3 M a la caja de explotación en 2025 y restó 41,6 M en 2024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neto negativo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patrimonio pasó de 1.359,2 M (2024) a 319,9 M (2025) y a −167,3 M a 30-jun-2026 tras recomprar 2.000 M en 2025 y 1.081,8 M en el primer semestre de 2026; el ROE deja de ser interpretable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del fondo de comercio de Digital Markets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en el 3T25 por la debilidad del mercado y el cambio de organización; el negocio se vendió por unos 105-110 M en feb-2026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fiscal por transferencia interna de propiedad intelectual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161,9 M en 2024 (2,08 USD por acción; tipo efectivo del 9,6 % frente al 24,7 % de 2025); ya hubo otro de 38,1 M en 2019. La materia clave de auditoría es la incertidumbre fiscal por precios de transferencia [2,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Indemnizaciones del seguro de cancelación de eventos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300,0 M en 2024 (acuerdo que cerró las reclamaciones de 2020-2021) y 3,1 M en 2023, dentro del resultado antes de impuestos; infla el beneficio de 2024 frente a 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segmentación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3T25 Research pasa a Insights sin Digital Markets; solo se reexpresan 2023-2025, lo que impide comparar la serie larga del segmento principal [2,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Plusvalías por ventas de negocios dentro del resultado de explotación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135,4 M por TalentNeuron en 2023 y 5,4 M por Digital Markets en 2026 [3, 23].</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46,9 % · </w:t>
      </w:r>
      <w:r>
        <w:rPr>
          <w:b/>
          <w:bCs/>
        </w:rPr>
        <w:t xml:space="preserve">WACC</w:t>
      </w:r>
      <w:r>
        <w:t xml:space="preserve">: 9,3 %.</w:t>
      </w:r>
    </w:p>
    <w:p>
      <w:pPr>
        <w:spacing w:after="100"/>
      </w:pPr>
      <w:r>
        <w:rPr>
          <w:b/>
        </w:rPr>
        <w:t xml:space="preserve">Gartner crea mucho valor con poco capital, pero el ROIC dejó de subir.</w:t>
      </w:r>
      <w:r>
        <w:t xml:space="preserve"> El capital invertido de explotación es pequeño (1.733 M en 2025) porque los clientes pagan las suscripciones por adelantado: los ingresos diferidos (2.810 M) financian el circulante, que es negativo, un −36,4 % de las ventas [2]. Con un beneficio operativo después de impuestos de 886 M, el ROIC fue del 51,1 % en 2025, frente a un WACC del 9,3 %. Lo crea desde 2020: tras la compra de CEB (2017), el fondo de comercio hundió el ROIC al 5,7-10,8 % en 2017-2019, y la subida al 56,4 % de 2024 vino del margen (EBIT del 9,2 % en 2018 al 18,4 % en 2024) con una rotación estable de 0,6-0,8 veces. El ROIC incremental histórico (46,9 %) confirma que el crecimiento orgánico apenas pide capital. En 2025 bajó cinco puntos porque el beneficio operativo cayó (deterioro de Digital Markets y despidos), no porque se invirtiera más. El ROE (86,9 %) no significa nada: el patrimonio es casi nulo, y negativo a junio de 2026, por las recompras [3]. Forrester, el rival comparable, tiene pérdidas operativas [26].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1.488,7 M USD a 30-jun-2026 + línea de crédito revolving de 1.000 M no dispuesta (vence el 26-mar-2029, ampliable en 750 M) [3]. A 31-dic-2025: caja 1.722,5 M (57 % fuera de EE. UU.) y la misma línea sin disponer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Baa3 / S&amp;P BBB- / Fitch BBB (calificaciones previstas en la emisión de nov-2025, primera en grado de inversión)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Deuda 100 % a tipo fijo: bonos senior no garantizados de 800 M al 4,50 % (jul-2028), 600 M al 3,625 % (jun-2029), 800 M al 3,75 % (oct-2030), 350 M al 4,95 % (mar-2031) y 450 M al 5,60 % (nov-2035) [2, 15]. La línea de crédito exige un ratio máximo de apalancamiento y limita gravámenes, adquisiciones y deuda de filiales; el margen depende del apalancamiento o del rating (1,125-1,75 %) [2]. Arrendamientos operativos de oficinas por 366,3 M a cierre de 2025 y 350,2 M a jun-2026, fuera de la deuda por US GAAP [2, 3]. Otros pasivos a largo plazo de 446,5 M (2025) con compensación diferida de empleados y planes de pensiones [2]. Los ingresos diferidos (2.810,1 M en 2025; 2.756,2 M a jun-2026) son cobros anticipados de suscripciones, no deuda, pero financian el circulante [2, 3]. Sin litigios relevantes provisionados [2].</w:t>
      </w:r>
    </w:p>
    <w:p>
      <w:pPr>
        <w:pStyle w:val="Heading1"/>
      </w:pPr>
      <w:r>
        <w:t xml:space="preserve">12. Asignación de capital</w:t>
      </w:r>
    </w:p>
    <w:p>
      <w:pPr>
        <w:pStyle w:val="Confianza"/>
        <w:spacing w:after="100"/>
      </w:pPr>
      <w:r>
        <w:t xml:space="preserve">Confianza: Alta</w:t>
      </w:r>
    </w:p>
    <w:p>
      <w:pPr>
        <w:spacing w:after="100"/>
      </w:pPr>
      <w:r>
        <w:t xml:space="preserve">Gartner no paga dividendos y no prevé hacerlo; el contrato de crédito de 2024 limita su pago [2]. Su asignación de capital declarada son las recompras y las compras pequeñas que creen valor (tuck-in) [18]. El programa de recompras nació en 2015 con 1.200 M y se amplió en 6.900 M entre feb-2021 y abr-2026 (500 M el 29-ene-2026); a 30-jun-2026 quedaban unos 800 M disponibles [2, 3]. En 2025 recompró unos 2.000 M (7,0 M de acciones) y en el primer semestre de 2026 otros 1.081,8 M (6,9 M de acciones a 153,49 USD de media), financiados en parte con su primera emisión de bonos con grado de inversión (nov-2025) [2, 3, 15]. Para 2026 la guía solo supone recompras que compensen la dilución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CEB Inc. (asesoría por membresía y evaluación de talento)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2.700 M en caja (con unos 2.800 M de deuda nueva) y 818,7 M en 7,4 M de acciones nuevas [13, 14].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anunciado de unos 3.300 M con 693 M de EBITDA ajustado combinado de Gartner y CEB, sin múltiplo propio publicado [24]. Se vendieron después los negocios no estratégicos (Talent Assessment por unos 400 M en 2018 y TalentNeuron en 2023); 158,5 M y 107,2 M de cargos de integración en 2017-2018; sin deterioros del fondo de comercio de CEB [13,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L2, Inc. (benchmarking digital de marcas)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Research; sin deterioros publicados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CEB Talent Assessment a Exponent Private Equity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526,8 M de cobros netos por ventas de negocios en 2018 [1, 14].</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salió de todos los negocios no estratégicos del antiguo segmento Otros en 2018 (105,6 M de ingresos ese año)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TOPO Research LLC (investigación para directivos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Research; sin deterioros publicados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Pulse Q&amp;A Inc. (comunidad de directivos)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[12].</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 en Research; sin deterioros publicados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TalentNeuron (procedente de CEB)</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(161,1 M de cobro neto) [1, 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135,4 M antes de impuestos en feb-2023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Digital Markets (Capterra, GetApp, Software Advice)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unos 110 M antes de ajustes, 104,8 M netos de caja transferida [2, 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 150,0 M del fondo de comercio en el 3T25 y plusvalía de 5,4 M en la venta; Capterra y Nubera se habían comprado en 2015 por 206,9 M [2, 3, 14].</w:t>
            </w:r>
          </w:p>
        </w:tc>
      </w:tr>
    </w:tbl>
    <w:p>
      <w:pPr>
        <w:spacing w:after="160" w:before="0"/>
      </w:pPr>
    </w:p>
    <w:p>
      <w:pPr>
        <w:spacing w:after="100"/>
      </w:pPr>
      <w:r>
        <w:t xml:space="preserve">La dirección es disciplinada en las compras y agresiva en las recompras, con mala fortuna en el precio. Desde CEB (3.519 M en 2017), que llevó Gartner a todas las funciones de la empresa y no se ha deteriorado, solo ha hecho compras pequeñas y ha vendido lo que no encajaba (Talent Assessment, TalentNeuron, Digital Markets) [2, 14]. Entre 2016 y 2025 generó 7.897 M de flujo libre y dedicó 6.768 M a recompras, sin dividendos: las acciones diluidas bajaron de 91,0 M en 2019 a 75,6 M en 2025 y 66,6 M en el 2T26 [1, 4]. El problema es el precio: recompró a unos 453 USD de media en 2024 y unos 283 USD en 2025 (estimación propia, caja entre acciones), muy por encima de los 191,15 USD de hoy; en 2025 gastó 1.991 M, el 273 % del beneficio, y se endeudó 800 M más para hacerlo [15, 23]. Las del primer semestre de 2026 (1.081,8 M a 153,49 USD) sí han salido bien [3]. Digital Markets, comprada por 206,9 M en 2015, se vendió por 104,8 M tras deteriorar 150 M [2, 3]. Al precio actual, con un flujo libre del 10,7 % de la capitalización, recomprar tiene sentido si el valor de contratos vuelve a crecer.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A. (Gene) Hall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desde agosto de 2004 y presidente del consejo desde julio de 2024; antes, 16 años en McKinsey y directivo de ADP [25]. Su contrato se prorrogó en 2024 hasta el 31-dic-2031, con renovaciones anuales automáticas [25, 46]. Entre 2020 y 2025 los ingresos pasaron de 4.099 a 6.497 M USD y el BPA ajustado de 4,89 a 13,17 USD [1, 6, 39]; en 2025 el BPA ajustado cayó un 6,5 % (14,09 a 13,17 USD) [6]. Tiene 1.219.897 acciones (1,8 %) [25]. Sigue en el cargo a la fecha de corte: no hay 8-K de sucesión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W. Safian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junio de 2014 y más de 23 años en Gartner (planificación financiera, estrategia y desarrollo de negocio); antes, Headstrong y Bristol-Myers Squibb [25]. Ha dirigido la primera emisión de bonos con grado de inversión (nov-2025) y 2.000 M USD de recompras en 2025 [6]. Tiene 92.253 acciones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E. Dykstra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 2007 a junio de 2023 y de nuevo desde diciembre de 2023; coordinadora independiente porque el presidente es el CEO [25]. Fue CFO de VMware hasta su venta a Broadcom (61.000 M USD), CFO de AOL y CFO de ADP [25]. Tiene 17.551 acciones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C. Hensel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Global Services &amp; Delivery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2017 como responsable de Consulting y dirige Global Services &amp; Delivery desde noviembre de 2020; antes, Terex y 14 años como socio de McKinsey [25]. Remuneración 2025: 4,35 M USD [25]. Tiene 31.591 acciones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Robin B. Kranich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y directora de Personas (CHRO)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CHRO desde mayo de 2008 y más de 31 años en Gartner [25]. Tiene 29.204 acciones [25]; vendió 3.278 acciones a 196,50 USD (0,64 M USD) el 27-ago-2026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Thomas S. Kim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director jurídico y secretario (sale el 16-oct-2026)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desde abril de 2023; antes, director jurídico de Thomson Reuters [25]. El 3-oct-2026 comunicó que deja el cargo el 16-oct-2026 por otra oportunidad de alta dirección, sin desacuerdos con la empresa [16]. Tiene 7.236 acciones [25].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feb-2020: ingresos +9 % sin efecto divisa, margen EBITDA ajustado ≥ 16,1 %, BPA ajustado de unos 4,06 USD y flujo libre de unos 505 M USD [38]. Se retiró en mayo de 2020 por la COVID.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4.099 M USD (−3,4 %), EBITDA ajustado 818 M USD (20,0 % de margen), BPA ajustado 4,89 USD, FCF 819 M USD [1,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ago-2025 bajó la guía de ingresos a ≥ 6.460 M USD (100 M USD menos en Insights) y subió el BPA ajustado a ≥ 11,75 USD (5 céntimos más) [58]; en nov-2025 subió la guía de EBITDA ajustado y de margen [7]. Guía inicial de feb-2025: no disponible en EDGAR (va en el suplemento de resultados)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6.497 M USD, EBITDA ajustado 1.611 M USD, BPA ajustado 13,17 USD, FCF 1.175 M USD [1, 6]; según el CFO, el margen terminó muy por encima de la guía inicial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Feb-2026: ingresos ≥ 6.455 M USD (+2 % sin efecto divisa), EBITDA ≥ 1.515 M USD (margen ≥ 23,5 %), BPA ajustado ≥ 12,30 USD, FCF ≥ 1.135 M USD [18]. May-2026: ingresos ≥ 6.405 M, EBITDA ≥ 1.545 M (≥ 24,1 %), BPA ≥ 13,25 USD, FCF ≥ 1.160 M [56]. Ago-2026: ingresos ≥ 6.375 M, EBITDA ≥ 1.570 M (≥ 24,6 %), BPA ≥ 14,00 USD, FCF ≥ 1.185 M [57]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dos rebajas de la guía de ingresos (divisa y menor Insights) y dos subidas de EBITDA, BPA y FCF; EBITDA guiado sin la operación desinvertida (Digital Markets) [4, 5,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Gene Hall dirige Gartner desde 2004, preside el consejo desde julio de 2024 y tiene contrato hasta finales de 2031 [25, 46]. El CFO, Craig Safian, lleva en el cargo desde 2014 [25]. A la fecha de corte no se ha anunciado ningún sucesor de Hall, que tiene 69 años, ni hay en el proxy un plan de sucesión con nombres [25]. El único cambio reciente en la cúpula es la salida del director jurídico, Thomas Kim, el 16-oct-2026 [16]. En 2025 se renovaron los dos responsables de ventas (GTS y GBS) tras la jubilación de Alwyn Dawkins [25, 28]. En 2025 y 2026 la dirección ha rebajado la guía de ingresos y ha subido la de beneficio y caja gracias a costes y recompras [7, 18, 56, 57, 58]. Por tanto, cumple en márgenes, pero no en crecimiento.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Eugene A. Hall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E. Dykstra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E. Bisson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 P. Bousa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J. Bressler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Raul E. Cesan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Diana S. Ferguson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 Sutherland Fuchs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O. Grabe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M. Gutiérrez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G. Pagliuca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Daniela L. Rus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Eileen M. Serra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9,95 / ventas 1,50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Baron Capital Group (Ronald Baron; incluye BAMCO)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6,4 % (4,32 M de acciones, sep-2025) al 11,29 % (7,56 M, may-2026) [25,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Independent Franchise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2026: 6,53 % en mar-2026 y 8,34 % en jun-2026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10,8 % (7,29 M de acciones, jun-2025) al 7,5 % (4,99 M, jun-2026) [25, 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Vanguard declara por separado desde ene-2026; el grupo tenía el 14,2 % en jun-2025 [25,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AQR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cuantitativa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2026: 5,06 % en mar-2026 y 6,24 % en jun-2026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separada de Vanguard (mar-2026) [53]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5,7 % (dic-2025) al 2,9 % (mar-2026)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(24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1.760.321 acciones en abr-2026; Hall, 1,8 %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Claire Herkes (EVP, Conferences)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J. Rinello (EVP, Global Business Sales)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G. Pagliuca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J. Rinello (EVP, Global Business Sales)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Claire Herkes (EVP, Conferences)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Anne Sutherland Fuchs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Yvonne Genovese (EVP, Business &amp; Technology Insights)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Akhil Jain (EVP, Consulting)</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Robin B. Kranich (EVP y CHRO)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total de Hall en 2025 fue de 19,23 M USD: 0,99 M de sueldo, 1,48 M de bonus y 16,6 M en acciones (11,62 M en PSU y 4,98 M en SAR) [25]. El bonus anual pesa al 50 % el EBITDA y al 50 % los ingresos. El largo plazo es un 70 % de PSU ligadas al </w:t>
      </w:r>
      <w:r>
        <w:rPr>
          <w:i/>
        </w:rPr>
        <w:t xml:space="preserve">contract value</w:t>
      </w:r>
      <w:r>
        <w:t xml:space="preserve"> (CV) de un solo año y un 30 % de SAR [25]. En 2025 los objetivos excluyeron el negocio federal de EE. UU. y la divisa [25]. Así, el bonus se pagó al 119,6 % (EBITDA de 1.537 M frente a un objetivo de 1.463 M; ingresos de 6.274 M frente a 6.315 M) y las PSU al 82,1 % (CV de 5.047 M frente a 5.186 M; +4,1 %) [25]. Ninguna métrica mide el ROIC, el TSR ni el FCF. Hay recuperación (</w:t>
      </w:r>
      <w:r>
        <w:rPr>
          <w:i/>
        </w:rPr>
        <w:t xml:space="preserve">clawback</w:t>
      </w:r>
      <w:r>
        <w:t xml:space="preserve">) según la norma 10D-1. Con cambio de control y despido, Hall cobra tres veces su sueldo y tres veces su bonus objetivo [25]. El voto en contra de la remuneración subió del 7,0 % en 2025 al 12,6 % en 2026 [43, 44].</w:t>
      </w:r>
    </w:p>
    <w:p>
      <w:pPr>
        <w:pStyle w:val="Heading2"/>
      </w:pPr>
      <w:r>
        <w:t xml:space="preserve">Operaciones vinculadas, estructura de control y defensas</w:t>
      </w:r>
    </w:p>
    <w:p>
      <w:pPr>
        <w:spacing w:after="100"/>
      </w:pPr>
      <w:r>
        <w:t xml:space="preserve">Gartner no tiene accionista de control. Su capital está repartido entre gestoras: Baron (11,3 %), Independent Franchise Partners (8,3 %), BlackRock (7,5 %), dos entidades de Vanguard (7,3 % y 5,3 %) y AQR (6,2 %) [49, 50, 51, 52, 53, 54]. Consejeros y directivos suman un 2,6 % [25]. Hay una sola clase de acciones, el consejo se elige cada año por mayoría (el consejero que no la logra presenta su dimisión) y existe acceso de los accionistas al proxy (</w:t>
      </w:r>
      <w:r>
        <w:rPr>
          <w:i/>
        </w:rPr>
        <w:t xml:space="preserve">proxy access</w:t>
      </w:r>
      <w:r>
        <w:t xml:space="preserve">) [25]. El proxy no informa de operaciones vinculadas desde 2025 [25]. Hall preside el consejo y es CEO. Su contrato obliga a proponerlo como consejero mientras dure y le da tres años de sueldo y bonus si le despiden tras un cambio de control [25]. No consta ningún 13D de un inversor activista en EDGAR entre 2023 y la fecha de corte [48].</w:t>
      </w:r>
    </w:p>
    <w:p>
      <w:pPr>
        <w:pStyle w:val="Heading2"/>
      </w:pPr>
      <w:r>
        <w:t xml:space="preserve">Señales de alerta</w:t>
      </w:r>
    </w:p>
    <w:p>
      <w:pPr>
        <w:pStyle w:val="ListParagraph"/>
        <w:numPr>
          <w:ilvl w:val="0"/>
          <w:numId w:val="2"/>
        </w:numPr>
        <w:spacing w:after="60"/>
      </w:pPr>
      <w:r>
        <w:t xml:space="preserve">El director jurídico, Thomas Kim, deja la empresa el 16-oct-2026, cinco días después del corte, sin sucesor anunciado [16].</w:t>
      </w:r>
    </w:p>
    <w:p>
      <w:pPr>
        <w:pStyle w:val="ListParagraph"/>
        <w:numPr>
          <w:ilvl w:val="0"/>
          <w:numId w:val="2"/>
        </w:numPr>
        <w:spacing w:after="60"/>
      </w:pPr>
      <w:r>
        <w:t xml:space="preserve">Sucesión del primer ejecutivo: Hall tiene 69 años, lleva 22 en el cargo y desde 2024 también preside el consejo; su contrato llega hasta 2031 y no hay sucesor público [25, 46].</w:t>
      </w:r>
    </w:p>
    <w:p>
      <w:pPr>
        <w:pStyle w:val="ListParagraph"/>
        <w:numPr>
          <w:ilvl w:val="0"/>
          <w:numId w:val="2"/>
        </w:numPr>
        <w:spacing w:after="60"/>
      </w:pPr>
      <w:r>
        <w:t xml:space="preserve">Demanda colectiva de valores (Schmidt v. Gartner Inc., tribunal de distrito de Connecticut) contra la empresa, Hall y Safian por declaraciones sobre la demanda y el valor de contratos entre el 30-jul-2024 y el 2-feb-2026; abogados principales nombrados el 16-jun-2026. El 10-Q del 2T26 no la cita expresamente [3, 37].</w:t>
      </w:r>
    </w:p>
    <w:p>
      <w:pPr>
        <w:pStyle w:val="ListParagraph"/>
        <w:numPr>
          <w:ilvl w:val="0"/>
          <w:numId w:val="2"/>
        </w:numPr>
        <w:spacing w:after="60"/>
      </w:pPr>
      <w:r>
        <w:t xml:space="preserve">Consejo veterano: Grabe (87 años, consejero desde 1993) y Fuchs (desde 1999) recibieron un 8,2 % y un 8,1 % de votos en contra en 2026; Grabe llegó al 17,5 % en 2024 [43, 44, 45].</w:t>
      </w:r>
    </w:p>
    <w:p>
      <w:pPr>
        <w:pStyle w:val="ListParagraph"/>
        <w:numPr>
          <w:ilvl w:val="0"/>
          <w:numId w:val="2"/>
        </w:numPr>
        <w:spacing w:after="60"/>
      </w:pPr>
      <w:r>
        <w:t xml:space="preserve">La remuneración variable de 2025 se midió sin el negocio federal de EE. UU.; así, el bonus se pagó al 119,6 % aunque los ingresos quedaron por debajo del objetivo [25].</w:t>
      </w:r>
    </w:p>
    <w:p>
      <w:pPr>
        <w:pStyle w:val="ListParagraph"/>
        <w:numPr>
          <w:ilvl w:val="0"/>
          <w:numId w:val="2"/>
        </w:numPr>
        <w:spacing w:after="60"/>
      </w:pPr>
      <w:r>
        <w:t xml:space="preserve">Tras las caídas de 2025-2026 solo compró en mercado un consejero, Pagliuca (9,94 M USD a unos 230 USD en dic-2025); después del desplome de feb-2026 solo hubo una compra simbólica y varias ventas pequeñas de directivos en ago-2026 [48].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actualizada el 4-ago-2026 con los resultados del 2T26: ingresos de al menos 6.375 M USD (rebajada desde 6.405 M en mayo y 6.455 M en febrero, por el dólar y menos Insights), EBITDA ajustado sin la actividad vendida de al menos 1.570 M (margen ≥ 24,6 %; desde 1.545 M y 1.515 M), BPA ajustado de al menos 14,00 USD (desde 13,25 y 12,30 USD) y flujo de caja libre de al menos 1.185 M (desde 1.160 y 1.135 M) [57]. El consenso previo de BPA era de 13,69 USD [21]. El 2T26 cerró con BPA ajustado de 4,37 USD (+23,8 %) y EBITDA ajustado sin la actividad vendida de 466 M (+6,4 %) [4]. Los ingresos de 2026 ya no incluyen Digital Markets, vendida en febrero de 2026 por 104,8 M [3]. La empresa no da objetivos a medio plazo del valor de contrato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9-oct-2026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9-oct-2026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15 analistas, 9-oct-2026 [62]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10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 – 229,00</w:t>
            </w:r>
          </w:p>
        </w:tc>
      </w:tr>
    </w:tbl>
    <w:p>
      <w:pPr>
        <w:spacing w:after="160" w:before="0"/>
      </w:pPr>
    </w:p>
    <w:p>
      <w:pPr>
        <w:pStyle w:val="Heading2"/>
      </w:pPr>
      <w:r>
        <w:t xml:space="preserve">Revisiones de estimaciones</w:t>
      </w:r>
    </w:p>
    <w:p>
      <w:pPr>
        <w:spacing w:after="100"/>
      </w:pPr>
      <w:r>
        <w:t xml:space="preserve">Solo MarketScreener da estimaciones completas a tres años gratis [62]; Stock Analysis (datos de S&amp;P Global) da el BPA ajustado de 2026: 14,48 USD de media (14,03-15,04), +10 % sobre 2025, e ingresos de 6.400 M (−1,2 %) [61]. Recomendaciones estables de mayo a octubre de 2026: 3 de compra fuerte, 10 de mantener, 1 de venta y 1 de venta fuerte (en junio, 1 compra más y 1 mantener menos) [61]. Precio objetivo medio de 189,08 USD en ambas fuentes (mediana 190; 150-229) [61, 63], un 1,1 % por debajo del cierre. Tras el 2T26 la guía de BPA ajustado subió a ≥ 14,00 USD frente a un consenso previo de 13,69 USD [21, 57]. Las series de revisiones a 3 y 12 meses no están disponibles gratis.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w:t>
            </w:r>
          </w:p>
        </w:tc>
      </w:tr>
    </w:tbl>
    <w:p>
      <w:pPr>
        <w:spacing w:after="160" w:before="0"/>
      </w:pPr>
    </w:p>
    <w:p>
      <w:pPr>
        <w:spacing w:after="100"/>
      </w:pPr>
      <w:r>
        <w:t xml:space="preserve">Gartner ha sido una de las peores acciones del S&amp;P 500 en dos años: −47,9 % en 2025 y −24,2 % en 2026, frente a +17,7 % y +15,1 % del índice, con una caída máxima del 77,2 % desde el máximo de noviembre de 2024 al mínimo de 124,25 USD del 22-jun-2026 [59]. La causa es el frenazo del valor de contratos, del +8 % de 2024 al +1 % de 2025, con los recortes federales de EE. UU. y el miedo a la IA generativa [4, 10]. El peor día fue el 3-feb-2026 (−20,9 %), con los resultados del 4T25 y una guía de 2026 por debajo de lo esperado [19]. Desde junio rebota un 54 %, con los resultados del 2T26 (4-ago), que subieron la guía de beneficio [57, 92]. La volatilidad (56,9 %) es la de una acción en crisis, no la de una empresa de suscripción, y la posición corta es alta: 13,2 % de las acciones y 7 días de cobertura [60]. A 10 años rinde un 8,1 % anual, la mitad que el índice.</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Gartner cotiza en mínimos de diez años: 9,5 veces el EBITDA de los últimos 12 meses frente a una media de 25,4 veces y un mínimo anterior de 14,8, y 17,1 veces el beneficio contable frente a una media de 42,3. El descuento (−63 % en EV/EBITDA) no lo explica el beneficio, que aguanta (EBITDA de 1.449 M en los últimos 12 meses sin el deterioro, frente a 1.428 M en 2023), sino el crecimiento esperado: el valor de contratos ha pasado de crecer un 12-16 % en 2021-2022 a un 1-2 % en 2025-2026 [4, 10, 38, 39, 40, 41, 42], y el mercado teme que la IA generativa sustituya parte de la investigación de pago. La media de diez años incluye los múltiplos de 30-35 veces de 2021-2024, cuando el valor de contratos crecía a doble dígito y el Tesoro a 10 años rendía un 1,5-4 %; con el 5,24 % de hoy, esa media no es un objetivo realista [90].</w:t>
      </w:r>
    </w:p>
    <w:p>
      <w:pPr>
        <w:pStyle w:val="Heading1"/>
      </w:pPr>
      <w:r>
        <w:t xml:space="preserve">18. Comparables cotizados</w:t>
      </w:r>
    </w:p>
    <w:p>
      <w:pPr>
        <w:pStyle w:val="Confianza"/>
        <w:spacing w:after="100"/>
      </w:pPr>
      <w:r>
        <w:t xml:space="preserve">Confianza: Media</w:t>
      </w:r>
    </w:p>
    <w:p>
      <w:pPr>
        <w:spacing w:after="100"/>
      </w:pPr>
      <w:r>
        <w:t xml:space="preserve">Proveedores cotizados de información, datos e investigación por suscripción, con márgenes altos e ingresos recurrentes: Verisk, FactSet, Moody's, S&amp;P Global, MSCI, Thomson Reuters y RELX. Se añade Accenture como referencia de la consultoría tecnológica, que compite por el presupuesto de los directores de tecnología. Forrester queda fuera por tamaño (unos 400 M USD de ingresos) y falta de consenso a tres años; IDC es privada.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Gartner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 Research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Accenture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13,8x / 16,7x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15,3x / 17,8x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 / 22,8x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 / 7,3x / 9,3x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10,1 + 0,70 × crecimiento; R² = 0,20. El crecimiento explica poco los múltiplos de estos comparables (R² &lt; 0,3): la regresión no se usa en la valoración.</w:t>
      </w:r>
    </w:p>
    <w:p>
      <w:pPr>
        <w:spacing w:after="100"/>
      </w:pPr>
      <w:r>
        <w:t xml:space="preserve">Gartner cotiza a 9,1 veces el EBITDA de los próximos 12 meses y 12,8 veces el beneficio ajustado, frente a medianas de 13,9 y 22,8 veces de los ocho comparables. El descuento tiene razones: su margen EBITDA (22,4 %) es la mitad de la mediana (45,6 %), crece menos (2,4 % en los próximos 12 meses frente al 6,0 %) y es el único de la muestra cuyo producto central se ve amenazado por la IA generativa; Accenture, el otro proveedor de servicios intensivos en personas, cotiza a 8,3 veces [71]. A su favor, el ROIC (51,1 %) dobla la mediana (25,2 %) y la rentabilidad por flujo libre (10,7 %) dobla la del grupo (5,2 %). La mediana del EV/EBITDA da 303,23 USD y la del PER 340,83 USD (media, 322,03 USD), muy por encima del DCF: suponen que Gartner vuelve a cotizar como una empresa de datos, y eso exige que el valor de contratos vuelva a crecer. El crecimiento no explica los múltiplos (R² de 0,20). Pesan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CEB Inc.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3.300 M USD con 700 M de deuda neta; 77,25 USD por acción (54,00 en efectivo y 0,2284 acciones de Gartner): prima del 25 % sobre el cierre previo y del 31 % sobre la media de 30 días [24]. La nota no da los ingresos ni el EBITDA de CEB por separado (solo los combinados: 3.300 M de ingresos y 693 M de EBITDA ajustado en 12 meses a sep-2016)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que valora IHS Markit en 44.000 M USD de valor empresa, con 4.800 M de deuda neta [84]. Múltiplos sobre el ejercicio a nov-2020 de IHS Markit: ingresos 4.287,8 M y EBITDA ajustado 1.836,7 M [85]. La nota no publica la prima.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ProQuest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Clarivate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5.300 M USD incluida la refinanciación de la deuda (unos 4.000 M en efectivo y 1.300 M en acciones de Clarivate); ProQuest facturó 876 M en 2020 con 250 M de EBITDA ajustado [83]. Vendedor: Cambridge Information Group y Atairos (privada).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TechTarget (57 % de la nueva TechTarget)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Informa aporta sus negocios digitales de Informa Tech (unos 275 M de ingresos y 50 M de EBITDA ajustado previstos en 2024) y 350 M USD en efectivo (11,79 USD por acción) a cambio del 57 % de la nueva TechTarget; TechTarget preveía 230 M de ingresos y 70 M de EBITDA ajustado en 2023 [88]. La nota no publica un valor empresa.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9,15 USD por acción en efectivo; valor de la operación 7.700 M USD con la deuda y valor de las acciones 4.100 M [86]. Múltiplos sobre 2024: ingresos 2.381,7 M y EBITDA ajustado 926,6 M [87]. Datos de crédito y empresas, con crecimiento orgánico del 3 %: menos comparable con Gartner.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Markets (negocio de Gartner)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revelado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vendió su negocio Digital Markets por unos 104,8 M USD netos de la caja traspasada, con una ganancia antes de impuestos de 5,4 M, tras un deterioro del fondo de comercio de 150 M en el 3T25 [3]. Desinversión pequeña y deteriorada: referencia, no comparable.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21,2x (14,8x – 22,6x)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311,64 – 491,56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empresas de información de alta calidad se han pagado a 21-24 veces el EBITDA (IHS Markit, ProQuest) y la de Dun &amp; Bradstreet, con poco crecimiento y mucha deuda, a 8,3 veces [84, 85, 86, 87]; Gartner pagó por CEB una prima del 25 % [24]. La mediana (21,2 veces) daría 459,47 USD por acción, más del doble del precio, pero son activos con márgenes del 35-45 % y sin el riesgo de sustitución que hoy pesa sobre Gartner. El caso más parecido en riesgo es D&amp;B: a 8,3 veces el EBITDA, por debajo de las 9,5 veces a las que cotiza Gartner. Con una capitalización de 12.086 M, una deuda neta de 1,2 veces el EBITDA y un flujo libre del 10,7 %, Gartner es un candidato natural para el capital privado, pero no hay indicios de una operación, y el consejo, sin accionista de control, tendría que aceptarla. Peso: 0 %; sirven como suelo de valor de control.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−1,2 %, el consenso (6.417 M) y algo por encima de la guía (al menos 6.375 M): cae por la venta de Digital Markets (227,4 M de ingresos en 2025, un 3,5 %); sin ella, crece un 2,3 % [2, 57, 62]. Es año fijo: hay dos trimestres publicados. 2027e +2,5 % y 2028e +3,5 %, por debajo del consenso (+4,0 % y +4,8 %), porque el valor de contratos crece solo un 2 % y la plantilla comercial ha bajado de 5.102 a 4.874 personas desde dic-2024 [3, 62]. Después, un 4 % en 2029e-2030e y un 3 % al final. La media (2,8 %) es la cuarta parte del 11,5 % anual de 2016-2025 y está por debajo del 6-8 % que creció el valor de contratos en 2023-2024 [4].</w:t>
      </w:r>
    </w:p>
    <w:p>
      <w:pPr>
        <w:keepNext/>
        <w:spacing w:after="100"/>
      </w:pPr>
      <w:r>
        <w:rPr>
          <w:b/>
          <w:bCs/>
        </w:rPr>
        <w:t xml:space="preserve">Márgenes.</w:t>
      </w:r>
    </w:p>
    <w:p>
      <w:pPr>
        <w:spacing w:after="100"/>
      </w:pPr>
      <w:r>
        <w:t xml:space="preserve">El EBITDA del DCF es el contable, con los pagos en acciones dentro. 2026e, 22,6 %: el EBITDA ajustado del consenso (1.607 M) menos un 2,4 % de pagos en acciones, en línea con el 24,5 % del primer semestre y el segundo semestre estacionalmente más débil [3, 62]. Sube al 23,5 % en 2030e, dentro de lo ya logrado (23,8 % en 2021 y 23,6 % en 2022) y por debajo del margen ajustado del 24,6 % que guía la empresa para 2026, que el director financiero llamó «la nueva base» [18, 57]. Sale de dejar de perder dinero en Digital Markets y de una plantilla un 8 % menor. Coincide con el consenso: −0,8 % de EBITDA en 2027e y −1,6 % en 2028e.</w:t>
      </w:r>
    </w:p>
    <w:p>
      <w:pPr>
        <w:keepNext/>
        <w:spacing w:after="100"/>
      </w:pPr>
      <w:r>
        <w:rPr>
          <w:b/>
          <w:bCs/>
        </w:rPr>
        <w:t xml:space="preserve">Inversión y circulante.</w:t>
      </w:r>
    </w:p>
    <w:p>
      <w:pPr>
        <w:spacing w:after="100"/>
      </w:pPr>
      <w:r>
        <w:t xml:space="preserve">Capex del 1,6-2,0 % de las ventas, entre el 1,4 % de los últimos 12 meses y el 1,8 % de 2025; es sobre todo software interno y oficinas [2, 3]. La amortización baja del 2,9 % al 2,0 % a medida que se agota la de los intangibles de CEB; en los últimos años ya es igual al capex. Circulante del −36 % de las ventas, el de 2022-2025 (−36,3 % a −36,7 %): los ingresos diferidos financian el crecimiento, y cada dólar de ventas nuevas trae unos 36 céntimos de caja. Tipo impositivo del 24,5 %, cerca del 24,7 % de 2025; no se proyecta el 9,6 % de 2024 [2].</w:t>
      </w:r>
    </w:p>
    <w:p>
      <w:pPr>
        <w:keepNext/>
        <w:spacing w:after="100"/>
      </w:pPr>
      <w:r>
        <w:rPr>
          <w:b/>
          <w:bCs/>
        </w:rPr>
        <w:t xml:space="preserve">Coste del capital.</w:t>
      </w:r>
    </w:p>
    <w:p>
      <w:pPr>
        <w:spacing w:after="100"/>
      </w:pPr>
      <w:r>
        <w:t xml:space="preserve">Tasa libre del 5,24 %, el Tesoro de EE. UU. a 10 años del 9-oct-2026 [90]. Beta de 0,97, la ajustada mensual a 5 años frente al S&amp;P 500 (0,96 sin ajustar); la de Damodaran para servicios de información, reapalancada con la estructura de Gartner, es de 0,84: usamos la más alta por el riesgo de sustitución [59, 82]. Prima de mercado del 5,5 % y ninguna adicional. Coste de los fondos propios del 10,58 %. Deuda al 5,6 % antes de impuestos, el cupón del bono de 2035, que marca el coste marginal (el medio es el 4,34 %) [3, 22], con un peso del 19,9 % a valor de mercado. WACC del 9,31 %; con la prima implícita del mercado (4,20 %), el 8,3 % [81].</w:t>
      </w:r>
    </w:p>
    <w:p>
      <w:pPr>
        <w:keepNext/>
        <w:spacing w:after="100"/>
      </w:pPr>
      <w:r>
        <w:rPr>
          <w:b/>
          <w:bCs/>
        </w:rPr>
        <w:t xml:space="preserve">Valor terminal.</w:t>
      </w:r>
    </w:p>
    <w:p>
      <w:pPr>
        <w:spacing w:after="100"/>
      </w:pPr>
      <w:r>
        <w:t xml:space="preserve">Crecimiento a perpetuidad del 2,5 %, por debajo de la inflación del dólar más el crecimiento real y de la tasa libre menos medio punto (4,74 %): descontamos que la IA limita el crecimiento a largo plazo de la investigación de pago. El múltiplo de salida implícito es de 11,1 veces el EBITDA, por encima de las 9,1 veces de hoy y por debajo de la mediana de los comparables (13,9 veces) y del mínimo de diez años de Gartner (14,8 veces). El valor terminal es el 62 %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241,39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325,91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 M (-9 % del NOPAT)</w:t>
            </w:r>
          </w:p>
        </w:tc>
      </w:tr>
    </w:tbl>
    <w:p>
      <w:pPr>
        <w:spacing w:after="160" w:before="0"/>
      </w:pPr>
    </w:p>
    <w:p>
      <w:pPr>
        <w:spacing w:after="100"/>
      </w:pPr>
      <w:r>
        <w:t xml:space="preserve">La proyección apenas necesita inversión neta de la amortización (reinversión acumulada de -782 M, con un capex bruto medio del 1,9 % de las ventas). En un negocio de activos ligeros, el crecimiento medio del 2,8 %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la venta de Digital Markets resta un 3,5 % (227,4 M de ingresos en 2025) [2]. Sin ella, +2,3 %: subidas de tarifa de unos 3 puntos (estimación propia, con una retención de cartera del 97-99 % y una de clientes del 85-86 %) y algo menos de volumen (plantilla comercial −4,5 % desde dic-2024)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contratos del +2 % a junio de 2026 [4]: precio en línea con la inflación y número de usuarios aún a la baja, como en 2025-2026.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a crecer el número de usuarios si la retención de cartera sube del 97 % al 100 %, el nivel de 2024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4 %, la mitad del crecimiento del valor de contratos de 2023-2024 (8 %), con más contratación comercial [10, 42].</w:t>
            </w:r>
          </w:p>
        </w:tc>
      </w:tr>
    </w:tbl>
    <w:p>
      <w:pPr>
        <w:spacing w:after="160" w:before="0"/>
      </w:pPr>
    </w:p>
    <w:p>
      <w:pPr>
        <w:spacing w:after="100"/>
      </w:pPr>
      <w:r>
        <w:t xml:space="preserve">En parte. El crecimiento proyectado (2,8 % anual) no necesita capital: el circulante negativo hace que crecer genere caja, y el ROIC es del 51,1 %. El poder de precios existe (la retención de cartera superó el 100 % hasta 2024 y el margen de contribución de Insights es del 77 %) [2], y el 2,8 % está muy por debajo del 11,5 % de 2016-2025. Pero la parte de volumen no está demostrada hoy: la retención de cartera de GTS está en el 97 %, el valor de contratos crece un 2 % y la plantilla comercial baja [3]; el caso base depende de que la IA no erosione más la renovación. Por eso el caso base queda por debajo del consenso y el bajista pesa un 30 %. No se calcula la cuota implícita: el único tamaño de mercado es un potencial teórico que estima la propia Gartner [30, 31].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(base: 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18,3 % (base: 23,5 %)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 (WACC: 9,3 %)</w:t>
            </w:r>
          </w:p>
        </w:tc>
      </w:tr>
    </w:tbl>
    <w:p>
      <w:pPr>
        <w:spacing w:after="160" w:before="0"/>
      </w:pPr>
    </w:p>
    <w:p>
      <w:pPr>
        <w:spacing w:after="100"/>
      </w:pPr>
      <w:r>
        <w:t xml:space="preserve">El DCF da 254,13 USD por acción, un 32,9 % por encima del precio, con un 62 % del valor en el terminal y 1.671 M de deuda neta ajustada. </w:t>
      </w:r>
      <w:r>
        <w:rPr>
          <w:b/>
        </w:rPr>
        <w:t xml:space="preserve">El precio descuenta una Gartner que no vuelve a crecer.</w:t>
      </w:r>
      <w:r>
        <w:t xml:space="preserve"> El DCF inverso dice que, con nuestros márgenes, los 191,15 USD suponen unas ventas planas (0,0 % anual) en 2027e-2033e, frente al 3,4 % de nuestro caso base, al 4-5 % del consenso y al 11,5 % de 2016-2025; o, con nuestro crecimiento, un margen EBITDA del 18,3 % en vez del 23,5 %, el de 2020. Comprar a este precio rinde un 11,3 % anual si se cumple el caso base, frente al WACC del 9,3 % y al 8,3 % que pide hoy el mercado. Es el precio de una empresa que la IA va a estancar, no el de una que va a desaparecer: con dos puntos menos de crecimiento y dos menos de margen en todos los años, el valor sería de 193,14 USD, el precio actual. El supuesto más exigente es que el volumen deje de caer en 2028e.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hace con Insights lo que la competencia hizo con Forrester: la retención de cartera baja del 97 % al 90 %, el valor de contratos cae y los ingresos bajan un 1,5-2 % al año hasta 2033e. El margen EBITDA se queda en el 19-20 % de 2019-2020 y el crecimiento terminal en 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de contratos se recupera despacio (del 2 % al 4 %) con subidas de tarifa y una retención estable; el margen EBITDA contable sube al 23,5 % con menos plantilla y sin Digital Markets.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se convierte en el gran tema de los directivos, como lo fue la nube en 2021-2022: el valor de contratos vuelve al 6-8 % de 2023-2024, el margen sube al 25 % por apalancamiento operativo y las recompras a precios bajos multiplican el BPA.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19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230,78 USD (+20,7 %).</w:t>
      </w:r>
    </w:p>
    <w:p>
      <w:pPr>
        <w:spacing w:after="100"/>
      </w:pPr>
      <w:r>
        <w:t xml:space="preserve">La asimetría es favorable: el alcista vale 344,89 USD (+80,4 %) y el bajista 115,79 (−39,4 %), 2,04 veces. El bajista no es cosmético: deja los ingresos bajando un 1,5-2 % al año durante ocho años, lo que ya le pasa a Forrester (valor de contratos −6 % en 2025) [26], y el margen en el 19-20 %. Pierde más de un 25 %, y por eso la convicción no llega a alta. El valor ponderado es de 230,78 USD (+20,7 %). Con la prima de riesgo que pide hoy el mercado, el bajista sube a 135,33 USD y el alcista a 410,68. El riesgo es binario en su causa (si la IA sustituye o no la investigación de pago), pero no en el tiempo: lo irá diciendo cada trimestre la retención de cartera.</w:t>
      </w:r>
    </w:p>
    <w:p>
      <w:pPr>
        <w:pStyle w:val="Heading1"/>
      </w:pPr>
      <w:r>
        <w:t xml:space="preserve">22. Suma de partes</w:t>
      </w:r>
    </w:p>
    <w:p>
      <w:pPr>
        <w:pStyle w:val="Confianza"/>
        <w:spacing w:after="100"/>
      </w:pPr>
      <w:r>
        <w:t xml:space="preserve">Confianza: Media</w:t>
      </w:r>
    </w:p>
    <w:p>
      <w:pPr>
        <w:spacing w:after="100"/>
      </w:pPr>
      <w:r>
        <w:t xml:space="preserve">No se usa. Insights es el 78 % de los ingresos y más del 80 % de la contribución; Conferences y Consulting comparten clientes, marca y fuerza de ventas con él [2]. La empresa solo publica la contribución bruta de cada segmento, sin repartir los gastos comerciales y generales (unos 2.900 M), así que una suma de partes dependería de un reparto arbitrario. Tampoco hay razones para pensar que el mercado infravalore un segmento por estar dentro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19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258,48 USD (+35,2 % sobre 191,15).</w:t>
      </w:r>
    </w:p>
    <w:p>
      <w:pPr>
        <w:spacing w:after="100"/>
      </w:pPr>
      <w:r>
        <w:t xml:space="preserve">Pesos: DCF 60 %, escenarios 25 %, comparables 15 % y transacciones y suma de partes 0 %. El DCF manda porque el negocio es fácil de proyectar en caja (flujo libre del 149 % del beneficio en 2016-2025, capex del 2 % de las ventas) y porque recoge lo que de verdad decide el valor, el crecimiento del valor de contratos. Los escenarios pesan un 25 % porque el riesgo de sustitución por la IA es el que decide la inversión. Los comparables (322,03 USD) pesan solo un 15 %: son empresas de datos con el doble de margen y sin la misma amenaza, y su crecimiento no explica sus múltiplos. Las transacciones (459,47 USD) no pesan: llevan prima de control y activos de más calidad. Todos los métodos quedan por encima del precio salvo el bajista; el más bajo, el escenario ponderado, da 230,78 USD (+20,7 %). Con la prima implícita del mercado, el valor objetivo sería de 298,15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(13.3x) × 1.1 (tope: la mediana de 5 años, 30.3x,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+82,5 %</w:t>
            </w:r>
          </w:p>
        </w:tc>
      </w:tr>
    </w:tbl>
    <w:p>
      <w:pPr>
        <w:spacing w:after="160" w:before="0"/>
      </w:pPr>
    </w:p>
    <w:p>
      <w:pPr>
        <w:spacing w:after="100"/>
      </w:pPr>
      <w:r>
        <w:rPr>
          <w:b/>
          <w:bCs/>
        </w:rPr>
        <w:t xml:space="preserve">Objetivo a 12 meses (ponderado):</w:t>
      </w:r>
      <w:r>
        <w:t xml:space="preserve"> 219,66 USD · rentabilidad +14,9 % (base +17,2 %) · señal Mantener.</w:t>
      </w:r>
    </w:p>
    <w:p>
      <w:pPr>
        <w:spacing w:after="100"/>
      </w:pPr>
      <w:r>
        <w:t xml:space="preserve">Para comparar, con la regla v2 (historia al cierre, mismo precio): 11,3x / 13,3x / 17,3x, 4,4 % Mantener; con el tope anterior del base (×1,3, 14-oct mediodía): 35,8 % Comprar. Decide la regla vigente (v3 con tope ×1,1; METODO-VIGENTE.md).</w:t>
      </w:r>
    </w:p>
    <w:p>
      <w:pPr>
        <w:keepNext/>
        <w:spacing w:after="100"/>
      </w:pPr>
      <w:r>
        <w:rPr>
          <w:b/>
          <w:bCs/>
        </w:rPr>
        <w:t xml:space="preserve">Frente al consenso (solo contraste).</w:t>
      </w:r>
    </w:p>
    <w:p>
      <w:pPr>
        <w:spacing w:after="100"/>
      </w:pPr>
      <w:r>
        <w:t xml:space="preserve">Nuestro BPA base de 2028e (15,34) se separa un -12,0 % del consenso (17,43) y nuestro precio base (204,02) un +7,9 % del objetivo medio de los analistas (189,08).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258,48 (+35,2 %) frente al objetivo a 12 meses ponderado 199,59 (+4,4 % con dividendo; base +6,7 %).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contratos (2 % en el 2T26) y retención de cartera de GTS (97 %): una tercera aceleración seguida confirmaría el caso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sin Digital Markets en la base; la de 2026 hundió la acción un 20,9 % el día de su publicación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del Gobierno federal de EE. UU. (año fiscal desde el 1-oct)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 federal de unos 125 M; volvió a tener contratación neta positiva en 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con la autorización ampliada en 500 M el 30-jul-2026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640 M disponibles a finales de julio: hasta un 5 % de las acciones al precio actual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Moción de desestimación en la demanda colectiva de valores (Connecticut)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acuerdo o la continuación del pleito tendrían coste limitado, pero mantienen el foco en la guía de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 y posible plan de sucesión de Hall (69 años)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sucesor interno creíble reduciría el riesgo de persona clave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la investigación de pago por la IA generativa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comparativas con datos de 13.000 clientes, AskGartner y acceso a analistas, que la IA no 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 cartera de GTS por debajo del 95 % o de clientes por debajo del 83 %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valor de contratos no se reacelera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menos de crecimiento anual (sensibilidad: 233,78 USD con −1 pp)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tarifa y venta a funciones fuera de TI (GBS)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 por debajo del +2 %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del sector público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(pérdida del CV federal restante, unos 125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CV federal ya ha caído a la mitad y volvió a contratación neta positiva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rebajas de la guía de Insights por el sector público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la plantilla comercial y de analistas vuelve a subir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2 puntos de margen (230,00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ajustado del 24,6 % llamada «nueva base»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por debajo del 23,5 %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primer ejecutivo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por múltiplo en una salida no planificada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hasta 2031 y equipo estable (CFO desde 2014)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de directivos clave (la del director jurídico, el 16-oct-2026)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caras y apalancamiento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(150 M más de deuda neta en recompras a precios altos)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 tipo fijo hasta 2028-2035 y grado de inversión (BBB-/Baa3)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 EBITDA ajustado por encima de 2,5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de valores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(acuerdo típico)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Seguros de consejeros y directivos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moción de desestimación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con un dólar un 5 % más fuerte (38 % de los ingresos fuera de EE. UU. y Canadá)</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en las mismas divisas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Rebajas de la guía de ingresos por divisa, como la de agosto de 2026</w:t>
            </w:r>
          </w:p>
        </w:tc>
      </w:tr>
    </w:tbl>
    <w:p>
      <w:pPr>
        <w:spacing w:after="160" w:before="0"/>
      </w:pPr>
    </w:p>
    <w:p>
      <w:pPr>
        <w:pStyle w:val="Heading2"/>
      </w:pPr>
      <w:r>
        <w:t xml:space="preserve">Pre-mortem</w:t>
      </w:r>
    </w:p>
    <w:p>
      <w:pPr>
        <w:spacing w:after="100"/>
      </w:pPr>
      <w:r>
        <w:t xml:space="preserve">Octubre de 2029: la acción ha caído un 40 %, a unos 115 USD. La historia más probable empieza en las renovaciones de 2027: los grandes clientes de tecnología sustituyen parte de los asientos de Gartner por asistentes de IA entrenados con documentación pública y con informes de los propios proveedores, y la retención de cartera de GTS baja del 97 % al 92 %. El valor de contratos, que crecía un 2 % en 2026, cae un 3 % en 2027. La dirección recorta plantilla para defender el margen, pero la caída de ventas pesa más: el EBITDA contable baja al 19 % de las ventas. Mientras, Gartner sigue recomprando acciones con deuda a 180-200 USD y en julio de 2028 tiene que refinanciar 800 M al 6 %. El mercado deja de verla como una empresa de suscripción y la valora como a Forrester, por su caja y no por su crecimiento. Los indicadores que lo habrían anticipado: la retención de cartera de GTS por debajo del 100 % desde 2025, la plantilla comercial bajando (−4,5 % desde dic-2024), el valor de contratos de Forrester en caída y la posición corta en el 13 % [3, 26, 60].</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más mueven las cifras son tres. Primero, el capital humano: Gartner tiene 20.244 empleados y ventas e Insights suman en torno al 45 % de la plantilla; su crecimiento depende de contratar y retener analistas y comerciales [2]. Segundo, la privacidad y la ciberseguridad de los datos de clientes, con exposición al RGPD, CCPA y CPRA, LGPD y la normativa china [2]. Tercero, el gobierno de la IA: el Reglamento de IA de la UE (en vigor desde el 1-ago-2024) puede imponer costes y AskGartner expone a errores de contenido generado [2]. El clima es secundario para un negocio de oficinas: tiene objetivos de reducción de emisiones a corto plazo aprobados por SBTi [2]; en 2025 donó con sus empleados unos 6,5 M USD [2].</w:t>
      </w:r>
    </w:p>
    <w:p>
      <w:pPr>
        <w:pStyle w:val="Heading2"/>
      </w:pPr>
      <w:r>
        <w:t xml:space="preserve">Controversias</w:t>
      </w:r>
    </w:p>
    <w:p>
      <w:pPr>
        <w:spacing w:after="100"/>
      </w:pPr>
      <w:r>
        <w:t xml:space="preserve">En 2026 se presentó una demanda colectiva de valores (Schmidt v. Gartner Inc., 3:26-cv-00394, tribunal de distrito de Connecticut) contra Gartner, su consejero delegado y su director financiero por supuestas declaraciones engañosas sobre la demanda y el crecimiento del CV; el periodo de clase va del 30-jul-2024 al 2-feb-2026 y el 16-jun-2026 el juez nombró a los abogados principales, que representan al Arkansas Public Employees' Retirement System; la demanda alega ventas de acciones de Hall y Safian por más de 68 M USD [37]. El 10-Q del 2T26 no la cita expresamente y considera que ningún litigio tendrá efecto material [3]. No constan sanciones regulatorias.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renovaciones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que no renovaron en 2025-2026 citaron asistentes de IA como sustituto, y cómo evoluciona la retención de cartera de los clientes que usan AskGartner frente a los que 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 (−39 %).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contratos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+2 % del valor de contratos es precio y qué parte número de usuarios?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puente de ingresos del DCF supone volumen negativo hasta 2027e; si todo es precio, el volumen cae más de lo que suponemos.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comercial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baja la plantilla comercial con cuota (de 5.102 a 4.874 personas) y cuándo volverá a crecer?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Históricamente el crecimiento del valor de contratos sigue a la contratación comercial con un año de retraso.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ajustado del 24,6 % es sostenible si el valor de contratos vuelve a crecer al 6-8 %, o habrá que volver a invertir en plantilla?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a la vez recuperación del crecimiento y margen estable.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precio máximo o qué rentabilidad mínima exige el consejo a las recompras, y hasta qué apalancamiento las financiará con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Recompró a 453 USD de media en 2024 y a 283 USD en 2025, por encima del valor que estimamos.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plan de sucesión de Hall (69 años) y quién lo supervisa, dado que es también presidente?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22 años como primer ejecutivo y es la persona clave de la estrategia de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objetivos del variable de 2025 excluyeron el negocio federal y por qué ninguna métrica mide el ROIC, el TSR o el flujo libre?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bonus se pagó al 119,6 % con unos ingresos por debajo del objetivo; el voto en contra subió al 12,6 %.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exposición estima la empresa por la demanda colectiva de Connecticut y por qué no la cita en el 10-Q?</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periodo de clase cubre las declaraciones sobre la guía de 2025.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de los resultados se aconsejaba esperar varios trimestres para ver cómo responde Gartner a la IA [91]; tras el 2T26 los artículos pasan a un tono alcista prudente: la acción parece barata frente a su historia, pero las ventas siguen sin crecer y la empresa tiene que demostrar que el beneficio aguanta [92, 93,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y comentaristas)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Giro completo en siete meses: en enero, «no comprar» porque la IA puede hacer la investigación tecnológica que vende Gartner; a finales de agosto, «comprar» porque el miedo a que la IA la sustituya se considera exagerado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StockStory y MarketBeat (notas de mercado con lectura de los movimientos)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movimientos de septiembre se leen en clave de IA en ambos sentidos: caída el 4-sep tras una encuesta de la propia Gartner según la cual pocas organizaciones han conseguido escalar la IA, y subida tras el Symposium/Xpo de mediados de mes, centrado en la IA agéntica [89,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(acciones de los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«mantener»: tras el 2T26 casi todos los bancos suben su precio objetivo, pero mantienen recomendaciones neutrales o de venta y el objetivo medio queda muy cerca del precio [97].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como sustituta de la investigación de pago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centro del debate: hasta julio predominaba el miedo [91, 95] y desde el 2T26 gana la tesis de que es exagerado [93, 94, 95]. Los datos dan un término medio: la retención de clientes aguanta (85 % en GTS y 86 % en GBS a jun-2026), pero los clientes gastan menos (retención de cartera del 97 % y del 99 %, frente a más del 100 % en 2024) [2, 3]. La señal del cambio sería una recuperación de la retención de cartera, no el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del 2T26 mejores de lo esperado y subida de la guía de beneficio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CV creció un 2 % interanual a jun-2026 frente al 1 % de dic-2025: hay aceleración, pero pequeña [2, 3]. Parte del beneficio por acción viene de las recompras y de menos plantilla (−8 % interanual), no de las ventas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que no crecen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lo citan como la objeción principal [92, 93, 96]. Es verdad en parte: la venta de Digital Markets explica la caída de los ingresos publicados, mientras que Insights crece un 2 % y Conferences un 15 % en el trimestre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ven la acción barata frente a su media de cinco años [92]. Gartner recompró 1.081,8 M en el primer semestre de 2026, a una media de 153,49 USD, y su patrimonio neto ya es negativo [3]. Lo barato depende de que el CV vuelva a crecer: el abaratamiento lo explica más el miedo a la IA que el apalancamiento.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 neutrales frente a particulares más optimistas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bancos suben sus objetivos sin cambiar su recomendación de «mantener» [97], mientras que comentaristas y artículos para particulares se han vuelto compradores desde agosto [94, 95]. Ahí se ve el rebote desde el mínimo de junio.</w:t>
            </w:r>
          </w:p>
        </w:tc>
      </w:tr>
    </w:tbl>
    <w:p>
      <w:pPr>
        <w:spacing w:after="160" w:before="0"/>
      </w:pPr>
    </w:p>
    <w:p>
      <w:pPr>
        <w:spacing w:after="100"/>
      </w:pPr>
      <w:r>
        <w:t xml:space="preserve">El tono ha pasado de la capitulación (enero-junio, con recomendaciones de «no comprar» porque la IA haría la investigación que vende Gartner) a un optimismo prudente tras los resultados del 2T26, y el giro lo han llevado comentaristas y artículos para particulares más que los analistas, que siguen en «mantener» (3 comprar, 10 mantener, 2 vender) [63, 91, 92, 93, 94, 95]. No hay euforia: casi todas las piezas alcistas añaden que falta ver crecer las ventas. Los temas coinciden con los del informe: la IA, el valor de contratos y las recompras. Lo útil para la decisión es que la acción reacciona a cada noticia sobre la IA en ambos sentidos (−3,8 % el 4-sep por una encuesta propia; subida tras el Symposium de septiembre) [89, 96], y que la posición corta (13,2 %) es alta [60]: el dato de valor de contratos y de retención de cartera del 3T26 (3-nov) moverá mucho el precio. No se ha podido leer a los particulares en sus foros, así que la confianza es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2 explicados. Fuentes: 97 (55 primarias); citas distintas en el texto: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9,6 %: explica la causa (créditos fiscales, regularizaciones, mezcla de países) y no lo proyectes en el DCF. Explicación: El 9,6 % de 2024 lleva un beneficio fiscal de 161,9 M por una transferencia interna de propiedad intelectual (diciembre de 2024) [2]. No se proyecta: el DCF usa un 24,5 %, cerca del 24,7 % de 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-36,0 % frente a -36,4 % real: genera una variación de circulante de 51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0,20: el crecimiento no explica los múltiplos de estos comparables; no uses el valor de la regresión. Explicación: R² de 0,20: el crecimiento no explica los múltiplos de estos comparables; los separa el margen (mediana del 45,6 % frente al 22,4 % de Gartner) y el riesgo de sustitución por la IA.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18,4 %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fuentes (55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Insights y Otros 2021-2022 reexpresados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16 (solo 2023-2025); 2) informe anual 2024 y comunicado del 3T25 (sin reexpresión anterior a 2023); 3) 10-K 2022 (solo segmento Research antiguo)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múltiplo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2017, nota 2 (sin EBITDA de CEB); 2) comunicado de la compra de CEB (solo EBITDA combinado, 693 M); 3) 10-K 2019, 2022 y 2025 (compras pequeñas sin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a inversores de Gartner 2016-2019: solo dan el mercado potencial en 2016 (61.000 M USD) y 2018-2019 (198.000 M USD), con perímetros distintos; 2) 10-K de Forrester, Informa TechTarget, Hackett e ISG: no publican serie del mercado; 3) búsqueda web (Outsell, IDC): solo cifras sin fuente primaria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 y 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Gartner y 10-K 2025: sin crecimiento del mercado; 2) 10-K de Forrester e Informa TechTarget: sin crecimiento del mercado; 3) previsión de gasto mundial en TI de Gartner (nota de prensa de jul-2026): la web devuelve 403 con descargar.mjs y WebFetch, no se pudo leer el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Gartner y Forrester: sin cuotas de mercado; 2) 10-K de Informa TechTarget, Hackett e ISG: sin cuotas; 3) cálculo con ingresos de competidores: IDC e Info-Tech no publican cuentas y no hay tamaño de gasto real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IDC e Info-Tech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no presentan cuentas (privadas); 2) 10-K de Informa TechTarget: solo los cita como competidores; 3) búsqueda web: solo estimaciones de agregadores sin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Sustainalytics de Gartner descargada con descargar.mjs y leída con WebFetch: no muestra la calificación (se carga con JavaScript); 2) proxy 2026 y 10-K 2025: remiten al informe de responsabilidad corporativa sin dar calificaciones; 3) agregador knowesg.com: 403; MSCI y CDP solo con herramientas interactivas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historial_guidance 2021-2024 y guía inicial de 2025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del 4T20-4T24 en EDGAR (Exhibit 99.1): remiten la guía al suplemento de resultados, que no se presenta en EDGAR; 2) web de inversores (investor.gartner.com, 403 y tiempo agotado) y su CDN gcs-web (fallo de descarga); 3) transcripciones (roic.ai 403, Fool sin URL para 2021-2025, Insider Monkey cortado por el límite de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en accionistas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solo 67.510.191 acciones en circulación sin autocartera; 2) relación de presentaciones de EDGAR: el 10-Q no se leyó; 3) XBRL companyfacts: no se consultó TreasuryStockShares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consenso: las revisiones solo salen como gráfico sin cifras; 2) Wayback Machine: sin copias de la página de estimaciones de MarketScreener de jul-2026 ni de oct-2025; 3) Nasdaq (artículo de Zacks sobre revisiones tras el 2T26): no abre (tiempo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causa de las caídas del 8-sep-2026 (−7,4 %) y del 24-mar-2026 (−6,9 %)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«Gartner stock falls September 8 2026»: solo noticias del 4-sep; 2) búsqueda con la fecha literal «September 8, 2026»: sin resultados; 3) StockStory y MarketBeat (alertas de Gartner): solo 4-sep y 30-jul, sin explicación de esas fechas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con comentarios de particulares (Seeking Alpha,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(página de análisis, artículo de sep-2026 y noticia del 14-sep): 403; 2) Stocktwits (página y API del símbolo IT): 403; 3) Simply Wall St (comunidad y ficha), Benzinga, Investing.com (404) y comunidad de Yahoo Finance (no carga)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Inc. Company Facts (datos XBRL de todas las presentaciones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https://data.sec.gov/api/xbrl/companyfacts/CIK0000749251.json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https://www.sec.gov/Archives/edgar/data/749251/000074925126000112/it-20251231.htm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https://www.sec.gov/Archives/edgar/data/749251/000074925126000245/it-20260630.htm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Second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https://www.sec.gov/Archives/edgar/data/749251/000074925126000243/it-06302026xex991.htm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First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https://www.sec.gov/Archives/edgar/data/749251/000074925126000165/it-03312026xex991.htm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Fourth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https://www.sec.gov/Archives/edgar/data/749251/000074925126000028/it-12312025xex991.htm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Third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https://www.sec.gov/Archives/edgar/data/749251/000074925125000080/it-09302025xex991_gdm.htm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Second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https://www.sec.gov/Archives/edgar/data/749251/000074925125000044/it-06302025xex991.htm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First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https://www.sec.gov/Archives/edgar/data/749251/000074925125000026/it-03312025xex991.htm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Fourth Quarter 2024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https://www.sec.gov/Archives/edgar/data/749251/000074925125000005/it-12312024xex991.htm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Reports Third Quarter 2024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https://www.sec.gov/Archives/edgar/data/749251/000074925124000039/it-09302024xex991.htm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https://www.sec.gov/Archives/edgar/data/749251/000074925123000006/it-20221231.htm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https://www.sec.gov/Archives/edgar/data/749251/000074925120000008/it-12312019x10k.htm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10-K del ejercicio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https://www.sec.gov/Archives/edgar/data/749251/000074925118000004/it-12312017x10k.htm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emisión de bonos senior 2031 y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https://www.sec.gov/Archives/edgar/data/749251/000119312525289854/d98932d8k.htm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(punto 5.02): salida del director jurídico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https://www.sec.gov/Archives/edgar/data/749251/000119312526417937/d158580d8k.htm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(punto 5.02): nombramiento de dos consejeros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https://www.sec.gov/Archives/edgar/data/749251/000074925126000025/it-20260129.htm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Q4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https://www.fool.com/earnings/call-transcripts/2026/02/03/gartner-it-q4-2025-earnings-call-transcript/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Fell 31% This Morning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https://www.fool.com/investing/2026/02/03/why-gartner-stock-fell-31-this-morning/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Gartner Inc Earnings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https://allmind.ai/earnings/event/2945044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(NYSE:IT) Releases Quarterly Earnings Results, Beats Estimates By $0.61 EPS (historial de resultados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https://www.marketbeat.com/instant-alerts/gartner-nyseit-releases-quarterly-earnings-results-beats-estimates-by-061-eps-2026-08-04/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Free Writing Prospectus: pricing term sheet de los bonos 2031 y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https://www.sec.gov/Archives/edgar/data/749251/000119312525280741/d22345dfwp.htm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2024 Annual Report to Stockholders (incluye el Form 10-K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https://www.sec.gov/Archives/edgar/data/749251/000074925125000022/gartnerinc2024annualreport.pdf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to Acquire CEB for $2.6 Billion in Cash and Stock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https://www.sec.gov/Archives/edgar/data/749251/000093041317000037/c86993_ex99-1.htm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https://www.sec.gov/Archives/edgar/data/749251/000074925126000159/it-20260415.htm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https://www.sec.gov/Archives/edgar/data/1023313/000119312526105114/forr-20251231.htm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(artículo de enciclopedia con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https://en.wikipedia.org/wiki/Gartner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(Item 5.02, jubilación de A. Dawkins)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https://www.sec.gov/Archives/edgar/data/749251/000074925125000002/it-20241231.htm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presentación a inversores (febrero de 2016)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https://www.sec.gov/Archives/edgar/data/749251/000093041316005419/c83912_ex99-1.htm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Investor Day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https://www.sec.gov/Archives/edgar/data/749251/000093041318000517/c90500_ex99-1.htm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Investor Day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https://www.sec.gov/Archives/edgar/data/749251/000119312519039149/d697994dex991.htm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Inc. (Informa TechTarget)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https://www.sec.gov/Archives/edgar/data/2018064/000119312526102183/ttgt-20251231.htm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Form 10-Q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Forrester Research,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https://www.sec.gov/Archives/edgar/data/1023313/000119312526336932/forr-20260630.htm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plc Form 10-K ejercicio fiscal 2025 (cierre 31-ago-2025)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https://www.sec.gov/Archives/edgar/data/1467373/000146737325000217/acn-20250831.htm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Hackett Group,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Hackett Group,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https://www.sec.gov/Archives/edgar/data/1057379/000119312526082863/hckt-20251226.htm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Services Group,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Services Group,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https://www.sec.gov/Archives/edgar/data/1371489/000110465926024573/iii-20251231x10k.htm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Securities Class Action (Schmidt v. Gartner Inc., 3:26-cv-00394, D. Conn.)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Cohen Milstein Sellers &amp; Toll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https://www.cohenmilstein.com/case-study/gartner-inc-securities-class-action/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https://www.sec.gov/Archives/edgar/data/749251/000074925120000005/it-12312019xex991.htm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https://www.sec.gov/Archives/edgar/data/749251/000074925121000004/it-12312020xex991.htm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https://www.sec.gov/Archives/edgar/data/749251/000074925122000003/it-12312021xex991.htm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https://www.sec.gov/Archives/edgar/data/749251/000074925123000003/it-12312022xex991.htm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Form 8-K, Ex. 99.1: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https://www.sec.gov/Archives/edgar/data/749251/000074925124000003/it-12312023xex991.htm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del 28-may-2026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https://www.sec.gov/Archives/edgar/data/749251/000074925126000198/it-20260528.htm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del 29-may-2025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https://www.sec.gov/Archives/edgar/data/749251/000074925125000035/it-20250529.htm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accionistas del 6-jun-2024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https://www.sec.gov/Archives/edgar/data/749251/000074925124000026/it-20240606.htm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prórroga del contrato de Eugene A. Hall hasta el 31-dic-2031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https://www.sec.gov/Archives/edgar/data/749251/000074925124000029/it-20240630.htm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jubilación del consejero James C. Smith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https://www.sec.gov/Archives/edgar/data/749251/000074925124000043/it-20241202.htm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Gartner (11-oct-2025 a 11-oct-2026; 132 presentaciones) y relación de presentaciones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https://data.sec.gov/submissions/CIK0000749251.json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Baron Capital Group, BAMCO y Ronald Baron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https://www.sec.gov/Archives/edgar/data/749251/000101791826000047/xslSCHEDULE_13G_X02/primary_doc.xml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Independent Franchise Partners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https://www.sec.gov/Archives/edgar/data/749251/000117266126003359/xslSCHEDULE_13G_X02/primary_doc.xml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https://www.sec.gov/Archives/edgar/data/749251/000201238326002578/xslSCHEDULE_13G_X02/primary_doc.xml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https://www.sec.gov/Archives/edgar/data/749251/000210011926000517/xslSCHEDULE_13G_X02/primary_doc.xml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Portfolio Management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https://www.sec.gov/Archives/edgar/data/749251/000210012126000384/xslSCHEDULE_13G_X02/primary_doc.xml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AQR Capital Management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https://www.sec.gov/Archives/edgar/data/749251/000116755726000187/xslSCHEDULE_13G_X02/primary_doc.xml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International Investors sobre Gartner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https://www.sec.gov/Archives/edgar/data/749251/000156223026000088/xslSCHEDULE_13G_X02/primary_doc.xml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https://www.fool.com/earnings/call-transcripts/2026/05/05/gartner-it-q1-2026-earnings-call-transcript/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Q2 2026 Earnings Call Transcript (conferencia del 4-ago-2026)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https://www.fool.com/earnings/call-transcripts/2026/08/11/gartner-it-q2-2026-earnings-call-transcript/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cuts annual revenue forecast on slower research demand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https://sa.marketscreener.com/news/gartner-cuts-annual-revenue-forecast-on-slower-research-demand-ce7c5edbd18ef22d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IT, SPY y XLK (cierres ajustados) hasta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https://www.marketscreener.com/quote/stock/GARTNER-INC-40311131/finances/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https://www.marketscreener.com/quote/stock/GARTNER-INC-40311131/consensus/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https://www.marketscreener.com/quote/stock/FACTSET-RESEARCH-SYSTEMS--12584/finances/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https://www.marketscreener.com/quote/stock/RELX-PLC-9590187/finances/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plc: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https://www.marketscreener.com/quote/stock/ACCENTURE-PLC-11521/finances/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(VRSK)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(FDS)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https://stockanalysis.com/stocks/fds/statistics/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(TRI)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(RELX)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https://stockanalysis.com/stocks/relx/statistics/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Accenture (ACN)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https://stockanalysis.com/stocks/acn/statistics/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datos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Clarivate to acquire ProQuest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Clarivate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https://www.sec.gov/Archives/edgar/data/1764046/000110465921067259/tm2116608d1_ex99-1.htm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https://www.sec.gov/Archives/edgar/data/64040/000119312520304880/d60362dex991.htm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Reports Fourth Quarter and Annual 2020 Results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https://www.sec.gov/Archives/edgar/data/1598014/000159801421000005/ex991q420.htm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Clearlake Capital to acquire Dun &amp; Bradstreet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resultados del 4T y del año 2024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https://www.sec.gov/Archives/edgar/data/1799208/000179920825000008/yearend2024prexhibit991.htm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and Informa Tech combination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TechTarget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https://www.sec.gov/Archives/edgar/data/1293282/000119312524005975/d395244dex991.htm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(IT) Shares Are Sliding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https://stockstory.org/us/stocks/nyse/it/news/why-up-down/why-gartner-it-shares-are-sliding-today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https://home.treasury.gov/resource-center/data-chart-center/interest-rates/TextView?type=daily_treasury_yield_curve&amp;field_tdr_date_value_month=202610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Is Climbing Higher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https://www.fool.com/investing/2026/07/29/why-gartner-stock-is-climbing-higher-today/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Inc. Stock Is Soaring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https://www.fool.com/investing/2026/08/04/why-gartner-inc-stock-is-soaring-today/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Skyrocketed This Week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https://www.fool.com/investing/2026/08/09/why-gartner-stock-skyrocketed-this-week/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Gartner Stock Skyrocketed 31.2% Last Month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https://www.fool.com/investing/2026/09/08/why-gartner-stock-skyrocketed-312-last-month/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(IT-N): opiniones de expertos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https://stockchase.com/IT-N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 making big moves yesterday: Corning, Baldwin Insurance Group, Gartner, Jabil, and Accenture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https://stockstory.org/us/stocks/nyse/glw/news/why-it-moves-summary/stocks-making-big-moves-yesterday-corning-baldwin-insurance-group-gartner-jabil-and-accenture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https://www.marketbeat.com/stocks/NYSE/IT/forecast/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92,0 %</w:t>
      </w:r>
      <w:r>
        <w:t xml:space="preserve"> · Secciones con menos del 60 % de campos cubiertos: </w:t>
      </w:r>
      <w:r>
        <w:rPr>
          <w:b/>
          <w:bCs/>
        </w:rPr>
        <w:t xml:space="preserve">ninguna</w:t>
      </w:r>
      <w:r>
        <w:t xml:space="preserve"> · Generado el 14 oct 2026.</w:t>
      </w:r>
    </w:p>
    <w:p>
      <w:pPr>
        <w:pStyle w:val="Nota"/>
        <w:spacing w:after="100"/>
      </w:pPr>
      <w:r>
        <w:t xml:space="preserve">Se valora la acción ordinaria de Gartner, Inc. en la Bolsa de Nueva York (IT), en USD y con las cuentas en US GAAP; precio de cierre del viernes 9-oct-2026 (191,15 USD), porque el corte cae en domingo [59]. Acciones: 63,23 M diluidas, las 63,15 M en circulación a 31-jul-2026 más 0,08 M de planes en acciones; como son posteriores al balance del puente (30-jun-2026), se restan de la caja unos 131,8 M de recompras de julio, deducidos del saldo pendiente de la autorización, que la empresa redondea [3]. La deuda va por su principal (3.000 M), no por su valor contable (2.979,3 M). Los arrendamientos operativos de oficinas no van a la deuda: su gasto ya está en el EBITDA (US GAAP). El EBITDA de las cuentas y del DCF es el contable (lleva dentro los pagos en acciones, 2,4 % de las ventas); el del consenso es el ajustado de la empresa, y el motor le resta ese 2,4 % para compararlos [62]. En 2025 la empresa cambió su segmentación (Insights, Conferences, Consulting y Otros) y solo reexpresó 2023-2025; 2021-2022 van en una fila con el antiguo segmento Research [2]. 2026 no es comparable con 2025 por la venta de Digital Markets (227,4 M de ingresos en 2025) [2, 3]. No hay estudio público que mida el gasto real del mercado de investigación y asesoramiento: el tamaño es el mercado potencial que estima la propia Gartner [30, 31]. El consenso de estimaciones completas es de una sola fuente gratuita (MarketScreener) y su BPA mezcla bases contable y ajustada [62]. No se han podido leer foros con comentarios de particulares (Seeking Alpha, Stocktwits y otros dan error de acceso): el sentimiento sale de artículos y notas de mercado [89, 91, 92, 93, 94, 95, 96, 97].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Gartner, Inc. (IT)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191,15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Hoja1!$B$2:$B$9</c:f>
              <c:numCache>
                <c:formatCode>#,##0</c:formatCode>
                <c:ptCount val="8"/>
                <c:pt idx="0">
                  <c:v>124.25</c:v>
                </c:pt>
                <c:pt idx="1">
                  <c:v>150</c:v>
                </c:pt>
                <c:pt idx="2">
                  <c:v>271.69</c:v>
                </c:pt>
                <c:pt idx="3">
                  <c:v>277.3</c:v>
                </c:pt>
                <c:pt idx="4">
                  <c:v>224.42</c:v>
                </c:pt>
                <c:pt idx="5">
                  <c:v>115.79</c:v>
                </c:pt>
                <c:pt idx="6">
                  <c:v>276.51</c:v>
                </c:pt>
                <c:pt idx="7">
                  <c:v>190.19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Hoja1!$C$2:$C$9</c:f>
              <c:numCache>
                <c:formatCode>#,##0</c:formatCode>
                <c:ptCount val="8"/>
                <c:pt idx="0">
                  <c:v>136.85000000000002</c:v>
                </c:pt>
                <c:pt idx="1">
                  <c:v>79</c:v>
                </c:pt>
                <c:pt idx="2">
                  <c:v>98.78000000000003</c:v>
                </c:pt>
                <c:pt idx="3">
                  <c:v>87.82</c:v>
                </c:pt>
                <c:pt idx="4">
                  <c:v>69.47</c:v>
                </c:pt>
                <c:pt idx="5">
                  <c:v>229.09999999999997</c:v>
                </c:pt>
                <c:pt idx="6">
                  <c:v>56.460000000000036</c:v>
                </c:pt>
                <c:pt idx="7">
                  <c:v>1.920000000000016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Insights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2">
                  <c:v>4516</c:v>
                </c:pt>
                <c:pt idx="3">
                  <c:v>4829.1</c:v>
                </c:pt>
                <c:pt idx="4">
                  <c:v>5072.6</c:v>
                </c:pt>
              </c:numCache>
            </c:numRef>
          </c:val>
        </c:ser>
        <c:ser>
          <c:idx val="1"/>
          <c:order val="1"/>
          <c:tx>
            <c:strRef>
              <c:f>Hoja1!$C$1</c:f>
              <c:strCache>
                <c:ptCount val="1"/>
                <c:pt idx="0">
                  <c:v>Research (segmentación anterior: Insights + Digital Markets)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4101.4</c:v>
                </c:pt>
                <c:pt idx="1">
                  <c:v>4604.8</c:v>
                </c:pt>
              </c:numCache>
            </c:numRef>
          </c:val>
        </c:ser>
        <c:ser>
          <c:idx val="2"/>
          <c:order val="2"/>
          <c:tx>
            <c:strRef>
              <c:f>Hoja1!$D$1</c:f>
              <c:strCache>
                <c:ptCount val="1"/>
                <c:pt idx="0">
                  <c:v>Conferences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214.4</c:v>
                </c:pt>
                <c:pt idx="1">
                  <c:v>389.3</c:v>
                </c:pt>
                <c:pt idx="2">
                  <c:v>505.2</c:v>
                </c:pt>
                <c:pt idx="3">
                  <c:v>583.2</c:v>
                </c:pt>
                <c:pt idx="4">
                  <c:v>644.7</c:v>
                </c:pt>
              </c:numCache>
            </c:numRef>
          </c:val>
        </c:ser>
        <c:ser>
          <c:idx val="3"/>
          <c:order val="3"/>
          <c:tx>
            <c:strRef>
              <c:f>Hoja1!$E$1</c:f>
              <c:strCache>
                <c:ptCount val="1"/>
                <c:pt idx="0">
                  <c:v>Consulting</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418.1</c:v>
                </c:pt>
                <c:pt idx="1">
                  <c:v>481.8</c:v>
                </c:pt>
                <c:pt idx="2">
                  <c:v>514.7</c:v>
                </c:pt>
                <c:pt idx="3">
                  <c:v>558.5</c:v>
                </c:pt>
                <c:pt idx="4">
                  <c:v>552.5</c:v>
                </c:pt>
              </c:numCache>
            </c:numRef>
          </c:val>
        </c:ser>
        <c:ser>
          <c:idx val="4"/>
          <c:order val="4"/>
          <c:tx>
            <c:strRef>
              <c:f>Hoja1!$F$1</c:f>
              <c:strCache>
                <c:ptCount val="1"/>
                <c:pt idx="0">
                  <c:v>Otros (Digital Markets, vendido en feb-2026)</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2">
                  <c:v>371</c:v>
                </c:pt>
                <c:pt idx="3">
                  <c:v>296.6</c:v>
                </c:pt>
                <c:pt idx="4">
                  <c:v>227.4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Insights</c:v>
                </c:pt>
                <c:pt idx="1">
                  <c:v>Research (segmentación anterior: Insights + Digital Markets)</c:v>
                </c:pt>
                <c:pt idx="2">
                  <c:v>Conferences</c:v>
                </c:pt>
                <c:pt idx="3">
                  <c:v>Consulting</c:v>
                </c:pt>
                <c:pt idx="4">
                  <c:v>Otros (Digital Markets, vendido en feb-2026)</c:v>
                </c:pt>
              </c:strCache>
            </c:strRef>
          </c:cat>
          <c:val>
            <c:numRef>
              <c:f>Hoja1!$B$2:$B$6</c:f>
              <c:numCache>
                <c:formatCode>General</c:formatCode>
                <c:ptCount val="5"/>
                <c:pt idx="0">
                  <c:v>78.1</c:v>
                </c:pt>
                <c:pt idx="2">
                  <c:v>9.9</c:v>
                </c:pt>
                <c:pt idx="3">
                  <c:v>8.5</c:v>
                </c:pt>
                <c:pt idx="4">
                  <c:v>3.5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 y Canadá</c:v>
                </c:pt>
                <c:pt idx="1">
                  <c:v>Europa, Oriente Medio y África</c:v>
                </c:pt>
                <c:pt idx="2">
                  <c:v>Resto del mundo</c:v>
                </c:pt>
              </c:strCache>
            </c:strRef>
          </c:cat>
          <c:val>
            <c:numRef>
              <c:f>Hoja1!$B$2:$B$4</c:f>
              <c:numCache>
                <c:formatCode>0"%"</c:formatCode>
                <c:ptCount val="3"/>
                <c:pt idx="0">
                  <c:v>62.1</c:v>
                </c:pt>
                <c:pt idx="1">
                  <c:v>26.1</c:v>
                </c:pt>
                <c:pt idx="2">
                  <c:v>11.8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Gartner</c:v>
                </c:pt>
                <c:pt idx="1">
                  <c:v>Forrester Research</c:v>
                </c:pt>
                <c:pt idx="2">
                  <c:v>Informa TechTarget (Omdia, Enterprise Strategy Group, Canalys)</c:v>
                </c:pt>
                <c:pt idx="3">
                  <c:v>Accenture (consultoría)</c:v>
                </c:pt>
                <c:pt idx="4">
                  <c:v>The Hackett Group</c:v>
                </c:pt>
                <c:pt idx="5">
                  <c:v>Information Services Group (ISG)</c:v>
                </c:pt>
                <c:pt idx="6">
                  <c:v>IDC (International Data Corporation)</c:v>
                </c:pt>
                <c:pt idx="7">
                  <c:v>Info-Tech Research Group</c:v>
                </c:pt>
              </c:strCache>
            </c:strRef>
          </c:cat>
          <c:val>
            <c:numRef>
              <c:f>Hoja1!$B$2:$B$9</c:f>
              <c:numCache>
                <c:formatCode>0.0"%"</c:formatCode>
                <c:ptCount val="8"/>
                <c:pt idx="0">
                  <c:v>18.1</c:v>
                </c:pt>
                <c:pt idx="1">
                  <c:v>-28.5</c:v>
                </c:pt>
                <c:pt idx="2">
                  <c:v>-210.7</c:v>
                </c:pt>
                <c:pt idx="3">
                  <c:v>14.7</c:v>
                </c:pt>
                <c:pt idx="4">
                  <c:v>7.7</c:v>
                </c:pt>
                <c:pt idx="5">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2444.5</c:v>
                </c:pt>
                <c:pt idx="1">
                  <c:v>3311.5</c:v>
                </c:pt>
                <c:pt idx="2">
                  <c:v>3975.5</c:v>
                </c:pt>
                <c:pt idx="3">
                  <c:v>4245.3</c:v>
                </c:pt>
                <c:pt idx="4">
                  <c:v>4099.4</c:v>
                </c:pt>
                <c:pt idx="5">
                  <c:v>4734</c:v>
                </c:pt>
                <c:pt idx="6">
                  <c:v>5475.8</c:v>
                </c:pt>
                <c:pt idx="7">
                  <c:v>5907</c:v>
                </c:pt>
                <c:pt idx="8">
                  <c:v>6267.4</c:v>
                </c:pt>
                <c:pt idx="9">
                  <c:v>6497.2</c:v>
                </c:pt>
                <c:pt idx="10">
                  <c:v>6419</c:v>
                </c:pt>
                <c:pt idx="11">
                  <c:v>6580</c:v>
                </c:pt>
                <c:pt idx="12">
                  <c:v>6810</c:v>
                </c:pt>
                <c:pt idx="13">
                  <c:v>7082</c:v>
                </c:pt>
                <c:pt idx="14">
                  <c:v>7366</c:v>
                </c:pt>
                <c:pt idx="15">
                  <c:v>7624</c:v>
                </c:pt>
                <c:pt idx="16">
                  <c:v>7852</c:v>
                </c:pt>
                <c:pt idx="17">
                  <c:v>8088</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367.1</c:v>
                </c:pt>
                <c:pt idx="1">
                  <c:v>392.4</c:v>
                </c:pt>
                <c:pt idx="2">
                  <c:v>622.5</c:v>
                </c:pt>
                <c:pt idx="3">
                  <c:v>581.9</c:v>
                </c:pt>
                <c:pt idx="4">
                  <c:v>709.1</c:v>
                </c:pt>
                <c:pt idx="5">
                  <c:v>1128.2</c:v>
                </c:pt>
                <c:pt idx="6">
                  <c:v>1292</c:v>
                </c:pt>
                <c:pt idx="7">
                  <c:v>1292.6</c:v>
                </c:pt>
                <c:pt idx="8">
                  <c:v>1358.6</c:v>
                </c:pt>
                <c:pt idx="9">
                  <c:v>1376</c:v>
                </c:pt>
                <c:pt idx="10">
                  <c:v>1451</c:v>
                </c:pt>
                <c:pt idx="11">
                  <c:v>1507</c:v>
                </c:pt>
                <c:pt idx="12">
                  <c:v>1580</c:v>
                </c:pt>
                <c:pt idx="13">
                  <c:v>1657</c:v>
                </c:pt>
                <c:pt idx="14">
                  <c:v>1731</c:v>
                </c:pt>
                <c:pt idx="15">
                  <c:v>1792</c:v>
                </c:pt>
                <c:pt idx="16">
                  <c:v>1845</c:v>
                </c:pt>
                <c:pt idx="17">
                  <c:v>1901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61.3</c:v>
                </c:pt>
                <c:pt idx="1">
                  <c:v>60.1</c:v>
                </c:pt>
                <c:pt idx="2">
                  <c:v>63.1</c:v>
                </c:pt>
                <c:pt idx="3">
                  <c:v>63.5</c:v>
                </c:pt>
                <c:pt idx="4">
                  <c:v>67.2</c:v>
                </c:pt>
                <c:pt idx="5">
                  <c:v>69.5</c:v>
                </c:pt>
                <c:pt idx="6">
                  <c:v>69.1</c:v>
                </c:pt>
                <c:pt idx="7">
                  <c:v>67.8</c:v>
                </c:pt>
                <c:pt idx="8">
                  <c:v>67.7</c:v>
                </c:pt>
                <c:pt idx="9">
                  <c:v>68.4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15</c:v>
                </c:pt>
                <c:pt idx="1">
                  <c:v>11.8</c:v>
                </c:pt>
                <c:pt idx="2">
                  <c:v>15.7</c:v>
                </c:pt>
                <c:pt idx="3">
                  <c:v>13.7</c:v>
                </c:pt>
                <c:pt idx="4">
                  <c:v>17.3</c:v>
                </c:pt>
                <c:pt idx="5">
                  <c:v>23.8</c:v>
                </c:pt>
                <c:pt idx="6">
                  <c:v>23.6</c:v>
                </c:pt>
                <c:pt idx="7">
                  <c:v>21.9</c:v>
                </c:pt>
                <c:pt idx="8">
                  <c:v>21.7</c:v>
                </c:pt>
                <c:pt idx="9">
                  <c:v>21.2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12.5</c:v>
                </c:pt>
                <c:pt idx="1">
                  <c:v>4.6</c:v>
                </c:pt>
                <c:pt idx="2">
                  <c:v>9.2</c:v>
                </c:pt>
                <c:pt idx="3">
                  <c:v>8.7</c:v>
                </c:pt>
                <c:pt idx="4">
                  <c:v>12</c:v>
                </c:pt>
                <c:pt idx="5">
                  <c:v>19.3</c:v>
                </c:pt>
                <c:pt idx="6">
                  <c:v>20.1</c:v>
                </c:pt>
                <c:pt idx="7">
                  <c:v>18.6</c:v>
                </c:pt>
                <c:pt idx="8">
                  <c:v>18.4</c:v>
                </c:pt>
                <c:pt idx="9">
                  <c:v>18.1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7.9</c:v>
                </c:pt>
                <c:pt idx="1">
                  <c:v>0.1</c:v>
                </c:pt>
                <c:pt idx="2">
                  <c:v>3.1</c:v>
                </c:pt>
                <c:pt idx="3">
                  <c:v>5.5</c:v>
                </c:pt>
                <c:pt idx="4">
                  <c:v>6.5</c:v>
                </c:pt>
                <c:pt idx="5">
                  <c:v>16.8</c:v>
                </c:pt>
                <c:pt idx="6">
                  <c:v>14.8</c:v>
                </c:pt>
                <c:pt idx="7">
                  <c:v>14.9</c:v>
                </c:pt>
                <c:pt idx="8">
                  <c:v>20</c:v>
                </c:pt>
                <c:pt idx="9">
                  <c:v>11.2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5.4</c:v>
                </c:pt>
                <c:pt idx="1">
                  <c:v>8.1</c:v>
                </c:pt>
                <c:pt idx="2">
                  <c:v>4.2</c:v>
                </c:pt>
                <c:pt idx="3">
                  <c:v>5.7</c:v>
                </c:pt>
                <c:pt idx="4">
                  <c:v>2.7</c:v>
                </c:pt>
                <c:pt idx="5">
                  <c:v>2.2</c:v>
                </c:pt>
                <c:pt idx="6">
                  <c:v>-1.5</c:v>
                </c:pt>
                <c:pt idx="7">
                  <c:v>-0.6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5.6</c:v>
                </c:pt>
                <c:pt idx="1">
                  <c:v>8</c:v>
                </c:pt>
                <c:pt idx="2">
                  <c:v>5.7</c:v>
                </c:pt>
                <c:pt idx="3">
                  <c:v>4.6</c:v>
                </c:pt>
                <c:pt idx="4">
                  <c:v>1.2</c:v>
                </c:pt>
                <c:pt idx="5">
                  <c:v>0</c:v>
                </c:pt>
                <c:pt idx="6">
                  <c:v>-1.4</c:v>
                </c:pt>
                <c:pt idx="7">
                  <c:v>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96</c:v>
                </c:pt>
                <c:pt idx="1">
                  <c:v>130</c:v>
                </c:pt>
                <c:pt idx="2">
                  <c:v>115</c:v>
                </c:pt>
                <c:pt idx="3">
                  <c:v>114</c:v>
                </c:pt>
                <c:pt idx="4">
                  <c:v>111</c:v>
                </c:pt>
                <c:pt idx="5">
                  <c:v>105</c:v>
                </c:pt>
                <c:pt idx="6">
                  <c:v>104</c:v>
                </c:pt>
                <c:pt idx="7">
                  <c:v>99</c:v>
                </c:pt>
                <c:pt idx="8">
                  <c:v>99</c:v>
                </c:pt>
                <c:pt idx="9">
                  <c:v>95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170</c:v>
                </c:pt>
                <c:pt idx="1">
                  <c:v>184</c:v>
                </c:pt>
                <c:pt idx="2">
                  <c:v>176</c:v>
                </c:pt>
                <c:pt idx="3">
                  <c:v>186</c:v>
                </c:pt>
                <c:pt idx="4">
                  <c:v>258</c:v>
                </c:pt>
                <c:pt idx="5">
                  <c:v>287</c:v>
                </c:pt>
                <c:pt idx="6">
                  <c:v>240</c:v>
                </c:pt>
                <c:pt idx="7">
                  <c:v>216</c:v>
                </c:pt>
                <c:pt idx="8">
                  <c:v>218</c:v>
                </c:pt>
                <c:pt idx="9">
                  <c:v>220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315.70000000000005</c:v>
                </c:pt>
                <c:pt idx="1">
                  <c:v>143.7</c:v>
                </c:pt>
                <c:pt idx="2">
                  <c:v>344.29999999999995</c:v>
                </c:pt>
                <c:pt idx="3">
                  <c:v>416.4</c:v>
                </c:pt>
                <c:pt idx="4">
                  <c:v>819.4</c:v>
                </c:pt>
                <c:pt idx="5">
                  <c:v>1252.7</c:v>
                </c:pt>
                <c:pt idx="6">
                  <c:v>993.4000000000001</c:v>
                </c:pt>
                <c:pt idx="7">
                  <c:v>1052.6000000000001</c:v>
                </c:pt>
                <c:pt idx="8">
                  <c:v>1383.2</c:v>
                </c:pt>
                <c:pt idx="9">
                  <c:v>1175.3000000000002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193.6</c:v>
                </c:pt>
                <c:pt idx="1">
                  <c:v>3.3</c:v>
                </c:pt>
                <c:pt idx="2">
                  <c:v>122.5</c:v>
                </c:pt>
                <c:pt idx="3">
                  <c:v>233.3</c:v>
                </c:pt>
                <c:pt idx="4">
                  <c:v>266.7</c:v>
                </c:pt>
                <c:pt idx="5">
                  <c:v>793.6</c:v>
                </c:pt>
                <c:pt idx="6">
                  <c:v>807.8</c:v>
                </c:pt>
                <c:pt idx="7">
                  <c:v>882.5</c:v>
                </c:pt>
                <c:pt idx="8">
                  <c:v>1253.7</c:v>
                </c:pt>
                <c:pt idx="9">
                  <c:v>729.2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72.9</c:v>
                </c:pt>
                <c:pt idx="1">
                  <c:v>5.7</c:v>
                </c:pt>
                <c:pt idx="2">
                  <c:v>7.4</c:v>
                </c:pt>
                <c:pt idx="3">
                  <c:v>10.8</c:v>
                </c:pt>
                <c:pt idx="4">
                  <c:v>15.4</c:v>
                </c:pt>
                <c:pt idx="5">
                  <c:v>33.8</c:v>
                </c:pt>
                <c:pt idx="6">
                  <c:v>42.5</c:v>
                </c:pt>
                <c:pt idx="7">
                  <c:v>44.5</c:v>
                </c:pt>
                <c:pt idx="8">
                  <c:v>56.4</c:v>
                </c:pt>
                <c:pt idx="9">
                  <c:v>51.1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9.3</c:v>
                </c:pt>
                <c:pt idx="1">
                  <c:v>9.3</c:v>
                </c:pt>
                <c:pt idx="2">
                  <c:v>9.3</c:v>
                </c:pt>
                <c:pt idx="3">
                  <c:v>9.3</c:v>
                </c:pt>
                <c:pt idx="4">
                  <c:v>9.3</c:v>
                </c:pt>
                <c:pt idx="5">
                  <c:v>9.3</c:v>
                </c:pt>
                <c:pt idx="6">
                  <c:v>9.3</c:v>
                </c:pt>
                <c:pt idx="7">
                  <c:v>9.3</c:v>
                </c:pt>
                <c:pt idx="8">
                  <c:v>9.3</c:v>
                </c:pt>
                <c:pt idx="9">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317.9</c:v>
                </c:pt>
                <c:pt idx="1">
                  <c:v>0.6</c:v>
                </c:pt>
                <c:pt idx="2">
                  <c:v>13.4</c:v>
                </c:pt>
                <c:pt idx="3">
                  <c:v>26.1</c:v>
                </c:pt>
                <c:pt idx="4">
                  <c:v>26.3</c:v>
                </c:pt>
                <c:pt idx="5">
                  <c:v>108.6</c:v>
                </c:pt>
                <c:pt idx="6">
                  <c:v>269.8</c:v>
                </c:pt>
                <c:pt idx="7">
                  <c:v>194.3</c:v>
                </c:pt>
                <c:pt idx="8">
                  <c:v>122.9</c:v>
                </c:pt>
                <c:pt idx="9">
                  <c:v>86.9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0.6</c:v>
                </c:pt>
                <c:pt idx="1">
                  <c:v>6.98</c:v>
                </c:pt>
                <c:pt idx="2">
                  <c:v>3.41</c:v>
                </c:pt>
                <c:pt idx="3">
                  <c:v>3.27</c:v>
                </c:pt>
                <c:pt idx="4">
                  <c:v>1.79</c:v>
                </c:pt>
                <c:pt idx="5">
                  <c:v>1.51</c:v>
                </c:pt>
                <c:pt idx="6">
                  <c:v>1.36</c:v>
                </c:pt>
                <c:pt idx="7">
                  <c:v>0.88</c:v>
                </c:pt>
                <c:pt idx="8">
                  <c:v>0.39</c:v>
                </c:pt>
                <c:pt idx="9">
                  <c:v>0.92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0</c:v>
                </c:pt>
                <c:pt idx="1">
                  <c:v>0</c:v>
                </c:pt>
                <c:pt idx="2">
                  <c:v>800</c:v>
                </c:pt>
                <c:pt idx="3">
                  <c:v>600</c:v>
                </c:pt>
                <c:pt idx="4">
                  <c:v>800</c:v>
                </c:pt>
                <c:pt idx="5">
                  <c:v>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48.2</c:v>
                </c:pt>
                <c:pt idx="1">
                  <c:v>2641.8</c:v>
                </c:pt>
                <c:pt idx="2">
                  <c:v>15.9</c:v>
                </c:pt>
                <c:pt idx="3">
                  <c:v>26</c:v>
                </c:pt>
                <c:pt idx="4">
                  <c:v>0</c:v>
                </c:pt>
                <c:pt idx="5">
                  <c:v>22.9</c:v>
                </c:pt>
                <c:pt idx="6">
                  <c:v>9.5</c:v>
                </c:pt>
                <c:pt idx="7">
                  <c:v>3.8</c:v>
                </c:pt>
                <c:pt idx="8">
                  <c:v>2</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59</c:v>
                </c:pt>
                <c:pt idx="1">
                  <c:v>41.3</c:v>
                </c:pt>
                <c:pt idx="2">
                  <c:v>260.8</c:v>
                </c:pt>
                <c:pt idx="3">
                  <c:v>199</c:v>
                </c:pt>
                <c:pt idx="4">
                  <c:v>176.3</c:v>
                </c:pt>
                <c:pt idx="5">
                  <c:v>1655.5</c:v>
                </c:pt>
                <c:pt idx="6">
                  <c:v>1043.7</c:v>
                </c:pt>
                <c:pt idx="7">
                  <c:v>606.2</c:v>
                </c:pt>
                <c:pt idx="8">
                  <c:v>735.4</c:v>
                </c:pt>
                <c:pt idx="9">
                  <c:v>1991.1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Baron Capital Group (Ronald Baron; incluye BAMCO)</c:v>
                </c:pt>
                <c:pt idx="1">
                  <c:v>Independent Franchise Partners</c:v>
                </c:pt>
                <c:pt idx="2">
                  <c:v>BlackRock</c:v>
                </c:pt>
                <c:pt idx="3">
                  <c:v>Vanguard Capital Management</c:v>
                </c:pt>
                <c:pt idx="4">
                  <c:v>AQR Capital Management</c:v>
                </c:pt>
                <c:pt idx="5">
                  <c:v>Vanguard Portfolio Management</c:v>
                </c:pt>
                <c:pt idx="6">
                  <c:v>Capital International Investors</c:v>
                </c:pt>
                <c:pt idx="7">
                  <c:v>Consejeros y directivos (24 personas)</c:v>
                </c:pt>
              </c:strCache>
            </c:strRef>
          </c:cat>
          <c:val>
            <c:numRef>
              <c:f>Hoja1!$B$2:$B$9</c:f>
              <c:numCache>
                <c:formatCode>0.0"%"</c:formatCode>
                <c:ptCount val="8"/>
                <c:pt idx="0">
                  <c:v>11.29</c:v>
                </c:pt>
                <c:pt idx="1">
                  <c:v>8.34</c:v>
                </c:pt>
                <c:pt idx="2">
                  <c:v>7.5</c:v>
                </c:pt>
                <c:pt idx="3">
                  <c:v>7.32</c:v>
                </c:pt>
                <c:pt idx="4">
                  <c:v>6.24</c:v>
                </c:pt>
                <c:pt idx="5">
                  <c:v>5.26</c:v>
                </c:pt>
                <c:pt idx="6">
                  <c:v>2.9</c:v>
                </c:pt>
                <c:pt idx="7">
                  <c:v>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11.4</c:v>
                </c:pt>
                <c:pt idx="1">
                  <c:v>21.8</c:v>
                </c:pt>
                <c:pt idx="2">
                  <c:v>3.8</c:v>
                </c:pt>
                <c:pt idx="3">
                  <c:v>20.5</c:v>
                </c:pt>
                <c:pt idx="4">
                  <c:v>4</c:v>
                </c:pt>
                <c:pt idx="5">
                  <c:v>108.7</c:v>
                </c:pt>
                <c:pt idx="6">
                  <c:v>0.5</c:v>
                </c:pt>
                <c:pt idx="7">
                  <c:v>34.2</c:v>
                </c:pt>
                <c:pt idx="8">
                  <c:v>7.4</c:v>
                </c:pt>
                <c:pt idx="9">
                  <c:v>-47.9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23.7</c:v>
                </c:pt>
                <c:pt idx="1">
                  <c:v>35.2</c:v>
                </c:pt>
                <c:pt idx="2">
                  <c:v>22.3</c:v>
                </c:pt>
                <c:pt idx="3">
                  <c:v>27.4</c:v>
                </c:pt>
                <c:pt idx="4">
                  <c:v>22.1</c:v>
                </c:pt>
                <c:pt idx="5">
                  <c:v>27.1</c:v>
                </c:pt>
                <c:pt idx="6">
                  <c:v>22.5</c:v>
                </c:pt>
                <c:pt idx="7">
                  <c:v>28.7</c:v>
                </c:pt>
                <c:pt idx="8">
                  <c:v>28.3</c:v>
                </c:pt>
                <c:pt idx="9">
                  <c:v>14.8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25.4</c:v>
                </c:pt>
                <c:pt idx="1">
                  <c:v>25.4</c:v>
                </c:pt>
                <c:pt idx="2">
                  <c:v>25.4</c:v>
                </c:pt>
                <c:pt idx="3">
                  <c:v>25.4</c:v>
                </c:pt>
                <c:pt idx="4">
                  <c:v>25.4</c:v>
                </c:pt>
                <c:pt idx="5">
                  <c:v>25.4</c:v>
                </c:pt>
                <c:pt idx="6">
                  <c:v>25.4</c:v>
                </c:pt>
                <c:pt idx="7">
                  <c:v>25.4</c:v>
                </c:pt>
                <c:pt idx="8">
                  <c:v>25.4</c:v>
                </c:pt>
                <c:pt idx="9">
                  <c:v>25.4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Gartner</c:v>
                </c:pt>
                <c:pt idx="1">
                  <c:v>Verisk Analytics</c:v>
                </c:pt>
                <c:pt idx="2">
                  <c:v>FactSet Research Systems</c:v>
                </c:pt>
                <c:pt idx="3">
                  <c:v>Moody's</c:v>
                </c:pt>
                <c:pt idx="4">
                  <c:v>S&amp;P Global</c:v>
                </c:pt>
                <c:pt idx="5">
                  <c:v>MSCI</c:v>
                </c:pt>
                <c:pt idx="6">
                  <c:v>Thomson Reuters</c:v>
                </c:pt>
                <c:pt idx="7">
                  <c:v>RELX</c:v>
                </c:pt>
                <c:pt idx="8">
                  <c:v>Accenture</c:v>
                </c:pt>
              </c:strCache>
            </c:strRef>
          </c:cat>
          <c:val>
            <c:numRef>
              <c:f>Hoja1!$B$2:$B$10</c:f>
              <c:numCache>
                <c:formatCode>0.0"x"</c:formatCode>
                <c:ptCount val="9"/>
                <c:pt idx="0">
                  <c:v>9.1</c:v>
                </c:pt>
                <c:pt idx="1">
                  <c:v>14.2</c:v>
                </c:pt>
                <c:pt idx="2">
                  <c:v>11.4</c:v>
                </c:pt>
                <c:pt idx="3">
                  <c:v>18.4</c:v>
                </c:pt>
                <c:pt idx="4">
                  <c:v>16.1</c:v>
                </c:pt>
                <c:pt idx="5">
                  <c:v>20.4</c:v>
                </c:pt>
                <c:pt idx="6">
                  <c:v>13.5</c:v>
                </c:pt>
                <c:pt idx="7">
                  <c:v>12.9</c:v>
                </c:pt>
                <c:pt idx="8">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Gartner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c:v>
                </c:pt>
              </c:numCache>
            </c:numRef>
          </c:xVal>
          <c:yVal>
            <c:numRef>
              <c:f>Hoja1!$C$2</c:f>
              <c:numCache>
                <c:formatCode>0.0"x"</c:formatCode>
                <c:ptCount val="1"/>
                <c:pt idx="0">
                  <c:v>9.1</c:v>
                </c:pt>
              </c:numCache>
            </c:numRef>
          </c:yVal>
          <c:smooth val="0"/>
        </c:ser>
        <c:ser>
          <c:idx val="1"/>
          <c:order val="1"/>
          <c:tx>
            <c:strRef>
              <c:f>Hoja1!$A$3</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c:v>
                </c:pt>
              </c:numCache>
            </c:numRef>
          </c:xVal>
          <c:yVal>
            <c:numRef>
              <c:f>Hoja1!$C$3</c:f>
              <c:numCache>
                <c:formatCode>0.0"x"</c:formatCode>
                <c:ptCount val="1"/>
                <c:pt idx="0">
                  <c:v>14.2</c:v>
                </c:pt>
              </c:numCache>
            </c:numRef>
          </c:yVal>
          <c:smooth val="0"/>
        </c:ser>
        <c:ser>
          <c:idx val="2"/>
          <c:order val="2"/>
          <c:tx>
            <c:strRef>
              <c:f>Hoja1!$A$4</c:f>
              <c:strCache>
                <c:ptCount val="1"/>
                <c:pt idx="0">
                  <c:v>FactSet Research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5.8</c:v>
                </c:pt>
              </c:numCache>
            </c:numRef>
          </c:xVal>
          <c:yVal>
            <c:numRef>
              <c:f>Hoja1!$C$4</c:f>
              <c:numCache>
                <c:formatCode>0.0"x"</c:formatCode>
                <c:ptCount val="1"/>
                <c:pt idx="0">
                  <c:v>11.4</c:v>
                </c:pt>
              </c:numCache>
            </c:numRef>
          </c:yVal>
          <c:smooth val="0"/>
        </c:ser>
        <c:ser>
          <c:idx val="3"/>
          <c:order val="3"/>
          <c:tx>
            <c:strRef>
              <c:f>Hoja1!$A$5</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7.2</c:v>
                </c:pt>
              </c:numCache>
            </c:numRef>
          </c:xVal>
          <c:yVal>
            <c:numRef>
              <c:f>Hoja1!$C$5</c:f>
              <c:numCache>
                <c:formatCode>0.0"x"</c:formatCode>
                <c:ptCount val="1"/>
                <c:pt idx="0">
                  <c:v>18.4</c:v>
                </c:pt>
              </c:numCache>
            </c:numRef>
          </c:yVal>
          <c:smooth val="0"/>
        </c:ser>
        <c:ser>
          <c:idx val="4"/>
          <c:order val="4"/>
          <c:tx>
            <c:strRef>
              <c:f>Hoja1!$A$6</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c:v>
                </c:pt>
              </c:numCache>
            </c:numRef>
          </c:xVal>
          <c:yVal>
            <c:numRef>
              <c:f>Hoja1!$C$6</c:f>
              <c:numCache>
                <c:formatCode>0.0"x"</c:formatCode>
                <c:ptCount val="1"/>
                <c:pt idx="0">
                  <c:v>16.1</c:v>
                </c:pt>
              </c:numCache>
            </c:numRef>
          </c:yVal>
          <c:smooth val="0"/>
        </c:ser>
        <c:ser>
          <c:idx val="5"/>
          <c:order val="5"/>
          <c:tx>
            <c:strRef>
              <c:f>Hoja1!$A$7</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10.1</c:v>
                </c:pt>
              </c:numCache>
            </c:numRef>
          </c:xVal>
          <c:yVal>
            <c:numRef>
              <c:f>Hoja1!$C$7</c:f>
              <c:numCache>
                <c:formatCode>0.0"x"</c:formatCode>
                <c:ptCount val="1"/>
                <c:pt idx="0">
                  <c:v>20.4</c:v>
                </c:pt>
              </c:numCache>
            </c:numRef>
          </c:yVal>
          <c:smooth val="0"/>
        </c:ser>
        <c:ser>
          <c:idx val="6"/>
          <c:order val="6"/>
          <c:tx>
            <c:strRef>
              <c:f>Hoja1!$A$8</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8</c:v>
                </c:pt>
              </c:numCache>
            </c:numRef>
          </c:xVal>
          <c:yVal>
            <c:numRef>
              <c:f>Hoja1!$C$8</c:f>
              <c:numCache>
                <c:formatCode>0.0"x"</c:formatCode>
                <c:ptCount val="1"/>
                <c:pt idx="0">
                  <c:v>13.5</c:v>
                </c:pt>
              </c:numCache>
            </c:numRef>
          </c:yVal>
          <c:smooth val="0"/>
        </c:ser>
        <c:ser>
          <c:idx val="7"/>
          <c:order val="7"/>
          <c:tx>
            <c:strRef>
              <c:f>Hoja1!$A$9</c:f>
              <c:strCache>
                <c:ptCount val="1"/>
                <c:pt idx="0">
                  <c:v>RELX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5.9</c:v>
                </c:pt>
              </c:numCache>
            </c:numRef>
          </c:xVal>
          <c:yVal>
            <c:numRef>
              <c:f>Hoja1!$C$9</c:f>
              <c:numCache>
                <c:formatCode>0.0"x"</c:formatCode>
                <c:ptCount val="1"/>
                <c:pt idx="0">
                  <c:v>12.9</c:v>
                </c:pt>
              </c:numCache>
            </c:numRef>
          </c:yVal>
          <c:smooth val="0"/>
        </c:ser>
        <c:ser>
          <c:idx val="8"/>
          <c:order val="8"/>
          <c:tx>
            <c:strRef>
              <c:f>Hoja1!$A$10</c:f>
              <c:strCache>
                <c:ptCount val="1"/>
                <c:pt idx="0">
                  <c:v>Accenture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4.5</c:v>
                </c:pt>
              </c:numCache>
            </c:numRef>
          </c:xVal>
          <c:yVal>
            <c:numRef>
              <c:f>Hoja1!$C$10</c:f>
              <c:numCache>
                <c:formatCode>0.0"x"</c:formatCode>
                <c:ptCount val="1"/>
                <c:pt idx="0">
                  <c:v>8.3</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CEB Inc.</c:v>
                </c:pt>
                <c:pt idx="1">
                  <c:v>IHS Markit</c:v>
                </c:pt>
                <c:pt idx="2">
                  <c:v>ProQuest</c:v>
                </c:pt>
                <c:pt idx="3">
                  <c:v>TechTarget (57 % de la nueva TechTarget)</c:v>
                </c:pt>
                <c:pt idx="4">
                  <c:v>Dun &amp; Bradstreet</c:v>
                </c:pt>
                <c:pt idx="5">
                  <c:v>Digital Markets (negocio de Gartner)</c:v>
                </c:pt>
              </c:strCache>
            </c:strRef>
          </c:cat>
          <c:val>
            <c:numRef>
              <c:f>Hoja1!$B$2:$B$7</c:f>
              <c:numCache>
                <c:formatCode>0.0"x"</c:formatCode>
                <c:ptCount val="6"/>
                <c:pt idx="1">
                  <c:v>24</c:v>
                </c:pt>
                <c:pt idx="2">
                  <c:v>21.2</c:v>
                </c:pt>
                <c:pt idx="4">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987</c:v>
                </c:pt>
                <c:pt idx="1">
                  <c:v>1127</c:v>
                </c:pt>
                <c:pt idx="2">
                  <c:v>1195</c:v>
                </c:pt>
                <c:pt idx="3">
                  <c:v>1255</c:v>
                </c:pt>
                <c:pt idx="4">
                  <c:v>1299</c:v>
                </c:pt>
                <c:pt idx="5">
                  <c:v>1330</c:v>
                </c:pt>
                <c:pt idx="6">
                  <c:v>1357</c:v>
                </c:pt>
                <c:pt idx="7">
                  <c:v>1398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6671</c:v>
                </c:pt>
                <c:pt idx="1">
                  <c:v>11069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191,15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115.79</c:v>
                </c:pt>
                <c:pt idx="1">
                  <c:v>254.13</c:v>
                </c:pt>
                <c:pt idx="2">
                  <c:v>344.89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191,15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Hoja1!$B$2:$B$9</c:f>
              <c:numCache>
                <c:formatCode>#,##0</c:formatCode>
                <c:ptCount val="8"/>
                <c:pt idx="0">
                  <c:v>124.25</c:v>
                </c:pt>
                <c:pt idx="1">
                  <c:v>150</c:v>
                </c:pt>
                <c:pt idx="2">
                  <c:v>271.69</c:v>
                </c:pt>
                <c:pt idx="3">
                  <c:v>277.3</c:v>
                </c:pt>
                <c:pt idx="4">
                  <c:v>224.42</c:v>
                </c:pt>
                <c:pt idx="5">
                  <c:v>115.79</c:v>
                </c:pt>
                <c:pt idx="6">
                  <c:v>276.51</c:v>
                </c:pt>
                <c:pt idx="7">
                  <c:v>190.19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(124,25 – 261,10)</c:v>
                </c:pt>
                <c:pt idx="1">
                  <c:v>Precio objetivo de los analistas (150,00 – 229,00)</c:v>
                </c:pt>
                <c:pt idx="2">
                  <c:v>Comparables: EV/EBITDA NTM (271,69 – 370,47)</c:v>
                </c:pt>
                <c:pt idx="3">
                  <c:v>Comparables: PER NTM (277,30 – 365,12)</c:v>
                </c:pt>
                <c:pt idx="4">
                  <c:v>DCF (WACC y g ± 0,5) (224,42 – 293,89)</c:v>
                </c:pt>
                <c:pt idx="5">
                  <c:v>Escenarios (bajista – alcista) (115,79 – 344,89)</c:v>
                </c:pt>
                <c:pt idx="6">
                  <c:v>DCF con la prima implícita del mercado (4,2 %)</c:v>
                </c:pt>
                <c:pt idx="7">
                  <c:v>Precio actual (191,15)</c:v>
                </c:pt>
              </c:strCache>
            </c:strRef>
          </c:cat>
          <c:val>
            <c:numRef>
              <c:f>Hoja1!$C$2:$C$9</c:f>
              <c:numCache>
                <c:formatCode>#,##0</c:formatCode>
                <c:ptCount val="8"/>
                <c:pt idx="0">
                  <c:v>136.85000000000002</c:v>
                </c:pt>
                <c:pt idx="1">
                  <c:v>79</c:v>
                </c:pt>
                <c:pt idx="2">
                  <c:v>98.78000000000003</c:v>
                </c:pt>
                <c:pt idx="3">
                  <c:v>87.82</c:v>
                </c:pt>
                <c:pt idx="4">
                  <c:v>69.47</c:v>
                </c:pt>
                <c:pt idx="5">
                  <c:v>229.09999999999997</c:v>
                </c:pt>
                <c:pt idx="6">
                  <c:v>56.460000000000036</c:v>
                </c:pt>
                <c:pt idx="7">
                  <c:v>1.920000000000016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