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Heineken N.V.</w:t>
      </w:r>
    </w:p>
    <w:p>
      <w:pPr>
        <w:spacing w:after="60"/>
        <w:rPr>
          <w:color w:val="52514E"/>
          <w:sz w:val="22"/>
          <w:szCs w:val="22"/>
        </w:rPr>
      </w:pPr>
      <w:r>
        <w:rPr>
          <w:color w:val="52514E"/>
          <w:sz w:val="22"/>
          <w:szCs w:val="22"/>
        </w:rPr>
        <w:t xml:space="preserve">HEIA · Euronext Amsterdam · ISIN NL0000009165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71,12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82,17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+18,2 % (base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85,14 EUR · mercado 99,13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38.832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Heineken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HEIA / NL0000009165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Amsterdam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Cerveceras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(Países Bajos) · 1864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www.theheinekencompany.com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71,12 (12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38.832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60.332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82,17 EUR</w:t>
      </w:r>
      <w:r>
        <w:t xml:space="preserve"> frente a 71,12 · Rentabilidad a 12 meses </w:t>
      </w:r>
      <w:r>
        <w:rPr>
          <w:b/>
          <w:bCs/>
        </w:rPr>
        <w:t xml:space="preserve">+18,2 % (base +17,2 %)</w:t>
      </w:r>
      <w:r>
        <w:t xml:space="preserve"> · Valor intrínseco 85,14 EUR · con la prima implícita del mercado: 99,13 (+39,4 %) · Alcista / bajista +42,3 % / -25,5 %</w:t>
      </w:r>
    </w:p>
    <w:p>
      <w:pPr>
        <w:spacing w:after="100"/>
      </w:pPr>
      <w:r>
        <w:rPr>
          <w:b/>
        </w:rPr>
        <w:t xml:space="preserve">La recomendación y por qué.</w:t>
      </w:r>
      <w:r>
        <w:t xml:space="preserve"> Mantener, con convicción media. Con nuestro BPA de 2028e y el PER de la regla común, el objetivo a 12 meses es de 73,22 EUR frente a 71,12 EUR: +5,6 % con el dividendo, y +6,5 % en el caso base, lejos de los umbrales de compra (15 % y 12 %). La asimetría a 12 meses es pobre (1,42x): el bajista pierde un 22 % y el alcista gana un 37,7 %. El valor intrínseco es mayor (85,14 EUR, +19,7 %), y el objetivo medio de los analistas (88,6 EUR) queda dentro de nuestro rango (53,59-96,03 EUR), cerca del alcista; la distancia sale de que restamos la divisa a las ventas y de que el múltiplo de hoy (13,6x) es el de los dos últimos años, no el de 2022-2023. La convicción es media porque las cifras salen de extractos de búsqueda y no de las cuentas; subiría si la actualización del 28 de octubre muestra que la divisa resta menos de 2 puntos, y compraríamos por debajo de 65,32 EUR.</w:t>
      </w:r>
    </w:p>
    <w:p>
      <w:pPr>
        <w:spacing w:after="100"/>
      </w:pPr>
      <w:r>
        <w:rPr>
          <w:b/>
        </w:rPr>
        <w:t xml:space="preserve">El negocio.</w:t>
      </w:r>
      <w:r>
        <w:t xml:space="preserve"> Segunda cervecera del mundo, con la marca Heineken® creciendo más que el grupo (+2,7 % en volumen en 2025) y un precio por hectolitro que subió un 3,8 % con el volumen a la baja [2]. Ese poder de precios es real, pero rinde poco sobre el capital: ROIC del 8,3 % frente a un WACC del 7,13 %, apenas 1,2 puntos, por el fondo de comercio de las compras. La calidad sostiene el crecimiento orgánico, pero no el crecimiento en euros que espera el consenso: veredicto de sostenibilidad «En parte», porque en euros el grupo no creció entre 2022 y 2025 (28.719 frente a 28.753 M) y hemos rebajado el caso base al 2 % anual [3].</w:t>
      </w:r>
    </w:p>
    <w:p>
      <w:pPr>
        <w:spacing w:after="100"/>
      </w:pPr>
      <w:r>
        <w:rPr>
          <w:b/>
        </w:rPr>
        <w:t xml:space="preserve">Finanzas.</w:t>
      </w:r>
      <w:r>
        <w:t xml:space="preserve"> Resultado operativo beia de 4.385 M en 2025 (+4,4 % orgánico) y del 1S26 +6,7 %, con la guía del 2-6 % para 2026 confirmada [1, 2]. Flujo de caja operativo libre de 2.602 M en 2025 [2]. La compra de FIFCO (≈3.250 M USD) llevó la deuda neta de 2,2 a 2,6 veces el EBITDA beia [1, 9].</w:t>
      </w:r>
    </w:p>
    <w:p>
      <w:pPr>
        <w:spacing w:after="100"/>
      </w:pPr>
      <w:r>
        <w:rPr>
          <w:b/>
        </w:rPr>
        <w:t xml:space="preserve">Equipo y gobierno.</w:t>
      </w:r>
      <w:r>
        <w:t xml:space="preserve"> Rafael Oliveira es primer ejecutivo desde el 1 de octubre, tras cuatro meses sin titular [16, 24]. La familia de Carvalho controla el grupo con la cascada de Heineken Holding (50,005 %), que vende acciones a Heineken N.V. en la recompra [13, 14]: no hay prima de control posible.</w:t>
      </w:r>
    </w:p>
    <w:p>
      <w:pPr>
        <w:spacing w:after="100"/>
      </w:pPr>
      <w:r>
        <w:rPr>
          <w:b/>
        </w:rPr>
        <w:t xml:space="preserve">Valoración.</w:t>
      </w:r>
      <w:r>
        <w:t xml:space="preserve"> El DCF da 85,75 EUR y el inverso dice que el precio descuenta un 0,3 % de crecimiento anual, justo lo que ha hecho en euros. Por PER de los próximos 12 meses (13,4x) cotiza por debajo de la mediana de sus comparables (14,7x) y de su mediana de cuatro años (16,2x). Nuestro BPA de 2028e (5,43 EUR) queda un 13 % por debajo del consenso por las ventas.</w:t>
      </w:r>
    </w:p>
    <w:p>
      <w:pPr>
        <w:spacing w:after="100"/>
      </w:pPr>
      <w:r>
        <w:rPr>
          <w:b/>
        </w:rPr>
        <w:t xml:space="preserve">Riesgos y catalizadores.</w:t>
      </w:r>
      <w:r>
        <w:t xml:space="preserve"> El mayor riesgo es la divisa de los emergentes (cada punto menos de crecimiento anual en euros resta ≈9 EUR por acción); después, la caída del volumen europeo y la ejecución del nuevo equipo. Los catalizadores son la actualización del 28 de octubre y los resultados de febrero de 2027, con la primera guía de Oliveira. Los foros están divididos, sin euforia ni capitulación [21].</w:t>
      </w:r>
    </w:p>
    <w:p>
      <w:pPr>
        <w:spacing w:after="100"/>
      </w:pPr>
      <w:r>
        <w:rPr>
          <w:b/>
        </w:rPr>
        <w:t xml:space="preserve">Qué cambiaría la decisión.</w:t>
      </w:r>
      <w:r>
        <w:t xml:space="preserve"> Compraríamos por debajo de 65,32 EUR o si la guía de 2027 sube el margen beia por encima del 16 % con la divisa neutral; venderíamos por encima de 83,47 EUR.</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la tesis de valor es a más de un año · Objetivo a 12 meses: </w:t>
      </w:r>
      <w:r>
        <w:rPr>
          <w:b/>
          <w:bCs/>
        </w:rPr>
        <w:t xml:space="preserve">82,17 EUR</w:t>
      </w:r>
      <w:r>
        <w:t xml:space="preserve"> (rentabilidad +18,2 % (base +17,2 %)) · Valor intrínseco: 85,14 EUR (+19,7 % sobre 71,12) · con la prima implícita del mercado: 99,13 (+39,4 %)</w:t>
      </w:r>
    </w:p>
    <w:p>
      <w:pPr>
        <w:spacing w:after="100"/>
      </w:pPr>
      <w:r>
        <w:t xml:space="preserve">Heineken es una marca global con poder de precios demostrado (+3,8 % por hectolitro en 2025 con menos volumen) y un flujo libre de unos 2.600 M al año, pero con un margen EBITDA (≈23 %) muy por debajo del de AB InBev (36 %) y un ROIC de solo 1,2 puntos por encima de su coste de capital [2, 22].</w:t>
      </w:r>
    </w:p>
    <w:p>
      <w:pPr>
        <w:spacing w:after="100"/>
      </w:pPr>
      <w:r>
        <w:t xml:space="preserve">El precio (71,12 EUR, 13,4 veces el beneficio de los próximos 12 meses) descuenta un crecimiento casi nulo en euros: es lo que ha pasado en 2022-2025, cuando la divisa de los emergentes se comió todo el crecimiento orgánico [3].</w:t>
      </w:r>
    </w:p>
    <w:p>
      <w:pPr>
        <w:spacing w:after="100"/>
      </w:pPr>
      <w:r>
        <w:t xml:space="preserve">Para invertir hay que creer que la divisa deja de restar o que el nuevo primer ejecutivo sube el margen de verdad. Ninguna de las dos cosas tiene fecha; por eso el valor intrínseco (85,14 EUR) está lejos del objetivo a 12 meses (73,22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4,62 = 55,44 · 15,0x × 5,43 = 81,45 · 20,2x × 5,82 = 117,56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 / 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88,60 (nuestro base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 / -25,5 %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7,1 %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frente a 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73,10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73,10 y 93,41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93,41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65,32 EUR: pasaríamos a Comprar.</w:t>
      </w:r>
    </w:p>
    <w:p>
      <w:pPr>
        <w:pStyle w:val="ListParagraph"/>
        <w:numPr>
          <w:ilvl w:val="0"/>
          <w:numId w:val="2"/>
        </w:numPr>
        <w:spacing w:after="60"/>
      </w:pPr>
      <w:r>
        <w:t xml:space="preserve">Precio por encima de 83,47 EUR: pasaríamos a Vender o reducir.</w:t>
      </w:r>
    </w:p>
    <w:p>
      <w:pPr>
        <w:pStyle w:val="ListParagraph"/>
        <w:numPr>
          <w:ilvl w:val="0"/>
          <w:numId w:val="2"/>
        </w:numPr>
        <w:spacing w:after="60"/>
      </w:pPr>
      <w:r>
        <w:t xml:space="preserve">Guía de 2027 con margen operativo beia por encima del 16 %: revisaríamos al alza el BPA y la recomendación.</w:t>
      </w:r>
    </w:p>
    <w:p>
      <w:pPr>
        <w:pStyle w:val="ListParagraph"/>
        <w:numPr>
          <w:ilvl w:val="0"/>
          <w:numId w:val="2"/>
        </w:numPr>
        <w:spacing w:after="60"/>
      </w:pPr>
      <w:r>
        <w:t xml:space="preserve">Crecimiento publicado en euros negativo en 2026 pese a FIFCO: bajaríamos el caso base al 1 %.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0,3 % anual en euros con nuestro margen, o un margen del 21,7 % con nuestro crecimiento: Heineken como cervecera madura que no crece por la divisa.</w:t>
      </w:r>
    </w:p>
    <w:p>
      <w:pPr>
        <w:keepNext/>
        <w:spacing w:after="100"/>
      </w:pPr>
      <w:r>
        <w:rPr>
          <w:b/>
          <w:bCs/>
        </w:rPr>
        <w:t xml:space="preserve">Lo que creemos nosotros.</w:t>
      </w:r>
    </w:p>
    <w:p>
      <w:pPr>
        <w:spacing w:after="100"/>
      </w:pPr>
      <w:r>
        <w:t xml:space="preserve">Algo mejor que eso: un 2 % anual en euros y un margen del 23,5 %, pero muy por debajo del consenso (33.800 M de ventas en 2028 frente a nuestros 31.410 M).</w:t>
      </w:r>
    </w:p>
    <w:p>
      <w:pPr>
        <w:keepNext/>
        <w:spacing w:after="100"/>
      </w:pPr>
      <w:r>
        <w:rPr>
          <w:b/>
          <w:bCs/>
        </w:rPr>
        <w:t xml:space="preserve">Por qué podemos tener razón.</w:t>
      </w:r>
    </w:p>
    <w:p>
      <w:pPr>
        <w:spacing w:after="100"/>
      </w:pPr>
      <w:r>
        <w:t xml:space="preserve">El poder de precios está demostrado y el plan de bajas aporta margen; pero la historia en euros obliga a descontar la divisa. Nuestra visión es intermedia entre el mercado y los analistas, y no da para comprar a 12 meses.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Poder de precios</w:t>
      </w:r>
      <w:r>
        <w:t xml:space="preserve">: el ingreso neto por hectolitro subió un 3,8 % en 2025 con el volumen a la baja [2].</w:t>
      </w:r>
    </w:p>
    <w:p>
      <w:pPr>
        <w:pStyle w:val="ListParagraph"/>
        <w:numPr>
          <w:ilvl w:val="0"/>
          <w:numId w:val="2"/>
        </w:numPr>
        <w:spacing w:after="60"/>
      </w:pPr>
      <w:r>
        <w:rPr>
          <w:b/>
        </w:rPr>
        <w:t xml:space="preserve">Valoración baja</w:t>
      </w:r>
      <w:r>
        <w:t xml:space="preserve">: 13,4 veces el beneficio de los próximos 12 meses, frente a 14,7x de los comparables.</w:t>
      </w:r>
    </w:p>
    <w:p>
      <w:pPr>
        <w:pStyle w:val="ListParagraph"/>
        <w:numPr>
          <w:ilvl w:val="0"/>
          <w:numId w:val="2"/>
        </w:numPr>
        <w:spacing w:after="60"/>
      </w:pPr>
      <w:r>
        <w:rPr>
          <w:b/>
        </w:rPr>
        <w:t xml:space="preserve">Caja</w:t>
      </w:r>
      <w:r>
        <w:t xml:space="preserve">: flujo de caja operativo libre de 2.602 M en 2025 y 1.381 M en el 1S26 [1, 2].</w:t>
      </w:r>
    </w:p>
    <w:p>
      <w:pPr>
        <w:pStyle w:val="ListParagraph"/>
        <w:numPr>
          <w:ilvl w:val="0"/>
          <w:numId w:val="2"/>
        </w:numPr>
        <w:spacing w:after="60"/>
      </w:pPr>
      <w:r>
        <w:rPr>
          <w:b/>
        </w:rPr>
        <w:t xml:space="preserve">Recuperación del volumen</w:t>
      </w:r>
      <w:r>
        <w:t xml:space="preserve">: +1,6 % en el 1S26 tras caer en 2025 [1].</w:t>
      </w:r>
    </w:p>
    <w:p>
      <w:pPr>
        <w:pStyle w:val="Heading2"/>
      </w:pPr>
      <w:r>
        <w:t xml:space="preserve">En contra</w:t>
      </w:r>
    </w:p>
    <w:p>
      <w:pPr>
        <w:pStyle w:val="ListParagraph"/>
        <w:numPr>
          <w:ilvl w:val="0"/>
          <w:numId w:val="2"/>
        </w:numPr>
        <w:spacing w:after="60"/>
      </w:pPr>
      <w:r>
        <w:rPr>
          <w:b/>
        </w:rPr>
        <w:t xml:space="preserve">Divisa</w:t>
      </w:r>
      <w:r>
        <w:t xml:space="preserve">: en euros los ingresos no crecieron entre 2022 y 2025 (28.719 frente a 28.753 M) [3].</w:t>
      </w:r>
    </w:p>
    <w:p>
      <w:pPr>
        <w:pStyle w:val="ListParagraph"/>
        <w:numPr>
          <w:ilvl w:val="0"/>
          <w:numId w:val="2"/>
        </w:numPr>
        <w:spacing w:after="60"/>
      </w:pPr>
      <w:r>
        <w:rPr>
          <w:b/>
        </w:rPr>
        <w:t xml:space="preserve">ROIC bajo</w:t>
      </w:r>
      <w:r>
        <w:t xml:space="preserve">: 8,3 % frente a un WACC del 7,13 %.</w:t>
      </w:r>
    </w:p>
    <w:p>
      <w:pPr>
        <w:pStyle w:val="ListParagraph"/>
        <w:numPr>
          <w:ilvl w:val="0"/>
          <w:numId w:val="2"/>
        </w:numPr>
        <w:spacing w:after="60"/>
      </w:pPr>
      <w:r>
        <w:rPr>
          <w:b/>
        </w:rPr>
        <w:t xml:space="preserve">Europa</w:t>
      </w:r>
      <w:r>
        <w:t xml:space="preserve">: volumen −3 % en 2025 y presión de las cadenas [19].</w:t>
      </w:r>
    </w:p>
    <w:p>
      <w:pPr>
        <w:pStyle w:val="ListParagraph"/>
        <w:numPr>
          <w:ilvl w:val="0"/>
          <w:numId w:val="2"/>
        </w:numPr>
        <w:spacing w:after="60"/>
      </w:pPr>
      <w:r>
        <w:rPr>
          <w:b/>
        </w:rPr>
        <w:t xml:space="preserve">Cambio de cúpula</w:t>
      </w:r>
      <w:r>
        <w:t xml:space="preserve">: primer ejecutivo nuevo desde el 1 de octubre, sin plan propio todavía [16].</w:t>
      </w:r>
    </w:p>
    <w:p>
      <w:pPr>
        <w:pStyle w:val="ListParagraph"/>
        <w:numPr>
          <w:ilvl w:val="0"/>
          <w:numId w:val="2"/>
        </w:numPr>
        <w:spacing w:after="60"/>
      </w:pPr>
      <w:r>
        <w:rPr>
          <w:b/>
        </w:rPr>
        <w:t xml:space="preserve">Más deuda</w:t>
      </w:r>
      <w:r>
        <w:t xml:space="preserve">: 2,6 veces el EBITDA beia tras FIFCO [1].</w:t>
      </w:r>
    </w:p>
    <w:p>
      <w:pPr>
        <w:pStyle w:val="Heading2"/>
      </w:pPr>
      <w:r>
        <w:t xml:space="preserve">Qué tiene que pasar para que la tesis funcione</w:t>
      </w:r>
    </w:p>
    <w:p>
      <w:pPr>
        <w:spacing w:after="100"/>
      </w:pPr>
      <w:r>
        <w:t xml:space="preserve">La tesis depende de que el crecimiento en euros vuelva al 2 % anual. La señal de que no se cumple: una diferencia entre crecimiento orgánico y publicado de más de 3 puntos en la actualización del 3T26 (28 de octubre) o en los resultados de 2026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ingreso neto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orgánico −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 (2025: +1,6 % orgánico, −3,6 %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divisa que se come 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beia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(2025); 14,6 %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 los ahorros del plan de bajas.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beia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recompras y dividendos.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 13,4x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1864 por Gerard Adriaan Heineken al comprar la cervecería De Hooiberg de Ámsterdam. La familia Heineken (hoy de Carvalho) controla el grupo a través de Heineken Holding, que tiene el 50,005 % de Heineken N.V. [14]. En 2010 compró el negocio cervecero de FEMSA a cambio de acciones (el 20 % económico del grupo), y FEMSA las vendió entre 2023 y 2025 [15]. Las últimas compras la llevan a mercados emergentes: Distell en Sudáfrica, United Breweries en India y FIFCO en Centroamérica (2026) [9]. En 2026 cambió de primer ejecutivo: Dolf van den Brink dejó el cargo el 31 de mayo y Rafael Oliveira, que venía de JDE Peet's, lo ocupa desde el 1 de octubre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Gerard Adriaan Heineken compra la cervecería De Hooiberg en Ámsterdam.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cervecero de FEMSA (México y Brasil) pagado con acciones: FEMSA recibe el 12,53 % de Heineken N.V. y el 14,94 % de la Holding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FEMSA empieza a vender: ≈3.600 M EUR de acciones, 1.000 M recomprados por Heineken N.V.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 M en dos años y acuerdo para comprar FIFCO por ≈3.250 M USD (22-sep-2025)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FIFCO (30-ene); plan de 5.000-6.000 bajas; Rafael Oliveira, primer ejecutivo desde el 1-oct [9, 11, 16].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Segunda cervecera del mundo por volumen. Vende cerveza (Heineken®, Amstel, Tiger, Desperados, Birra Moretti, Sol, Dos Equis y unas 300 marcas locales), sidra y bebidas sin alcohol en más de 70 países, con fábricas propias y, en algunos mercados (Reino Unido con Star Pubs &amp; Bars, Países Bajos, Sudáfrica con Distell), distribución y bares propios. En 2025 vendió un 1,2 % menos de volumen total (−2,1 % el consolidado) pero la marca Heineken® creció un 2,7 % y el ingreso neto por hectolitro un 3,8 % [2]. Desde el 30 de enero de 2026 consolida el negocio de bebidas y distribución de FIFCO en Costa Rica, Guatemala y México, comprado por unos 3.250 M USD [9, 10].</w:t>
      </w:r>
    </w:p>
    <w:p>
      <w:pPr>
        <w:pStyle w:val="Heading2"/>
      </w:pPr>
      <w:r>
        <w:t xml:space="preserve">Cómo gana dinero</w:t>
      </w:r>
    </w:p>
    <w:p>
      <w:pPr>
        <w:spacing w:after="100"/>
      </w:pPr>
      <w:r>
        <w:t xml:space="preserve">El margen depende del precio por hectolitro y de la mezcla (marcas premium y Heineken® pesan cada vez más), frente al coste de la malta, el aluminio, el vidrio y la energía. En 2025 el ingreso neto subió un 1,6 % orgánico con un 2,1 % menos de volumen consolidado: todo el crecimiento vino del precio y la mezcla (+3,8 % por hectolitro), y el resultado operativo beia creció un 4,4 % con 41 puntos básicos más de margen (15,2 %) [2]. En el 1S26 el volumen de cerveza volvió a crecer (+1,6 %), el ingreso neto un 2,7 % y el margen operativo beia subió 55 puntos básicos, al 14,6 % [1]. Es un negocio de alto apalancamiento operativo con fábricas de coste fijo: cada punto de volumen perdido en Europa resta margen.</w:t>
      </w:r>
    </w:p>
    <w:p>
      <w:pPr>
        <w:pStyle w:val="Heading2"/>
      </w:pPr>
      <w:r>
        <w:t xml:space="preserve">Clientes, recurrencia y poder de precios</w:t>
      </w:r>
    </w:p>
    <w:p>
      <w:pPr>
        <w:spacing w:after="100"/>
      </w:pPr>
      <w:r>
        <w:t xml:space="preserve">Vende a minoristas y distribuidores (canal de alimentación) y a hostelería (bares y restaurantes); en Europa las negociaciones con las grandes cadenas de supermercados han cortado entregas temporalmente (2025) [11]. No hay un cliente que pese de forma relevante. El poder de precios es el núcleo de la tesis: en 2025 subió el ingreso neto por hectolitro un 3,8 % con el volumen consolidado a la baja (−2,1 %)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total de cerveza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−1,2 %; 1S26: +1,6 %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 en 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consolidado cayó un 2,1 % en 2025 y el licenciado subió un 17,8 %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Heineken®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Crece más que el grupo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principal sigue ganando cuota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neto por hectolitro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Precio y mezcla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crecimiento de 2025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beia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15,2 %; 1S26: 14,6 % (+55 pb)</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pb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Productividad y precio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87 %; 1S26: 97 %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caja operativo libre de 2.602 M en 2025 y 1.381 M en el 1S26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la cerveza (con y sin alcohol), en valor de venta al consumidor. Mordor Intelligence lo cifra en 804.650 M USD en 2025 y Global Information en 832.012 M USD; Ken Research, con otra definición (ingresos de fabricantes), en 193.000 M USD [17, 18]. Usamos la primera para el crecimiento y no para la cuota, porque mezcla precios de bar y de tienda.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804.650 M USD en 2025 (venta al consumidor) [17]; 1.896 millones de hectolitros producidos en 2025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premiumización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Heineken subió un 3,8 % el ingreso neto por hectolitro con el volumen a la baja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alcohol en mercados maduros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 Research prevé que el volumen mundial caiga ≈0,3 % al año; Europa perdió un 3 % de volumen en 2025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población y la renta en África, Asia y Latinoamérica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África y Asia-Pacífico fueron las regiones que crecieron en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materias primas y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Malta, aluminio y energía mueven el margen bruto; en 2025 la inflación de costes restó margen en Europa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divisa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Américas cayó por aranceles e incertidumbre; la divisa restó un 3,6 % a los ingresos de 2025 [2,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(AB InBev, Heineken, Carlsberg, Asahi, CR Beer) que compiten sobre todo con marca y distribución, no con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cadenas europeas pelean los precios: en 2025 hubo cortes de suministro por negociaciones largas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cotizadas y muy ofertadas; el riesgo es de precio, no de suministro.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de fabricación y la distribución protegen; las artesanas no llegan a escala.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Licores listos para beber, vino, cannabis en algunos mercados y menor consumo de alcohol entre los jóvenes [21].</w:t>
            </w:r>
          </w:p>
        </w:tc>
      </w:tr>
    </w:tbl>
    <w:p>
      <w:pPr>
        <w:spacing w:after="160" w:before="0"/>
      </w:pPr>
    </w:p>
    <w:p>
      <w:pPr>
        <w:pStyle w:val="Heading2"/>
      </w:pPr>
      <w:r>
        <w:t xml:space="preserve">Ciclo</w:t>
      </w:r>
    </w:p>
    <w:p>
      <w:pPr>
        <w:spacing w:after="100"/>
      </w:pPr>
      <w:r>
        <w:t xml:space="preserve">El volumen mundial está estancado desde hace años y el crecimiento sale del precio [2, 18]. La cerveza resistió en 2008-09; en 2020 el cierre de la hostelería hundió el beneficio de Heineken (BPA beia de 2020 muy por debajo de los 4,38 EUR de 2019) y en 2022 la inflación de costes se trasladó a precios [7].</w:t>
      </w:r>
    </w:p>
    <w:p>
      <w:pPr>
        <w:pStyle w:val="Heading2"/>
      </w:pPr>
      <w:r>
        <w:t xml:space="preserve">Regulación</w:t>
      </w:r>
    </w:p>
    <w:p>
      <w:pPr>
        <w:spacing w:after="100"/>
      </w:pPr>
      <w:r>
        <w:t xml:space="preserve">Impuestos especiales sobre el alcohol y restricciones de publicidad en Europa y África; aranceles de EE. UU. sobre importaciones (Heineken exporta desde México y Países Bajos) que afectaron a Américas en 2025 [19].</w:t>
      </w:r>
    </w:p>
    <w:p>
      <w:pPr>
        <w:pStyle w:val="Heading2"/>
      </w:pPr>
      <w:r>
        <w:t xml:space="preserve">Tendencias y disrupción</w:t>
      </w:r>
    </w:p>
    <w:p>
      <w:pPr>
        <w:spacing w:after="100"/>
      </w:pPr>
      <w:r>
        <w:t xml:space="preserve">Menor consumo de alcohol entre los jóvenes, cerveza sin alcohol (Heineken 0.0) y premiumización. Heineken gana con la premiumización (su marca crece más que el grupo) y la sin alcohol, y pierde en volumen en Europa [2, 21].</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cervecera del mundo por volumen, detrás de AB InBev; líder en Europa y en varios mercados de África y Asia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ABI.BR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cervecera; margen EBITDA del 35,8 % frente al 22,5 % de Heineken (MarketScreener)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Carlsberg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CARL-B.CO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europea; compró Britvic en 2025 y compite con Heineken en Europa y Asia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Asahi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2502.T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central y del este, Australia; compró East African Breweries a Diageo en 2025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Constellation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STZ</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de las marcas importadas de Heineken en EE. UU. (Corona, Modelo); margen EBITDA del 36,8 %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suministro y bares propios en Reino Unido y Países Bajos; el consumidor cambia de marca sin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crece más que el grupo (+2,7 % en 2025) y sube el precio por hectolitro (+3,8 %)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y fábricas, pero margen EBITDA muy por debajo de AB InBev (22,5 % frente a 35,8 %)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propia en muchos mercados emergentes, difícil de replicar.</w:t>
            </w:r>
          </w:p>
        </w:tc>
      </w:tr>
    </w:tbl>
    <w:p>
      <w:pPr>
        <w:spacing w:after="160" w:before="0"/>
      </w:pPr>
    </w:p>
    <w:p>
      <w:pPr>
        <w:pStyle w:val="Heading2"/>
      </w:pPr>
      <w:r>
        <w:t xml:space="preserve">Amenazas</w:t>
      </w:r>
    </w:p>
    <w:p>
      <w:pPr>
        <w:spacing w:after="100"/>
      </w:pPr>
      <w:r>
        <w:t xml:space="preserve">La caída estructural del consumo en Europa (−3 % de volumen en 2025) y la presión de las cadenas, la divisa de los mercados emergentes (Nigeria, Brasil) y los aranceles en EE. UU. [19, 20]. La marca resiste, pero el margen sigue lejos del de AB InBev.</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r>
    </w:tbl>
    <w:p>
      <w:pPr>
        <w:spacing w:after="160" w:before="0"/>
      </w:pPr>
    </w:p>
    <w:p>
      <w:pPr>
        <w:spacing w:after="100"/>
      </w:pPr>
      <w:r>
        <w:t xml:space="preserve">Crecimiento anual compuesto 2021-2025: ingresos </w:t>
      </w:r>
      <w:r>
        <w:rPr>
          <w:b/>
          <w:bCs/>
        </w:rPr>
        <w:t xml:space="preserve">7,0 %</w:t>
      </w:r>
      <w:r>
        <w:t xml:space="preserve">, EBITDA </w:t>
      </w:r>
      <w:r>
        <w:rPr>
          <w:b/>
          <w:bCs/>
        </w:rPr>
        <w:t xml:space="preserve">0,6 %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Ingresos netos (después de impuestos especiales) de 28.753 M en 2025, un 3,6 % menos que en 2024 por la divisa, con un 1,6 % de crecimiento orgánico [2, 3]. El resultado operativo publicado (3.406 M) queda muy por debajo del beia (4.385 M) por deterioros y costes de reestructuración [2, 3]. El beneficio neto publicado de 2024 (978 M) está hundido por el deterioro de la participación en China Resources Beer; el de 2025 (1.885 M) casi lo dobla [2, 3]. Las amortizaciones de 2023 (3.096 M) incluyen deterioros.</w:t>
      </w:r>
    </w:p>
    <w:p>
      <w:pPr>
        <w:pStyle w:val="Heading2"/>
      </w:pPr>
      <w:r>
        <w:t xml:space="preserve">Ajustes y partidas no recurrentes</w:t>
      </w:r>
    </w:p>
    <w:p>
      <w:pPr>
        <w:spacing w:after="100"/>
      </w:pPr>
      <w:r>
        <w:t xml:space="preserve">Heineken publica cifras «beia» (antes de partidas excepcionales y amortización de marcas adquiridas). En 2025: resultado operativo beia de 4.385 M frente a 3.406 M publicado; beneficio neto beia de 2.662 M frente a 1.885 M; BPA diluido beia de 4,78 EUR frente a 3,38 EUR [2]. En 2024 el BPA beia fue de 4,89 EUR, en 2023 de 4,67, en 2022 de 4,92, en 2021 de 3,54 y en 2019 de 4,38 [2, 5, 6, 7]. Las diferencias se repiten todos los años (reestructuraciones, deterioros, amortización de marcas).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los resultados del 1S26 (5 de agosto) la dirección mantuvo la guía de un crecimiento orgánico del resultado operativo beia del 2-6 % en 2026 y repitió que sigue siendo prudente por la incertidumbre macroeconómica y geopolítica [1]. El volumen de cerveza creció un 1,6 % y las cinco marcas globales crecieron; el margen operativo beia subió 55 puntos básicos, al 14,6 %, y el BPA diluido beia un 11,6 %, a 2,29 EUR [1]. El segundo tramo de la recompra de 1.500 M sigue en marcha y el dividendo a cuenta es de 0,76 EUR [1]. Fue la junta en la que se nombró a Rafael Oliveira primer ejecutivo desde el 1 de octubre [12]. El BPA publicado (2,05 EUR) quedó por debajo de lo que esperaban algunos proveedores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FIFCO (Costa Rica, Guatemala, México), consolidada desde el 30-ene-2026: entra en la cuenta y el balance de 2026.). Los ratios de balance de ese año (días, circulante, deuda neta / EBITDA, ROIC) y los indicadores de calidad contable no son comparables con los anteriores.</w:t>
      </w:r>
    </w:p>
    <w:p>
      <w:pPr>
        <w:spacing w:after="100"/>
      </w:pPr>
      <w:r>
        <w:t xml:space="preserve">La deuda bruta (incluidos arrendamientos, según el proveedor) sube de 17.049 M en 2024 a 19.279 M en 2025, y la caja a 4.773 M, por la financiación de FIFCO por adelantado [4]. La deuda neta beia era 2,2 veces el EBITDA beia a cierre de 2025 y 2,6 veces a 30 de junio de 2026, tras pagar FIFCO [1,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13.756</w:t>
      </w:r>
      <w:r>
        <w:t xml:space="preserve">, conversión </w:t>
      </w:r>
      <w:r>
        <w:rPr>
          <w:b/>
          <w:bCs/>
        </w:rPr>
        <w:t xml:space="preserve">123 %</w:t>
      </w:r>
      <w:r>
        <w:t xml:space="preserve"> del beneficio neto; adquisiciones 0, dividendos 0, recompras 0.</w:t>
      </w:r>
    </w:p>
    <w:p>
      <w:pPr>
        <w:spacing w:after="100"/>
      </w:pPr>
      <w:r>
        <w:t xml:space="preserve">Flujo operativo de 5.012 M en 2025 y capex de 2.133 M (7,4 % de las ventas): flujo libre de 2.879 M, frente a 3.319 M en 2024 y 1.996 M en 2023, el año de más inversión (2.434 M) [8]. La empresa da su propio flujo de caja operativo libre: 2.602 M en 2025 (87 % de conversión) y 1.381 M en el 1S26 (97 %) [1, 2]. No se ha podido separar el capex de mantenimiento del de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distancia entre cifras beia y publicadas es grande y recurrente: en 2025, 979 M de resultado operativo y 777 M de beneficio neto [2]. Parte son deterioros (China Resources Beer en 2024) y reestructuración (el plan de 5.000-6.000 bajas de 2026-2027) [2, 11]. Con el balance incompleto, el motor no puede calcular Altman, Piotroski ni Beneish con fiabilidad.</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excepcionales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Reestructuraciones y deterioros casi todos los años; el beneficio beia las excluye [2].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7,1 %.</w:t>
      </w:r>
    </w:p>
    <w:p>
      <w:pPr>
        <w:spacing w:after="100"/>
      </w:pPr>
      <w:r>
        <w:t xml:space="preserve">Con el balance incompleto (sin circulante ni fondo de comercio separados), el ROIC del motor sale del 8,3 % en el último ejercicio, frente a un WACC del 7,13 %: Heineken crea poco valor sobre su capital, unos 1,2 puntos. El ROIC bajó del 10,1 % de 2021 al 6,5-7 % de 2023-2024 por los deterioros y por las compras pagadas caras (Distell, United Breweries), y se recupera en 2025. Es un ROIC de compañía de bienes de consumo con mucho fondo de comercio: 20.011 M de intangibles sobre 53.753 M de activo [4]. AB InBev, con un margen EBITDA del 35,8 % frente al 22,5 %, tiene un rendimiento operativo muy superior [22]. Como el balance está incompleto, la cifra hay que leerla como orden de magnitud.</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4.773 M a 31-dic-2025, preparada para pagar FIFCO (≈3.250 M USD) en enero de 2026 [4, 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No se han podido leer las notas del informe anual (pensiones, provisiones, garantías, opciones de venta de minoritarios). Heineken tiene minoritarios relevantes (United Breweries en India, filiales africanas y asiáticas): su parte del beneficio fue de 357 M en 2022 [3].</w:t>
      </w:r>
    </w:p>
    <w:p>
      <w:pPr>
        <w:pStyle w:val="Heading1"/>
      </w:pPr>
      <w:r>
        <w:t xml:space="preserve">12. Asignación de capital</w:t>
      </w:r>
    </w:p>
    <w:p>
      <w:pPr>
        <w:pStyle w:val="Confianza"/>
        <w:spacing w:after="100"/>
      </w:pPr>
      <w:r>
        <w:t xml:space="preserve">Confianza: Media</w:t>
      </w:r>
    </w:p>
    <w:p>
      <w:pPr>
        <w:spacing w:after="100"/>
      </w:pPr>
      <w:r>
        <w:t xml:space="preserve">Dividendo de entre el 30 % y el 40 % del beneficio neto beia; 1,90 EUR por acción por 2025 y 0,76 EUR a cuenta de 2026 [1, 2]. Recompra de 1.500 M en dos años anunciada en febrero de 2025; el segundo tramo de 750 M, comunicado el 12-feb-2026, llevaba 6,51 M de acciones y 461 M a 28 de agosto, incluidas las compradas a Heineken Holding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0"/>
        <w:gridCol w:w="1126"/>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557,0</w:t>
            </w:r>
          </w:p>
        </w:tc>
      </w:tr>
    </w:tbl>
    <w:p>
      <w:pPr>
        <w:spacing w:after="160" w:before="0"/>
      </w:pP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bebidas y distribución de FIFCO (Costa Rica, Guatemala, México; participaciones en Nicaragua y Panamá)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30-ene-2026; integración en 2026 [9, 10].</w:t>
            </w:r>
          </w:p>
        </w:tc>
      </w:tr>
    </w:tbl>
    <w:p>
      <w:pPr>
        <w:spacing w:after="160" w:before="0"/>
      </w:pPr>
    </w:p>
    <w:p>
      <w:pPr>
        <w:spacing w:after="100"/>
      </w:pPr>
      <w:r>
        <w:t xml:space="preserve">La compra de FIFCO (≈3.250 M USD, unos 2.780 M EUR) sube el apalancamiento de 2,2 a 2,6 veces el EBITDA beia, a la vez que la recompra sigue [1, 9]. El grupo ha combinado compras en mercados emergentes (Distell, United Breweries, FIFCO) con deterioros importantes en otras (China Resources Beer en 2024)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(Rafa) Oliveira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 JDE Peet's antes de llegar a Heineken; nombrado por cuatro años desde el 1-oct-2026 en la junta extraordinaria del 5-ago-2026, elegido por unanimidad del Consejo de Supervisión tras una búsqueda global [1,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Harold van den Broek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Consejo de Dirección; no se ha podido comprobar su fecha de nombramiento.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Wennink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primer ejecutivo de ASML; preside el Consejo de Supervisión en los comunicados de enero, mayo y junio de 2026 [16,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Dolf van den Brink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primer ejecutivo (asesor hasta enero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Dejó el cargo el 31-may-2026 tras casi seis años, con la estrategia EverGreen 2030 en marcha; asesora ocho meses desde el 1 de junio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beia +4-8 % orgánico (confirmada en el 1S25)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operativo beia +2-6 % orgánico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+6,7 %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Cambio de primer ejecutivo en 2026, anunciado en enero con un interino de cuatro meses entre la salida de Van den Brink (31 de mayo) y la llegada de Oliveira (1 de octubre) [16, 24]. La guía de 2025 se cumplió en la parte baja del rango (+4,4 % frente a +4-8 %) [2, 14]. Oliveira llega de un grupo de consumo con experiencia en reestructuraciones; su primera prueba son los resultados del 3T (28 de octubre) y el plan de 5.000-6.000 bajas [11].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Wennink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Heineken Holding N.V.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 de Carvalho vía L'Arche Green, 51,709 % de la Holding)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acciones a Heineken N.V. en proporción dentro de la recompra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FEMSA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(12,53 % desde 2010)</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toda su participación entre 2023 y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Operaciones vinculadas, estructura de control y defensas</w:t>
      </w:r>
    </w:p>
    <w:p>
      <w:pPr>
        <w:spacing w:after="100"/>
      </w:pPr>
      <w:r>
        <w:t xml:space="preserve">Heineken Holding tiene el 50,005 % de Heineken N.V. y la familia de Carvalho controla la Holding a través de L'Arche Green, con el 51,709 % [14]. La estructura de cascada impide una OPA hostil y da a la familia el control de la junta con poco más del 25 % económico. Heineken Holding vende acciones a Heineken N.V. en la recompra (169.030 acciones en la semana del 24 al 28 de agosto) para mantener su porcentaje [13]: es una operación vinculada, aunque a precio de mercado. FEMSA, que llegó a tener el 20 % económico, salió entre 2023 y 2025, en parte vendiendo a la propia Heineken (1.000 M en 2023) [15].</w:t>
      </w:r>
    </w:p>
    <w:p>
      <w:pPr>
        <w:pStyle w:val="Heading2"/>
      </w:pPr>
      <w:r>
        <w:t xml:space="preserve">Señales de alerta</w:t>
      </w:r>
    </w:p>
    <w:p>
      <w:pPr>
        <w:pStyle w:val="ListParagraph"/>
        <w:numPr>
          <w:ilvl w:val="0"/>
          <w:numId w:val="2"/>
        </w:numPr>
        <w:spacing w:after="60"/>
      </w:pPr>
      <w:r>
        <w:t xml:space="preserve">Cambio de primer ejecutivo en 2026 con cuatro meses sin titular (junio-septiembre).</w:t>
      </w:r>
    </w:p>
    <w:p>
      <w:pPr>
        <w:pStyle w:val="ListParagraph"/>
        <w:numPr>
          <w:ilvl w:val="0"/>
          <w:numId w:val="2"/>
        </w:numPr>
        <w:spacing w:after="60"/>
      </w:pPr>
      <w:r>
        <w:t xml:space="preserve">Las recompras incluyen compras a Heineken Holding, el accionista de control.</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crecimiento orgánico del resultado operativo beia del 2 % al 6 %, confirmado el 5 de agosto de 2026 con los resultados del 1S26 [1]. Dentro de la estrategia EverGreen 2030, la empresa prevé reducir entre 5.000 y 6.000 puestos en dos años para financiar ahorros de productividad [11]. No se han podido leer los objetivos numéricos de medio plazo de EverGreen 2030.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(26 analistas, BPA y margen EBITDA) y stocksguide (25 analistas, ventas) [25, 26]; DPA de Gainify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stocksguide (ventas) y aktien.guide (margen EBITDA 22,87 %; beneficio neto 3.200 M) [25,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(ventas) y aktien.guide (margen EBITDA 23,11 %; beneficio neto 3.400 M) [25,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Los objetivos de precio bajaron en primavera de 2026 (Jefferies de 105 a 100 EUR en abril; Barclays de 102 a 100 en abril y de 100 a 103 en julio) y el consenso medio rondaba los 86,4 EUR en julio [28, 29]. Simply Wall St habla de objetivos «a la baja» por menos crecimiento de volumen [30]. Solo hay una fuente gratuita con estimaciones completas y con fechas distintas (julio-octubre), por lo que la confianza es baja; el EBITDA del consenso es el margen publicado por la fuente aplicado a sus ventas (cálculo propio). ValueInvesting.io da un objetivo medio de 88,6 EUR con 31 analistas [36].</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Precios de cierre estimados: precio del ADR (HEINY, que representa media acción) de diciembre de cada año según Digrin, multiplicado por dos y convertido con el tipo del BCE de fin de año (1,0666 USD/EUR en 2022, 1,1050 en 2023, 1,0389 en 2024 y 1,175 en 2025) [31, 32]. 2024 se excluye del PER publicado porque el beneficio neto está hundido por el deterioro de China Resources Beer. Con el BPA beia (la base que usa el objetivo a 12 meses), el PER de cierre fue de 17,9x en 2022, 19,5x en 2023, 13,9x en 2024 y 14,5x en 2025.</w:t>
      </w:r>
    </w:p>
    <w:p>
      <w:pPr>
        <w:pStyle w:val="Heading1"/>
      </w:pPr>
      <w:r>
        <w:t xml:space="preserve">18. Comparables cotizados</w:t>
      </w:r>
    </w:p>
    <w:p>
      <w:pPr>
        <w:pStyle w:val="Confianza"/>
        <w:spacing w:after="100"/>
      </w:pPr>
      <w:r>
        <w:t xml:space="preserve">Confianza: Media</w:t>
      </w:r>
    </w:p>
    <w:p>
      <w:pPr>
        <w:spacing w:after="100"/>
      </w:pPr>
      <w:r>
        <w:t xml:space="preserve">Grandes grupos de bebidas alcohólicas cotizados en Europa y EE. UU.: AB InBev (la cervecera más parecida), Constellation Brands (cerveza importada en EE. UU.) y cuatro grupos de licores con marcas globales (Diageo, Pernod Ricard, Brown-Forman, Campari). Todas las cifras son de MarketScreener a 12-oct-2026, tomadas para el análisis de Diageo del repositorio y convertidas a euros con el tipo del BCE (1,1181 USD/EUR) [22, 33]. Carlsberg, Asahi, Kirin y Ambev no tienen datos fechados en la misma base y no entran.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Campari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10,1x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10,3x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14,7x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3,4x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4" name="Gráfico 14"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rPr>
        <w:t xml:space="preserve">Regresión EV/EBITDA NTM sobre crecimiento</w:t>
      </w:r>
      <w:r>
        <w:t xml:space="preserve"> (5 comparables): múltiplo = 10,6 + -0,18 × crecimiento; R² = 0,11. El crecimiento explica poco los múltiplos de estos comparables (R² &lt; 0,3): la regresión no se usa en la valoración.</w:t>
      </w:r>
    </w:p>
    <w:p>
      <w:pPr>
        <w:spacing w:after="100"/>
      </w:pPr>
      <w:r>
        <w:t xml:space="preserve">Con el mismo proveedor y la misma fecha, Heineken cotizaba a 8,2x el EBITDA de los últimos 12 meses, 7,6x el de los próximos 12 y 14,5x el BPA de los próximos 12, con un margen EBITDA del 22,5 % [22]. Es el margen más bajo del grupo: los licores ganan 26-37 % y AB InBev el 36 %. El descuento en EV/EBITDA frente a la mediana se explica por ese margen y por el peso de los mercados emergentes (Nigeria, Brasil, México, Vietnam). Al precio de 71,12 EUR que usamos (último cierre citado por Simply Wall St, coherente con los 40.202 M de capitalización de MarketScreener) [35], los múltiplos del motor salen algo distintos porque usamos 546 M de acciones netas de autocartera.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FIFCO, negocio de bebidas y distribución (Costa Rica, Guatemala,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≈3.250 M USD; múltiplo no localizado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African Breweries (65 %) y UDV Kenya (53,68 %)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Asahi Group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4.800 M USD de valor empresa y 17x el EBITDA ajustado, según el análisis de Diageo del repositorio [33].</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Pocas operaciones con múltiplo publicado. Heineken N.V. no es comprable: Heineken Holding tiene el 50,005 % y la familia de Carvalho controla la Holding, así que no hay prima de control que capturar.</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Un 5 % en 2026 (fijo): un 2,5-3 % orgánico, como el 2,7 % del 1S26, más once meses de FIFCO, menos la divisa [1, 9]. Después, un 2 % anual en euros: el grupo crece en torno al 3-4 % orgánico (precio y mezcla), pero la divisa de los emergentes le resta 1-2 puntos al año; en euros no creció entre 2022 y 2025 (28.719 frente a 28.753 M) [3]. El consenso espera más: 31.350 M en 2026 y 33.800 M en 2028 [25, 26].</w:t>
      </w:r>
    </w:p>
    <w:p>
      <w:pPr>
        <w:keepNext/>
        <w:spacing w:after="100"/>
      </w:pPr>
      <w:r>
        <w:rPr>
          <w:b/>
          <w:bCs/>
        </w:rPr>
        <w:t xml:space="preserve">Márgenes.</w:t>
      </w:r>
    </w:p>
    <w:p>
      <w:pPr>
        <w:spacing w:after="100"/>
      </w:pPr>
      <w:r>
        <w:t xml:space="preserve">Margen EBITDA beia del 22,9 % en 2025 (estimación propia), 23,0 % en 2026 y hasta el 23,5 % desde 2029 por el plan de productividad (5.000-6.000 bajas) [11]. El consenso da un 22,6 % en 2026 y un 23,1 % en 2028 [25]: estamos 0,3-0,4 puntos por encima porque damos más peso a los ahorros, pero muy lejos del 35 % de AB InBev.</w:t>
      </w:r>
    </w:p>
    <w:p>
      <w:pPr>
        <w:keepNext/>
        <w:spacing w:after="100"/>
      </w:pPr>
      <w:r>
        <w:rPr>
          <w:b/>
          <w:bCs/>
        </w:rPr>
        <w:t xml:space="preserve">Inversión y circulante.</w:t>
      </w:r>
    </w:p>
    <w:p>
      <w:pPr>
        <w:spacing w:after="100"/>
      </w:pPr>
      <w:r>
        <w:t xml:space="preserve">Capex del 8,0 % de las ventas (7,4 % en 2025 y 8,0 % en 2023, más las altas de derechos de uso) y amortización del 7,7 % (la beia de 2025) [8]. Circulante a cero: Heineken financia con proveedores, pero no hemos podido leer el balance con detalle.</w:t>
      </w:r>
    </w:p>
    <w:p>
      <w:pPr>
        <w:keepNext/>
        <w:spacing w:after="100"/>
      </w:pPr>
      <w:r>
        <w:rPr>
          <w:b/>
          <w:bCs/>
        </w:rPr>
        <w:t xml:space="preserve">Coste del capital.</w:t>
      </w:r>
    </w:p>
    <w:p>
      <w:pPr>
        <w:spacing w:after="100"/>
      </w:pPr>
      <w:r>
        <w:t xml:space="preserve">Tasa libre del 3,53 % (Bund a 10 años) [45], beta de 0,8 (estimación propia para una cervecera; no hemos podido calcular la propia), prima de mercado del 5,5 % y 1 punto de prima adicional porque más de la mitad del beneficio sale de mercados emergentes con historial de devaluaciones (Nigeria, Brasil, México, Vietnam). Coste de la deuda antes de impuestos del 4 % (grado de inversión BBB+, según un artículo de Seeking Alpha) [38] y 30 % de deuda. WACC del 7,13 %.</w:t>
      </w:r>
    </w:p>
    <w:p>
      <w:pPr>
        <w:keepNext/>
        <w:spacing w:after="100"/>
      </w:pPr>
      <w:r>
        <w:rPr>
          <w:b/>
          <w:bCs/>
        </w:rPr>
        <w:t xml:space="preserve">Valor terminal.</w:t>
      </w:r>
    </w:p>
    <w:p>
      <w:pPr>
        <w:spacing w:after="100"/>
      </w:pPr>
      <w:r>
        <w:t xml:space="preserve">Gordon con un 2 % de crecimiento, la inflación esperada del euro y por debajo del Bund menos medio punto. El valor terminal pesa el 63 % del valor. A un múltiplo de salida de 9 veces el EBITDA el valor sería parecido.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 M (3 % del NOPAT)</w:t>
            </w:r>
          </w:p>
        </w:tc>
      </w:tr>
    </w:tbl>
    <w:p>
      <w:pPr>
        <w:spacing w:after="160" w:before="0"/>
      </w:pPr>
    </w:p>
    <w:p>
      <w:pPr>
        <w:spacing w:after="100"/>
      </w:pPr>
      <w:r>
        <w:t xml:space="preserve">La proyección apenas necesita inversión neta de la amortización (reinversión acumulada de 991 M, el 3 % del NOPAT, con un capex bruto medio del 8,0 % de las ventas). En un negocio de activos ligeros, el crecimiento medio del 2,3 %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y precio-mezcla +2,5 % (1S26: volumen +1,6 %, ingreso neto +2,7 %) [1]; otros +2 %: FIFCO menos la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Precio-mezcla del 3 %, por debajo del +3,8 % por hectolitro de 2025 [2]; la divisa resta 1,5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el volumen de los emergentes compensa la caída de Europa.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w:t>
            </w:r>
          </w:p>
        </w:tc>
      </w:tr>
    </w:tbl>
    <w:p>
      <w:pPr>
        <w:spacing w:after="160" w:before="0"/>
      </w:pPr>
    </w:p>
    <w:p>
      <w:pPr>
        <w:spacing w:after="100"/>
      </w:pPr>
      <w:r>
        <w:t xml:space="preserve">La reinversión de la proyección es mínima (3 % del NOPAT), así que el motor no hace la prueba y la hacemos a mano. El crecimiento orgánico sí está demostrado: el precio y la mezcla subieron un 3,8 % por hectolitro en 2025 con el volumen a la baja [2]. Pero en euros el grupo no creció en tres años (28.719 M en 2022, 28.753 M en 2025) porque la divisa se come el precio [3]. Una primera versión con un 3 % anual en euros fallaba esa prueba y la hemos rebajado al 2 % desde 2027 (veredicto «En parte»): cada medio punto menos de crecimiento resta unos 4-5 EUR por acción.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(base: 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7,1 %)</w:t>
            </w:r>
          </w:p>
        </w:tc>
      </w:tr>
    </w:tbl>
    <w:p>
      <w:pPr>
        <w:spacing w:after="160" w:before="0"/>
      </w:pPr>
    </w:p>
    <w:p>
      <w:pPr>
        <w:spacing w:after="100"/>
      </w:pPr>
      <w:r>
        <w:t xml:space="preserve">El DCF da 85,75 EUR por acción, un 20,6 % por encima del precio, con el valor terminal en el 63 %. El DCF inverso dice que el precio descuenta un crecimiento del 0,3 % anual en 2027-2035 con nuestro margen, o un margen EBITDA del 21,7 % con nuestro crecimiento: es decir, que Heineken no crezca en euros, que es justo lo que ha pasado en 2022-2025. No es una exigencia alta, pero tampoco absurda: el mercado extrapola la historia reciente en euros. La rentabilidad implícita (7,8 %) supera en solo 0,7 puntos nuestro WACC. La diferencia entre valor y precio depende sobre todo de que la divisa deje de restar: con un crecimiento del 1 % el valor bajaría hacia los 75 EUR.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sigue perdiendo un 2-3 % de volumen al año, la naira y el real vuelven a devaluarse y los ahorros del plan de bajas se van en inflación de costes: ingresos planos en euros desde 2027 y margen del 21,9 %, como antes de la subida de precios de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3-4 % por precio y mezcla que la divisa recorta al 2 % en euros, y margen que sube al 23,5 % con el plan de productividad.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deja de restar, el volumen de África y Asia crece y el nuevo primer ejecutivo acelera los ahorros: un 3 % anual en euros y un margen del 24,2 %.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EUR) · precio actual 7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80,64 EUR (+13,4 %).</w:t>
      </w:r>
    </w:p>
    <w:p>
      <w:pPr>
        <w:spacing w:after="100"/>
      </w:pPr>
      <w:r>
        <w:t xml:space="preserve">El bajista pierde un 25,5 % sobre el precio y el alcista gana un 42,3 %; el base, un 20,6 %. La asimetría del DCF es favorable, pero la del objetivo a 12 meses no: el múltiplo bajo de los dos últimos años limita lo que se puede ganar en un año.</w:t>
      </w:r>
    </w:p>
    <w:p>
      <w:pPr>
        <w:pStyle w:val="Heading1"/>
      </w:pPr>
      <w:r>
        <w:t xml:space="preserve">22. Suma de partes</w:t>
      </w:r>
    </w:p>
    <w:p>
      <w:pPr>
        <w:pStyle w:val="Confianza"/>
        <w:spacing w:after="100"/>
      </w:pPr>
      <w:r>
        <w:t xml:space="preserve">Confianza: Baja</w:t>
      </w:r>
    </w:p>
    <w:p>
      <w:pPr>
        <w:spacing w:after="100"/>
      </w:pPr>
      <w:r>
        <w:t xml:space="preserve">No aplica: un solo negocio (cerveza) con regiones de perfiles parecidos.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EUR) · precio actual 7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85,14 EUR (+19,7 % sobre 71,12).</w:t>
      </w:r>
    </w:p>
    <w:p>
      <w:pPr>
        <w:spacing w:after="100"/>
      </w:pPr>
      <w:r>
        <w:t xml:space="preserve">Pesamos el DCF al 50 %, los comparables al 30 % y los escenarios al 20 %. El DCF es el método más fiable para una empresa de flujos estables, pero sus cifras salen de extractos de búsqueda. Los comparables (licores y AB InBev) cotizan con márgenes muy superiores, y su EV/EBITDA da valores altos; el PER de los próximos 12 meses da 63-83 EUR, en línea con el precio. Las transacciones no pesan: Heineken N.V. no es comprable por la estructura de control de la familia de Carvalho.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(13.6x) × 1.1 (tope: la mediana de 5 años, 21.2x,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r>
    </w:tbl>
    <w:p>
      <w:pPr>
        <w:spacing w:after="160" w:before="0"/>
      </w:pPr>
    </w:p>
    <w:p>
      <w:pPr>
        <w:spacing w:after="100"/>
      </w:pPr>
      <w:r>
        <w:rPr>
          <w:b/>
          <w:bCs/>
        </w:rPr>
        <w:t xml:space="preserve">Objetivo a 12 meses (ponderado):</w:t>
      </w:r>
      <w:r>
        <w:t xml:space="preserve"> 82,17 EUR · rentabilidad +18,2 % (base +17,2 %) · señal Mantener.</w:t>
      </w:r>
    </w:p>
    <w:p>
      <w:pPr>
        <w:spacing w:after="100"/>
      </w:pPr>
      <w:r>
        <w:t xml:space="preserve">Para comparar, con la regla v2 (historia al cierre, mismo precio): 11,6x / 13,6x / 16,5x, 5,6 % Mantener; con el tope anterior del base (×1,3, 14-oct mediodía): 33,6 % Mantener. Decide la regla vigente (v3 con tope ×1,1; METODO-VIGENTE.md).</w:t>
      </w:r>
    </w:p>
    <w:p>
      <w:pPr>
        <w:keepNext/>
        <w:spacing w:after="100"/>
      </w:pPr>
      <w:r>
        <w:rPr>
          <w:b/>
          <w:bCs/>
        </w:rPr>
        <w:t xml:space="preserve">Frente al consenso (solo contraste).</w:t>
      </w:r>
    </w:p>
    <w:p>
      <w:pPr>
        <w:spacing w:after="100"/>
      </w:pPr>
      <w:r>
        <w:t xml:space="preserve">Nuestro BPA de 2028e (5,43 EUR) queda un 13 % por debajo del que implica el consenso (3.400 M de beneficio neto, ≈6,2 EUR por acción) [25]. La diferencia sale de las ventas (31.410 M frente a 33.800 M: restamos 1,5 puntos de divisa al año) y no del margen, que tenemos algo por encima. Nuestro precio base (≈74 EUR) queda un 17 % por debajo del objetivo medio de los analistas (88,6 EUR), que además aplica un múltiplo de 15-16x, el de 2022-2023, frente al 13,6x actual.</w:t>
      </w:r>
    </w:p>
    <w:p>
      <w:pPr>
        <w:keepNext/>
        <w:spacing w:after="100"/>
      </w:pPr>
      <w:r>
        <w:rPr>
          <w:b/>
          <w:bCs/>
        </w:rPr>
        <w:t xml:space="preserve">Del valor intrínseco al objetivo a 12 meses.</w:t>
      </w:r>
    </w:p>
    <w:p>
      <w:pPr>
        <w:spacing w:after="100"/>
      </w:pPr>
      <w:r>
        <w:t xml:space="preserve">El valor intrínseco (85,75 EUR por el DCF) queda muy por encima del objetivo a 12 meses: el mercado lleva dos años pagando 14x el beneficio beia porque el beneficio no crece en euros. Para cerrar la distancia haría falta un catalizador que hoy no tiene fecha: que la divisa deje de restar o que el nuevo primer ejecutivo presente un plan con objetivos de margen creíbles (lo esperable con los resultados anuales de febrero de 2027).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del trimestre; confirmación de la guía del 2-6 %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primera guía del nuevo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margen y de crecimiento para 2027; posible nueva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≈300 bares de Stonegate (≈300 M GBP)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frente al grupo; más capital en Reino Unido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del plan de 5.000-6.000 bajas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beia +0,5 puntos si se materializan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segundo tramo de la recompra (750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nueva recompra anunciada, el BPA deja de tener ese apoyo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los mercados emergentes (naira, real, peso)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(cada punto menos de crecimiento anual en euros, ≈−9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en moneda local que siguen a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orgánico y publicado por encima de 3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volumen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Premiumización y cerveza sin alcohol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europeo por debajo del −3 %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nuevo primer ejecutivo y del plan de bajas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0,5 puntos más bajo)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de Oliveira en JDE Peet's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beia de 2026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tras FIFCO con recompra en marcha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y flujo libre de ≈2.600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 veces el EBITDA beia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en EE. UU. sobre cerveza importada de México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pesa poco en el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bebidas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de hábito (jóvenes, salud, fármacos para adelgazar)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0.0 y marcas sin alcohol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mundial de cerveza en negativo dos años seguidos</w:t>
            </w:r>
          </w:p>
        </w:tc>
      </w:tr>
    </w:tbl>
    <w:p>
      <w:pPr>
        <w:spacing w:after="160" w:before="0"/>
      </w:pPr>
    </w:p>
    <w:p>
      <w:pPr>
        <w:pStyle w:val="Heading2"/>
      </w:pPr>
      <w:r>
        <w:t xml:space="preserve">Pre-mortem</w:t>
      </w:r>
    </w:p>
    <w:p>
      <w:pPr>
        <w:spacing w:after="100"/>
      </w:pPr>
      <w:r>
        <w:t xml:space="preserve">Octubre de 2029: la acción vale 43 EUR. En 2027 la naira y el real vuelven a devaluarse y el crecimiento publicado en euros es negativo por cuarto año de cinco, aunque el orgánico siga en el 3 %. Europa pierde otro 3 % de volumen al año y las cadenas de supermercados frenan las subidas de precio. El nuevo primer ejecutivo presenta en febrero de 2027 un plan con objetivos de margen modestos y sin nueva recompra; el mercado, que ya pagaba 14 veces el beneficio, baja el múltiplo a 11-12 veces, el de una cervecera sin crecimiento. El beneficio por acción no pasa de 5 EUR. La señal estaba a la vista: la distancia entre crecimiento orgánico y en euros, que superó los 3 puntos en 2024-2025, y un consenso que siempre esperó más ventas de las que llegaron.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restará la divisa a ingresos y resultado en 2026 y qué coberturas hay en Nigeria, Brasil y México?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2 % en euros y el 3-4 % orgánico.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productividad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ahorro neto (después de reinversión en marcas) aportarán las 5.000-6.000 bajas y en qué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llega al 23,5 % o se queda en el 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primer ejecutivo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Oliveira los objetivos de EverGreen 2030 o los revisará en febrero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de objetivos movería el consenso y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FIFCO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aporta FIFCO y a qué múltiplo se pagó?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múltiplo no podemos juzgar si la compra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recompra tras el segundo tramo de 750 M, con la deuda en 2,6 veces?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sostiene el BPA y la Holding vende en proporción.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pone el valor razonable claramente por encima del precio y ve la caída como excesiva; otras piezas recuerdan que el PER publicado (≈21x) supera la media de bebidas europeas (≈17x) y que el plan de 6.000 bajas responde a una demanda europea débil [21,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autores particulares defienden Heineken como su cervecera preferida por la marca, el balance BBB+ y un PER bajo frente a su historia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(alertas del ADR HEINY)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de un año en marzo de 2026 y un consenso que se mantiene en «comprar» con cuatro «mantener» de diez [39,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neerlandesa con comentarios (De Belegger, The Happy Investors)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pregunta si la valoración, el dividendo y la recuperación compensan el riesgo de volumen; se destaca la reorganización y las marcas premium [41,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británica del sector (Stonegate)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sobre la posible compra de ≈300 bares de Stonegate por unos 300 M GBP: unos la ven como integración vertical barata en Reino Unido, otros como más capital en un mercado que se encoge [43,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consumo de cerveza (jóvenes, salud, Europa)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en Europa (volumen −3 % en 2025), pero el grupo volvió a crecer en volumen en el 1S26 (+1,6 %) gracias a emergentes [2,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BPA beia, el PER de los próximos 12 meses (≈14x) está por debajo del de 2022-2023 (18-19x), pero en línea con el de 2024-2025: el múltiplo bajo ya lleva dos años [21,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primer ejecutivo y recorte de costes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Oliveira llega el 1-oct; los ahorros del plan de bajas deberían verse en el margen de 2027, no antes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de los mercados emergentes y 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≈3,6 % a los ingresos de 2025 y es la principal diferencia entre crecimiento orgánico y publicado [2].</w:t>
            </w:r>
          </w:p>
        </w:tc>
      </w:tr>
    </w:tbl>
    <w:p>
      <w:pPr>
        <w:spacing w:after="160" w:before="0"/>
      </w:pPr>
    </w:p>
    <w:p>
      <w:pPr>
        <w:spacing w:after="100"/>
      </w:pPr>
      <w:r>
        <w:t xml:space="preserve">El sentimiento de particulares es dividido y sin extremos: ni euforia ni capitulación. Los alcistas ven una marca global a un múltiplo bajo; los bajistas, un negocio de volumen en declive en Europa con un primer ejecutivo nuevo. Coincide con lo que dicen los datos y no añade un riesgo que el informe no recoja; el único tema nuevo es la posible compra de bares de Stonegate, pequeña frente al tamaño del grupo. Los analistas son más optimistas (mayoría de «comprar») que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2 explicados. Fuentes: 46 (13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seis comparables de bebidas el crecimiento no explica los múltiplos (R² bajo):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38.832, publicada 40.202: revisa acciones y precio. Explicación: MarketScreener usa ≈565 M de acciones (emitidas menos parte de la autocartera); nosotros usamos 546 M, netas de la autocartera acumulada por la recompra de 1.500 M. La diferencia (3,4 %) es de acciones, no de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BAI, impuestos, minoritarios (salvo 2022) y BPA publicado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2021-2025 por búsqueda: solo cifras de cabecera; 2) Stock Analysis, TipRanks y Fintel por búsqueda: ingresos, EBIT, amortizaciones y beneficio; 3) la red solo permite búsqueda web (sin WebFetch ni descargas), no se pudo abrir el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fondo de comercio, minoritarios, 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(notas de deuda): no accesible; 2) Stock Analysis y Fintel por búsqueda: solo activo, caja, deuda, patrimonio e intangibles; 3) Simply Wall St (deuda neta de jun-2025, 14.100 M): no sirve para el cierre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(Europa, Américas, África y Oriente Medio, Asia-Pacífico) con ingresos y resultado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la búsqueda no devolvió la tabla regional; 2) transcripción de la conferencia (GuruFocus): solo variaciones; 3) comunicado del 1S25: solo comentario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mercado, CR5 y cuota de Heineken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Mordor, Technavio y Ken Research por búsqueda: solo cifra de 2025 y previsión; 2) Barth-Haas y Kirin (producción mundial): no salieron; 3) informe anual de Heineken (cuota):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 de sus propias cuentas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AB InBev, Carlsberg y Asahi: sin acceso (solo búsqueda web); 2) MarketScreener vía el análisis de Diageo: margen EBITDA, no EBIT; 3) multiples.vc (Carlsberg): solo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2025: no accesible; 2) MSCI y Sustainalytics: no buscados por el presupuesto de búsquedas compartido; 3) prensa: sin controversias relevantes en los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primer ejecutivo, votos de la junta y operaciones de directivos (AFM)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(gobierno y remuneraciones): no accesible; 2) registro de la AFM por búsqueda: solo participaciones antiguas; 3) prensa: solo los cambios en la cúpula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rango de 52 semanas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2) búsquedas de cotización de Euronext, Simply Wall St y Digrin: datos sin fecha o inconsistentes; 3) prensa (ANP): solo variaciones de días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oficial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Euronext y Yahoo por búsqueda: sin dato; 2) informes semanales de recompra: el último localizado es de agosto (72,53 EUR de media); 3) último cierre citado por Simply Wall St (71,12 EUR), coherente con la capitalización de MarketScreener del 12-oct (40.202 M EUR ÷ ≈565 M de acciones del proveedor)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2021 y de 2018-2019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(precio a 31-dic): no accesible; 2) Digrin (ADR): las filas de esos años no salieron en la búsqueda; 3) Macrotrends: serie ajustada por dividendos, no sirve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 de IEX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sobre Heineken en 2026: ninguno; 2) IEX y DeBeurs: la búsqueda no devolvió hilos; 3) Stocktwits: sin acceso (solo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propia y rating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2) búsquedas de beta en proveedores: sin dato fiable; 3) rating en el informe anual: no accesible (BBB+ solo citado en un artículo de Seeking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N.V. reports 2026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N.V.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https://www.globenewswire.com/news-release/2026/08/05/3339031/0/en/HEINEKEN-N-V-REPORTS-2026-HALF-YEAR-RESULTS.html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N.V. reports 2025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N.V. (StreetInsider)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https://www.streetinsider.com/Press+Releases/HEINEKEN+N.V.+REPORTS+2025+FULL+YEAR+RESULTS/25977896.html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(AMS:HEIA):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https://stockanalysis.com/quote/ams/HEIA/financials/income-statement/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(AMS:HEIA):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y Fintel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https://stockanalysis.com/quote/ams/HEIA/financials/balance-sheet/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Holding N.V. reports 2022 full year results (BPA beia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https://live.euronext.com/en/products/equities/company-news/2023-02-15-heineken-holding-nv-reports-2022-full-year-results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Holding N.V. reports 2023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https://www.stocktitan.net/news/HKHHY/heineken-holding-n-v-reports-2023-full-year-375x5p5c1cta.html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reports 2019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https://www.inderes.dk/en/releases/heineken-nv-reports-2019-full-year-results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(AMS:HEIA): estado de flujos de efectivo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https://stockanalysis.com/quote/ams/HEIA/financials/cash-flow-statement/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completes acquisition of FIFCO's beverage and retail businesses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https://mfn.se/one/a/heineken/heineken-completes-acquisition-of-fifcos-beverage-and-retail-businesses-2af7b10e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FIFCO finalizes sale to HEINEKEN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https://www.fifco.com/wp-content/uploads/2026/01/FIFCO-finalizes-sale-to-HEINEKEN-.pdf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to cut up to 6,000 jobs as beer demand weakens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https://finance.yahoo.com/news/heineken-cut-6-000-jobs-140015037.html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AEX sluit licht lager na slotrecord, Heineken wint na resultaten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ANP (nieuws.nl)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https://nieuws.nl/economie/aex-sluit-licht-lager-na-slotrecord-heineken-wint-na-resultaten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reports the progress of transactions under its current share buyback programme (24-28 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(Taiwan News /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https://www.taiwannews.com.tw/en/news/6430854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FEMSA and Heineken row over Brazil (estructura de control: Heineken Holding 50,005 %; L'Arche Green 51,709 % de la Holding)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Brauwelt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https://brauwelt.com/en/international-report/europe-russia/621793-femsa-and-heineken-row-over-brazil-every-so-civilly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advises Heineken N.V. on EUR 3.6 billion FEMSA selldown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Blackstone Westbroek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https://www.debrauw.com/matters/de-brauw-advises-heineken-n-v-on-eur-3-6-billion-femsa-selldown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announces nomination of Rafael Oliveira as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ESM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https://www.esmmagazine.com/drinks/heineken-nominates-jde-peets-executive-rafael-oliveira-as-its-next-ceo-314793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Beer Market (Mordor Intelligence vía PR Newswire / Global Information)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https://www.gii.co.jp/report/ksi1604567-global-beer-market-forecasts-from.html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Beer Market Size, Share &amp; Forecast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https://www.kenresearch.com/industry-reports/global-beer-market.md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transcripción de la conferencia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https://www.gurufocus.com/stock/HKHHY/transcripts/8606341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reports 2025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https://www.placera.se/pressmeddelanden/heineken-heineken-n-v-reports-2025-half-year-results-20250728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(ENXTAM:HEIA) Cuts Jobs And Eyes Stonegate, Is The Discount Still Compelling?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https://www.webull.com/news/15723491598803968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bebidas a 12-oct-2026 (MarketScreener, vía análisis de Diageo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https://www.marketscreener.com/quote/stock/HEINEKEN-N-V-6283/finances/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Carlsberg valuation multiples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https://multiples.vc/public-comps/carlsberg-valuation-multiples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of Heineken N.V. to step down on 31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https://www.nasdaq.com/press-release/ceo-heineken-nv-step-down-31-may-2026-2026-01-12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Kursziel und Prognosen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https://aktien.guide/kursziel/Heineken-NL0000009165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https://stocksguide.com/en/forecast/Heineken-NL0000009165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(ENXTAM:HEIA)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Gainify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https://www.gainify.io/stocks/enxtam/heia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adviezen Jefferies y Barclays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https://www.trivano.com/aandeel/advies-barclays-heineken.404-101452.advies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koersdoelen y advies KBC Securities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https://www.trivano.com/aandeel/advies-kbc-securities-heineken.404-100502.advies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adjust Heineken price targets as valuation and growth forecasts edge lower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https://www.simplywall.st/narratives/pxa99okw-analysts-adjust-heineken-price-targets-as-valuation-and-growth-forecasts-edge-lower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(HEINY): historial de precios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https://www.digrin.com/stocks/detail/HEINY/price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(fin de año 2022-2025), vía informes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Diageo del 12-oct-2026 (comparables y transacciones)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(informes/diageo-2026-10-12)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https://www.marketscreener.com/quote/stock/ANHEUSER-BUSCH-INBEV-SA-N-31571356/finances/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completes FIFCO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Inside.beer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https://www.inside.beer/news/detail/central-america-heineken-completes-fifco-deal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(AMS:HEIA) valoración: capitalización y último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Halo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https://www.halo-technologies.com/markets/shares/ams/heia/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HEIA price target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https://valueinvesting.io/HEIA.AS/estimates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(ENXTAM:HEIA) Stock Looks Reasonable On Earnings With Mixed Cash Flow Signals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https://www.webull.com/news/15243343396758528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Heineken Is My Primary Choice Of A Brewer At An Undervaluation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https://seekingalpha.com/article/4749202-why-heineken-is-my-primary-choice-of-brewer-at-an-undervaluation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(OTCMKTS:HEINY) reaches new 1-year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https://www.marketbeat.com/instant-alerts/heineken-otcmktsheiny-reaches-new-1-year-low-heres-why-2026-03-20/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receives consensus rating of Buy from brokerages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https://www.marketbeat.com/instant-alerts/heineken-nv-otcmktsheiny-receives-consensus-rating-of-buy-from-brokerages-2026-03-28/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(HEIA) aandeel analyse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Happy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https://thehappyinvestors.nl/heineken-heia-aandeel-analyse/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AEX-aandeel nog steeds koopwaardig na 20 % stijging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Belegger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https://www.debelegger.nl/post/aex-aandeel-nog-steeds-koopwaardig-na-20-stijging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circles Stonegate pubs as group tackles £3bn debt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Drinks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https://www.thedrinksbusiness.com/2026/09/heineken-circles-stonegate-pubs-as-group-tackles-3bn-debt/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to buy 300 pubs from UK's Stonegate for €350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https://nltimes.nl/2026/09/21/heineken-buy-300-pubs-uks-stonegate-eu350-million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71,4 %</w:t>
      </w:r>
      <w:r>
        <w:t xml:space="preserve"> · Secciones con menos del 60 % de campos cubiertos: </w:t>
      </w:r>
      <w:r>
        <w:rPr>
          <w:b/>
          <w:bCs/>
        </w:rPr>
        <w:t xml:space="preserve">gobierno, bolsa, esg, calidad, balance, consenso</w:t>
      </w:r>
      <w:r>
        <w:t xml:space="preserve"> · Generado el 14 oct 2026.</w:t>
      </w:r>
    </w:p>
    <w:p>
      <w:pPr>
        <w:pStyle w:val="Nota"/>
        <w:spacing w:after="100"/>
      </w:pPr>
      <w:r>
        <w:t xml:space="preserve">Análisis hecho desde la nube con la red limitada a la búsqueda web: la web de la empresa, Euronext, Yahoo y los proveedores de datos no se pudieron abrir, así que las cifras salen de los extractos de búsqueda de los comunicados de resultados, de Stock Analysis, Fintel y MarketScreener (este último, tomado del análisis de Diageo del repositorio, 12-oct-2026), cruzadas cuando fue posible; la confianza es menor que en un análisis normal y lo que no cuadró está en null y en los huecos. Precio: 71,12 EUR, último cierre citado por Simply Wall St y coherente con la capitalización de MarketScreener del 12-oct (40.202 M EUR) [22, 35]; no es un cierre oficial del 13-oct. Acciones: 546 M, estimación propia a partir del beneficio y el BPA beia del 1S26 (1.256 M ÷ 2,29 = 548,5 M de media) menos la recompra en curso [1, 13]. Cuentas en NIIF-UE; ingresos = ingresos netos (después de impuestos especiales). El EBITDA de 2025 se lleva a base beia sumando 579 M de excepcionales (estimación propia: el EBITDA beia que implica la deuda neta de 14.506 M a 2,2 veces es de ≈6.594 M, frente a 6.015 M publicado) [2, 4]. La deuda neta a 30-jun-2026 (17.500 M, con arrendamientos) es una estimación propia: 2,6 veces el EBITDA beia de los últimos 12 meses [1]. Los minoritarios (4.000 M) son una estimación propia a ≈12 veces su parte del beneficio (≈300-350 M al año) [3]. El resultado de las asociadas va dentro del resultado operativo beia de Heineken, así que no se suman al puente.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Heineken N.V. (HEIA)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71,12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Comparables: EV/EBITDA NTM (85,87 – 114,90)</c:v>
                </c:pt>
                <c:pt idx="1">
                  <c:v>Comparables: PER NTM (63,20 – 83,08)</c:v>
                </c:pt>
                <c:pt idx="2">
                  <c:v>DCF (WACC y g ± 0,5) (68,92 – 110,55)</c:v>
                </c:pt>
                <c:pt idx="3">
                  <c:v>Escenarios (bajista – alcista) (52,96 – 101,17)</c:v>
                </c:pt>
                <c:pt idx="4">
                  <c:v>DCF con la prima implícita del mercado (4,2 %)</c:v>
                </c:pt>
                <c:pt idx="5">
                  <c:v>Precio actual (71,12)</c:v>
                </c:pt>
              </c:strCache>
            </c:strRef>
          </c:cat>
          <c:val>
            <c:numRef>
              <c:f>Hoja1!$B$2:$B$7</c:f>
              <c:numCache>
                <c:formatCode>#,##0</c:formatCode>
                <c:ptCount val="6"/>
                <c:pt idx="0">
                  <c:v>85.87</c:v>
                </c:pt>
                <c:pt idx="1">
                  <c:v>63.2</c:v>
                </c:pt>
                <c:pt idx="2">
                  <c:v>68.92</c:v>
                </c:pt>
                <c:pt idx="3">
                  <c:v>52.96</c:v>
                </c:pt>
                <c:pt idx="4">
                  <c:v>91.47</c:v>
                </c:pt>
                <c:pt idx="5">
                  <c:v>70.76</c:v>
                </c:pt>
              </c:numCache>
            </c:numRef>
          </c:val>
        </c:ser>
        <c:ser>
          <c:idx val="1"/>
          <c:order val="1"/>
          <c:tx>
            <c:strRef>
              <c:f>Hoja1!$C$1</c:f>
              <c:strCache>
                <c:ptCount val="1"/>
                <c:pt idx="0">
                  <c:v>Rango</c:v>
                </c:pt>
              </c:strCache>
            </c:strRef>
          </c:tx>
          <c:spPr>
            <a:solidFill>
              <a:srgbClr val="2A78D6"/>
            </a:solidFill>
            <a:ln w="12700">
              <a:noFill/>
            </a:ln>
          </c:spPr>
          <c:invertIfNegative val="0"/>
          <c:dPt>
            <c:idx val="5"/>
            <c:invertIfNegative val="0"/>
            <c:bubble3D val="0"/>
            <c:spPr>
              <a:solidFill>
                <a:srgbClr val="C9C8C2"/>
              </a:solidFill>
            </c:spPr>
          </c:dPt>
          <c:cat>
            <c:strRef>
              <c:f>Hoja1!$A$2:$A$7</c:f>
              <c:strCache>
                <c:ptCount val="6"/>
                <c:pt idx="0">
                  <c:v>Comparables: EV/EBITDA NTM (85,87 – 114,90)</c:v>
                </c:pt>
                <c:pt idx="1">
                  <c:v>Comparables: PER NTM (63,20 – 83,08)</c:v>
                </c:pt>
                <c:pt idx="2">
                  <c:v>DCF (WACC y g ± 0,5) (68,92 – 110,55)</c:v>
                </c:pt>
                <c:pt idx="3">
                  <c:v>Escenarios (bajista – alcista) (52,96 – 101,17)</c:v>
                </c:pt>
                <c:pt idx="4">
                  <c:v>DCF con la prima implícita del mercado (4,2 %)</c:v>
                </c:pt>
                <c:pt idx="5">
                  <c:v>Precio actual (71,12)</c:v>
                </c:pt>
              </c:strCache>
            </c:strRef>
          </c:cat>
          <c:val>
            <c:numRef>
              <c:f>Hoja1!$C$2:$C$7</c:f>
              <c:numCache>
                <c:formatCode>#,##0</c:formatCode>
                <c:ptCount val="6"/>
                <c:pt idx="0">
                  <c:v>29.03</c:v>
                </c:pt>
                <c:pt idx="1">
                  <c:v>19.879999999999995</c:v>
                </c:pt>
                <c:pt idx="2">
                  <c:v>41.629999999999995</c:v>
                </c:pt>
                <c:pt idx="3">
                  <c:v>48.21</c:v>
                </c:pt>
                <c:pt idx="4">
                  <c:v>33.010000000000005</c:v>
                </c:pt>
                <c:pt idx="5">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Heineken</c:v>
                </c:pt>
                <c:pt idx="1">
                  <c:v>AB InBev</c:v>
                </c:pt>
                <c:pt idx="2">
                  <c:v>Carlsberg</c:v>
                </c:pt>
                <c:pt idx="3">
                  <c:v>Asahi Group</c:v>
                </c:pt>
                <c:pt idx="4">
                  <c:v>Constellation Brands</c:v>
                </c:pt>
              </c:strCache>
            </c:strRef>
          </c:cat>
          <c:val>
            <c:numRef>
              <c:f>Hoja1!$B$2:$B$6</c:f>
              <c:numCache>
                <c:formatCode>0.0"%"</c:formatCode>
                <c:ptCount val="5"/>
                <c:pt idx="0">
                  <c:v>13.9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21941</c:v>
                </c:pt>
                <c:pt idx="1">
                  <c:v>28719</c:v>
                </c:pt>
                <c:pt idx="2">
                  <c:v>30362</c:v>
                </c:pt>
                <c:pt idx="3">
                  <c:v>29821</c:v>
                </c:pt>
                <c:pt idx="4">
                  <c:v>28753</c:v>
                </c:pt>
                <c:pt idx="5">
                  <c:v>30191</c:v>
                </c:pt>
                <c:pt idx="6">
                  <c:v>30794</c:v>
                </c:pt>
                <c:pt idx="7">
                  <c:v>31410</c:v>
                </c:pt>
                <c:pt idx="8">
                  <c:v>32039</c:v>
                </c:pt>
                <c:pt idx="9">
                  <c:v>32679</c:v>
                </c:pt>
                <c:pt idx="10">
                  <c:v>33333</c:v>
                </c:pt>
                <c:pt idx="11">
                  <c:v>34000</c:v>
                </c:pt>
                <c:pt idx="12">
                  <c:v>34680</c:v>
                </c:pt>
                <c:pt idx="13">
                  <c:v>35373</c:v>
                </c:pt>
                <c:pt idx="14">
                  <c:v>36081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6442</c:v>
                </c:pt>
                <c:pt idx="1">
                  <c:v>6169</c:v>
                </c:pt>
                <c:pt idx="2">
                  <c:v>6325</c:v>
                </c:pt>
                <c:pt idx="3">
                  <c:v>6122</c:v>
                </c:pt>
                <c:pt idx="4">
                  <c:v>6594</c:v>
                </c:pt>
                <c:pt idx="5">
                  <c:v>6944</c:v>
                </c:pt>
                <c:pt idx="6">
                  <c:v>7144</c:v>
                </c:pt>
                <c:pt idx="7">
                  <c:v>7350</c:v>
                </c:pt>
                <c:pt idx="8">
                  <c:v>7529</c:v>
                </c:pt>
                <c:pt idx="9">
                  <c:v>7680</c:v>
                </c:pt>
                <c:pt idx="10">
                  <c:v>7833</c:v>
                </c:pt>
                <c:pt idx="11">
                  <c:v>7990</c:v>
                </c:pt>
                <c:pt idx="12">
                  <c:v>8150</c:v>
                </c:pt>
                <c:pt idx="13">
                  <c:v>8313</c:v>
                </c:pt>
                <c:pt idx="14">
                  <c:v>8479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29.4</c:v>
                </c:pt>
                <c:pt idx="1">
                  <c:v>21.5</c:v>
                </c:pt>
                <c:pt idx="2">
                  <c:v>20.8</c:v>
                </c:pt>
                <c:pt idx="3">
                  <c:v>20.5</c:v>
                </c:pt>
                <c:pt idx="4">
                  <c:v>22.9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20.4</c:v>
                </c:pt>
                <c:pt idx="1">
                  <c:v>14.9</c:v>
                </c:pt>
                <c:pt idx="2">
                  <c:v>10.6</c:v>
                </c:pt>
                <c:pt idx="3">
                  <c:v>11.8</c:v>
                </c:pt>
                <c:pt idx="4">
                  <c:v>13.9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15.1</c:v>
                </c:pt>
                <c:pt idx="1">
                  <c:v>9.3</c:v>
                </c:pt>
                <c:pt idx="2">
                  <c:v>7.6</c:v>
                </c:pt>
                <c:pt idx="3">
                  <c:v>3.3</c:v>
                </c:pt>
                <c:pt idx="4">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2857</c:v>
                </c:pt>
                <c:pt idx="1">
                  <c:v>2705</c:v>
                </c:pt>
                <c:pt idx="2">
                  <c:v>1996</c:v>
                </c:pt>
                <c:pt idx="3">
                  <c:v>3319</c:v>
                </c:pt>
                <c:pt idx="4">
                  <c:v>2879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3324</c:v>
                </c:pt>
                <c:pt idx="1">
                  <c:v>2682</c:v>
                </c:pt>
                <c:pt idx="2">
                  <c:v>2304</c:v>
                </c:pt>
                <c:pt idx="3">
                  <c:v>978</c:v>
                </c:pt>
                <c:pt idx="4">
                  <c:v>1885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10.1</c:v>
                </c:pt>
                <c:pt idx="1">
                  <c:v>9.3</c:v>
                </c:pt>
                <c:pt idx="2">
                  <c:v>6.5</c:v>
                </c:pt>
                <c:pt idx="3">
                  <c:v>7</c:v>
                </c:pt>
                <c:pt idx="4">
                  <c:v>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7.1</c:v>
                </c:pt>
                <c:pt idx="1">
                  <c:v>7.1</c:v>
                </c:pt>
                <c:pt idx="2">
                  <c:v>7.1</c:v>
                </c:pt>
                <c:pt idx="3">
                  <c:v>7.1</c:v>
                </c:pt>
                <c:pt idx="4">
                  <c:v>7.1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16.9</c:v>
                </c:pt>
                <c:pt idx="1">
                  <c:v>12.9</c:v>
                </c:pt>
                <c:pt idx="2">
                  <c:v>10.3</c:v>
                </c:pt>
                <c:pt idx="3">
                  <c:v>4.3</c:v>
                </c:pt>
                <c:pt idx="4">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2.12</c:v>
                </c:pt>
                <c:pt idx="1">
                  <c:v>2.21</c:v>
                </c:pt>
                <c:pt idx="2">
                  <c:v>2.51</c:v>
                </c:pt>
                <c:pt idx="3">
                  <c:v>2.4</c:v>
                </c:pt>
                <c:pt idx="4">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Heineken Holding N.V.</c:v>
                </c:pt>
                <c:pt idx="1">
                  <c:v>FEMSA</c:v>
                </c:pt>
              </c:strCache>
            </c:strRef>
          </c:cat>
          <c:val>
            <c:numRef>
              <c:f>Hoja1!$B$2:$B$3</c:f>
              <c:numCache>
                <c:formatCode>0.0"%"</c:formatCode>
                <c:ptCount val="2"/>
                <c:pt idx="0">
                  <c:v>50.005</c:v>
                </c:pt>
                <c:pt idx="1">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Heineken</c:v>
                </c:pt>
                <c:pt idx="1">
                  <c:v>AB InBev</c:v>
                </c:pt>
                <c:pt idx="2">
                  <c:v>Constellation Brands</c:v>
                </c:pt>
                <c:pt idx="3">
                  <c:v>Diageo</c:v>
                </c:pt>
                <c:pt idx="4">
                  <c:v>Pernod Ricard</c:v>
                </c:pt>
                <c:pt idx="5">
                  <c:v>Brown-Forman</c:v>
                </c:pt>
                <c:pt idx="6">
                  <c:v>Campari</c:v>
                </c:pt>
              </c:strCache>
            </c:strRef>
          </c:cat>
          <c:val>
            <c:numRef>
              <c:f>Hoja1!$B$2:$B$8</c:f>
              <c:numCache>
                <c:formatCode>0.0"x"</c:formatCode>
                <c:ptCount val="7"/>
                <c:pt idx="0">
                  <c:v>8.2</c:v>
                </c:pt>
                <c:pt idx="1">
                  <c:v>8.9</c:v>
                </c:pt>
                <c:pt idx="2">
                  <c:v>9.2</c:v>
                </c:pt>
                <c:pt idx="3">
                  <c:v>10.6</c:v>
                </c:pt>
                <c:pt idx="4">
                  <c:v>9.5</c:v>
                </c:pt>
                <c:pt idx="5">
                  <c:v>12.2</c:v>
                </c:pt>
                <c:pt idx="6">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Heineken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8.2</c:v>
                </c:pt>
              </c:numCache>
            </c:numRef>
          </c:yVal>
          <c:smooth val="0"/>
        </c:ser>
        <c:ser>
          <c:idx val="1"/>
          <c:order val="1"/>
          <c:tx>
            <c:strRef>
              <c:f>Hoja1!$A$3</c:f>
              <c:strCache>
                <c:ptCount val="1"/>
                <c:pt idx="0">
                  <c:v>AB InBev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6.8</c:v>
                </c:pt>
              </c:numCache>
            </c:numRef>
          </c:xVal>
          <c:yVal>
            <c:numRef>
              <c:f>Hoja1!$C$3</c:f>
              <c:numCache>
                <c:formatCode>0.0"x"</c:formatCode>
                <c:ptCount val="1"/>
                <c:pt idx="0">
                  <c:v>8.9</c:v>
                </c:pt>
              </c:numCache>
            </c:numRef>
          </c:yVal>
          <c:smooth val="0"/>
        </c:ser>
        <c:ser>
          <c:idx val="2"/>
          <c:order val="2"/>
          <c:tx>
            <c:strRef>
              <c:f>Hoja1!$A$4</c:f>
              <c:strCache>
                <c:ptCount val="1"/>
                <c:pt idx="0">
                  <c:v>Constellation Brands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0.4</c:v>
                </c:pt>
              </c:numCache>
            </c:numRef>
          </c:xVal>
          <c:yVal>
            <c:numRef>
              <c:f>Hoja1!$C$4</c:f>
              <c:numCache>
                <c:formatCode>0.0"x"</c:formatCode>
                <c:ptCount val="1"/>
                <c:pt idx="0">
                  <c:v>9.2</c:v>
                </c:pt>
              </c:numCache>
            </c:numRef>
          </c:yVal>
          <c:smooth val="0"/>
        </c:ser>
        <c:ser>
          <c:idx val="3"/>
          <c:order val="3"/>
          <c:tx>
            <c:strRef>
              <c:f>Hoja1!$A$5</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-0.2</c:v>
                </c:pt>
              </c:numCache>
            </c:numRef>
          </c:xVal>
          <c:yVal>
            <c:numRef>
              <c:f>Hoja1!$C$5</c:f>
              <c:numCache>
                <c:formatCode>0.0"x"</c:formatCode>
                <c:ptCount val="1"/>
                <c:pt idx="0">
                  <c:v>9.5</c:v>
                </c:pt>
              </c:numCache>
            </c:numRef>
          </c:yVal>
          <c:smooth val="0"/>
        </c:ser>
        <c:ser>
          <c:idx val="4"/>
          <c:order val="4"/>
          <c:tx>
            <c:strRef>
              <c:f>Hoja1!$A$6</c:f>
              <c:strCache>
                <c:ptCount val="1"/>
                <c:pt idx="0">
                  <c:v>Brown-Forman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0.7</c:v>
                </c:pt>
              </c:numCache>
            </c:numRef>
          </c:xVal>
          <c:yVal>
            <c:numRef>
              <c:f>Hoja1!$C$6</c:f>
              <c:numCache>
                <c:formatCode>0.0"x"</c:formatCode>
                <c:ptCount val="1"/>
                <c:pt idx="0">
                  <c:v>12.2</c:v>
                </c:pt>
              </c:numCache>
            </c:numRef>
          </c:yVal>
          <c:smooth val="0"/>
        </c:ser>
        <c:ser>
          <c:idx val="5"/>
          <c:order val="5"/>
          <c:tx>
            <c:strRef>
              <c:f>Hoja1!$A$7</c:f>
              <c:strCache>
                <c:ptCount val="1"/>
                <c:pt idx="0">
                  <c:v>Campari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1.9</c:v>
                </c:pt>
              </c:numCache>
            </c:numRef>
          </c:xVal>
          <c:yVal>
            <c:numRef>
              <c:f>Hoja1!$C$7</c:f>
              <c:numCache>
                <c:formatCode>0.0"x"</c:formatCode>
                <c:ptCount val="1"/>
                <c:pt idx="0">
                  <c:v>11.7</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FIFCO, negocio de bebidas y distribución (Costa Rica, Guatemala, México)</c:v>
                </c:pt>
                <c:pt idx="1">
                  <c:v>East African Breweries (65 %) y UDV Kenya (53,68 %)</c:v>
                </c:pt>
              </c:strCache>
            </c:strRef>
          </c:cat>
          <c:val>
            <c:numRef>
              <c:f>Hoja1!$B$2:$B$3</c:f>
              <c:numCache>
                <c:formatCode>0.0"x"</c:formatCode>
                <c:ptCount val="2"/>
                <c:pt idx="1">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3305</c:v>
                </c:pt>
                <c:pt idx="1">
                  <c:v>3416</c:v>
                </c:pt>
                <c:pt idx="2">
                  <c:v>3530</c:v>
                </c:pt>
                <c:pt idx="3">
                  <c:v>3625</c:v>
                </c:pt>
                <c:pt idx="4">
                  <c:v>3697</c:v>
                </c:pt>
                <c:pt idx="5">
                  <c:v>3771</c:v>
                </c:pt>
                <c:pt idx="6">
                  <c:v>3846</c:v>
                </c:pt>
                <c:pt idx="7">
                  <c:v>3923</c:v>
                </c:pt>
                <c:pt idx="8">
                  <c:v>4002</c:v>
                </c:pt>
                <c:pt idx="9">
                  <c:v>4082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25326</c:v>
                </c:pt>
                <c:pt idx="1">
                  <c:v>42993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71,12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52.96</c:v>
                </c:pt>
                <c:pt idx="1">
                  <c:v>85.75</c:v>
                </c:pt>
                <c:pt idx="2">
                  <c:v>101.17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71,12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Comparables: EV/EBITDA NTM (85,87 – 114,90)</c:v>
                </c:pt>
                <c:pt idx="1">
                  <c:v>Comparables: PER NTM (63,20 – 83,08)</c:v>
                </c:pt>
                <c:pt idx="2">
                  <c:v>DCF (WACC y g ± 0,5) (68,92 – 110,55)</c:v>
                </c:pt>
                <c:pt idx="3">
                  <c:v>Escenarios (bajista – alcista) (52,96 – 101,17)</c:v>
                </c:pt>
                <c:pt idx="4">
                  <c:v>DCF con la prima implícita del mercado (4,2 %)</c:v>
                </c:pt>
                <c:pt idx="5">
                  <c:v>Precio actual (71,12)</c:v>
                </c:pt>
              </c:strCache>
            </c:strRef>
          </c:cat>
          <c:val>
            <c:numRef>
              <c:f>Hoja1!$B$2:$B$7</c:f>
              <c:numCache>
                <c:formatCode>#,##0</c:formatCode>
                <c:ptCount val="6"/>
                <c:pt idx="0">
                  <c:v>85.87</c:v>
                </c:pt>
                <c:pt idx="1">
                  <c:v>63.2</c:v>
                </c:pt>
                <c:pt idx="2">
                  <c:v>68.92</c:v>
                </c:pt>
                <c:pt idx="3">
                  <c:v>52.96</c:v>
                </c:pt>
                <c:pt idx="4">
                  <c:v>91.47</c:v>
                </c:pt>
                <c:pt idx="5">
                  <c:v>70.76</c:v>
                </c:pt>
              </c:numCache>
            </c:numRef>
          </c:val>
        </c:ser>
        <c:ser>
          <c:idx val="1"/>
          <c:order val="1"/>
          <c:tx>
            <c:strRef>
              <c:f>Hoja1!$C$1</c:f>
              <c:strCache>
                <c:ptCount val="1"/>
                <c:pt idx="0">
                  <c:v>Rango</c:v>
                </c:pt>
              </c:strCache>
            </c:strRef>
          </c:tx>
          <c:spPr>
            <a:solidFill>
              <a:srgbClr val="2A78D6"/>
            </a:solidFill>
            <a:ln w="12700">
              <a:noFill/>
            </a:ln>
          </c:spPr>
          <c:invertIfNegative val="0"/>
          <c:dPt>
            <c:idx val="5"/>
            <c:invertIfNegative val="0"/>
            <c:bubble3D val="0"/>
            <c:spPr>
              <a:solidFill>
                <a:srgbClr val="C9C8C2"/>
              </a:solidFill>
            </c:spPr>
          </c:dPt>
          <c:cat>
            <c:strRef>
              <c:f>Hoja1!$A$2:$A$7</c:f>
              <c:strCache>
                <c:ptCount val="6"/>
                <c:pt idx="0">
                  <c:v>Comparables: EV/EBITDA NTM (85,87 – 114,90)</c:v>
                </c:pt>
                <c:pt idx="1">
                  <c:v>Comparables: PER NTM (63,20 – 83,08)</c:v>
                </c:pt>
                <c:pt idx="2">
                  <c:v>DCF (WACC y g ± 0,5) (68,92 – 110,55)</c:v>
                </c:pt>
                <c:pt idx="3">
                  <c:v>Escenarios (bajista – alcista) (52,96 – 101,17)</c:v>
                </c:pt>
                <c:pt idx="4">
                  <c:v>DCF con la prima implícita del mercado (4,2 %)</c:v>
                </c:pt>
                <c:pt idx="5">
                  <c:v>Precio actual (71,12)</c:v>
                </c:pt>
              </c:strCache>
            </c:strRef>
          </c:cat>
          <c:val>
            <c:numRef>
              <c:f>Hoja1!$C$2:$C$7</c:f>
              <c:numCache>
                <c:formatCode>#,##0</c:formatCode>
                <c:ptCount val="6"/>
                <c:pt idx="0">
                  <c:v>29.03</c:v>
                </c:pt>
                <c:pt idx="1">
                  <c:v>19.879999999999995</c:v>
                </c:pt>
                <c:pt idx="2">
                  <c:v>41.629999999999995</c:v>
                </c:pt>
                <c:pt idx="3">
                  <c:v>48.21</c:v>
                </c:pt>
                <c:pt idx="4">
                  <c:v>33.010000000000005</c:v>
                </c:pt>
                <c:pt idx="5">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