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HOYA Corporation</w:t>
      </w:r>
    </w:p>
    <w:p>
      <w:pPr>
        <w:spacing w:after="60"/>
        <w:rPr>
          <w:color w:val="52514E"/>
          <w:sz w:val="22"/>
          <w:szCs w:val="22"/>
        </w:rPr>
      </w:pPr>
      <w:r>
        <w:rPr>
          <w:color w:val="52514E"/>
          <w:sz w:val="22"/>
          <w:szCs w:val="22"/>
        </w:rPr>
        <w:t xml:space="preserve">7741 · Bolsa de Tokio (Prime) · ISIN JP3837800006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25.055,00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24.489,98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-1,1 % (base +6,3 %)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16.972,10 JPY · mercado 20.536,56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8.365.113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HOYA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7741 / JP3837800006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 / 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 (con negocio de materiales para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 1941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https://www.hoya.com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25.055,00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21.040,00 – 30.400,00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8.365.113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7.929.665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24.489,98 JPY</w:t>
      </w:r>
      <w:r>
        <w:t xml:space="preserve"> frente a 25.055,00 · Rentabilidad a 12 meses </w:t>
      </w:r>
      <w:r>
        <w:rPr>
          <w:b/>
          <w:bCs/>
        </w:rPr>
        <w:t xml:space="preserve">-1,1 % (base +6,3 %)</w:t>
      </w:r>
      <w:r>
        <w:t xml:space="preserve"> · Valor intrínseco 16.972,10 JPY · con la prima implícita del mercado: 20.536,56 (-18,0 %) · Alcista / bajista -15,7 % / -48,7 %</w:t>
      </w:r>
    </w:p>
    <w:p>
      <w:pPr>
        <w:spacing w:after="100"/>
      </w:pPr>
      <w:r>
        <w:rPr>
          <w:b/>
        </w:rPr>
        <w:t xml:space="preserve">La recomendación y por qué.</w:t>
      </w:r>
      <w:r>
        <w:t xml:space="preserve"> Mantener, con convicción media. Nuestro objetivo a 12 meses es de 26.719,23 JPY (+7,8 % con dividendo; +10,4 % en el caso base), frente a un precio de 25.055 JPY y un objetivo medio de los analistas de 27.771 JPY [29]. El valor intrínseco es mucho menor: 16.972,10 JPY, un 32,3 % por debajo del precio. HOYA es un negocio excelente a un precio que ya lo paga: el beneficio crecerá a doble dígito, pero el PER de 31,5x deja poco recorrido. La convicción es media porque las dos reglas coinciden y quedan lejos de sus umbrales; subiría si el precio bajara de 22.000 JPY sin cambios en el beneficio, y bajaría si el 2T del 30-oct mostrara un crecimiento a tipos constantes por debajo del 5 %.</w:t>
      </w:r>
    </w:p>
    <w:p>
      <w:pPr>
        <w:spacing w:after="100"/>
      </w:pPr>
      <w:r>
        <w:rPr>
          <w:b/>
        </w:rPr>
        <w:t xml:space="preserve">El negocio.</w:t>
      </w:r>
      <w:r>
        <w:t xml:space="preserve"> HOYA tiene más del 75 % del mercado de blanks EUV para semiconductores y es la segunda mundial en lentes oftálmicas [14]. Information Technology aporta el 60 % del beneficio de segmento con un margen del 54 % [6]. El ROIC es del 45,2 %, 37,2 puntos por encima del WACC del 8,0 %. La sostenibilidad del crecimiento es </w:t>
      </w:r>
      <w:r>
        <w:rPr>
          <w:b/>
        </w:rPr>
        <w:t xml:space="preserve">sí</w:t>
      </w:r>
      <w:r>
        <w:t xml:space="preserve">: la proyección (6,1 % anual) apenas necesita capital y sale de precio y de volumen en un mercado donde HOYA ya domina, como en FY2022-FY2026, cuando las ventas crecieron un 9,4 % anual con un capex del 4-6 % de las ventas.</w:t>
      </w:r>
    </w:p>
    <w:p>
      <w:pPr>
        <w:spacing w:after="100"/>
      </w:pPr>
      <w:r>
        <w:rPr>
          <w:b/>
        </w:rPr>
        <w:t xml:space="preserve">Finanzas.</w:t>
      </w:r>
      <w:r>
        <w:t xml:space="preserve"> En FY2026 las ventas fueron de 947.749 M JPY (+9,4 %) y el resultado antes de impuestos de 327.668 M JPY (+26 %) [6]. En el 1T de FY2027 las ventas crecieron un 16 %, pero solo un 7 % a tipos constantes, y el beneficio llevó un reembolso de aranceles [10]: la calidad del crecimiento es menor de lo que parece. La caja neta ajustada es de 449.992 M JPY y la caja libre de los últimos 12 meses, de 236.900 M JPY [12].</w:t>
      </w:r>
    </w:p>
    <w:p>
      <w:pPr>
        <w:spacing w:after="100"/>
      </w:pPr>
      <w:r>
        <w:rPr>
          <w:b/>
        </w:rPr>
        <w:t xml:space="preserve">Equipo y gobierno.</w:t>
      </w:r>
      <w:r>
        <w:t xml:space="preserve"> Sin accionista de control, una sola clase de acciones y comisiones con mayoría de externos [18]. La dirección devuelve la caja: recompra de 100.000 M JPY en 2026, otra de hasta 200.000 M JPY en curso y dividendo casi doble (295 JPY) [15, 17].</w:t>
      </w:r>
    </w:p>
    <w:p>
      <w:pPr>
        <w:spacing w:after="100"/>
      </w:pPr>
      <w:r>
        <w:rPr>
          <w:b/>
        </w:rPr>
        <w:t xml:space="preserve">Valoración.</w:t>
      </w:r>
      <w:r>
        <w:t xml:space="preserve"> El DCF da 17.859,10 JPY con un WACC del 8,0 % y el bono japonés al 3,089 % [38]; con la prima implícita del mercado sube a 22.386,54 JPY, aún por debajo del precio. El DCF inverso dice que el precio descuenta un crecimiento del 11,0 % anual durante diez años, frente a nuestro 6,1 %. Los comparables de óptica y salud cotizan a 17,8 veces beneficios. A 12 meses no discrepamos del mercado en el beneficio (nuestro BPA de FY2027e, 796 JPY, coincide con el consenso de 791 JPY [28]); discrepamos en que el múltiplo de 31,5x esté justificado a largo plazo.</w:t>
      </w:r>
    </w:p>
    <w:p>
      <w:pPr>
        <w:spacing w:after="100"/>
      </w:pPr>
      <w:r>
        <w:rPr>
          <w:b/>
        </w:rPr>
        <w:t xml:space="preserve">Riesgos y catalizadores.</w:t>
      </w:r>
      <w:r>
        <w:t xml:space="preserve"> El riesgo principal es el múltiplo: en el bajista (PER de 26,7x, el mínimo de cinco años) la acción cae un 17,6 % en un año. Una pausa en los diseños de chips avanzados o un yen más fuerte recortarían el beneficio. Catalizadores: resultados del 2T el 30-oct-2026, guía anual a finales de enero de 2027 y el programa de recompra hasta mar-27. Los foros japoneses se enfriaron en septiembre con la acción en mínimos del año; no señalan riesgos que el informe no recoja.</w:t>
      </w:r>
    </w:p>
    <w:p>
      <w:pPr>
        <w:spacing w:after="100"/>
      </w:pPr>
      <w:r>
        <w:rPr>
          <w:b/>
        </w:rPr>
        <w:t xml:space="preserve">Qué cambiaría la decisión.</w:t>
      </w:r>
      <w:r>
        <w:t xml:space="preserve"> Compraríamos por debajo de 16.972,10 JPY, donde coinciden la rentabilidad a 12 meses y el valor intrínseco; venderíamos por encima de 30.015,81 JPY. También revisaríamos con un crecimiento de Information Technology por debajo del 5 % o un margen del segmento por debajo del 50 %.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24.489,98 JPY</w:t>
      </w:r>
      <w:r>
        <w:t xml:space="preserve"> (rentabilidad -1,1 % (base +6,3 %)) · Valor intrínseco: 16.972,10 JPY (-32,3 % sobre 25.055,00) · con la prima implícita del mercado: 20.536,56 (-18,0 %)</w:t>
      </w:r>
    </w:p>
    <w:p>
      <w:pPr>
        <w:spacing w:after="100"/>
      </w:pPr>
      <w:r>
        <w:t xml:space="preserve">HOYA es el líder casi único de los blanks EUV (más del 75 % del mercado) y el segundo fabricante mundial de lentes oftálmicas [14]. Con un margen EBITDA del 35 % y un ROIC del 45,2 %, genera unos 237.000 M JPY de caja libre al año sin deuda [12] y la devuelve con recompras y dividendos.</w:t>
      </w:r>
    </w:p>
    <w:p>
      <w:pPr>
        <w:spacing w:after="100"/>
      </w:pPr>
      <w:r>
        <w:t xml:space="preserve">El precio de 25.055 JPY descuenta un crecimiento de ventas del 11,0 % anual durante diez años, casi el doble de nuestro 6,1 %, o un margen del 49,2 %. Cotiza a 31,7 veces el beneficio de los próximos 12 meses, frente a 17,8 veces sus comparables de óptica y salud.</w:t>
      </w:r>
    </w:p>
    <w:p>
      <w:pPr>
        <w:spacing w:after="100"/>
      </w:pPr>
      <w:r>
        <w:t xml:space="preserve">El mercado acierta en la calidad y en el crecimiento a corto plazo: nuestro BPA de FY2027e coincide con el consenso. Para invertir hay que creer que el PER de 30 veces se mantiene con el bono japonés al 3,1 %, algo que el DCF no apoya. A 12 meses el beneficio sube un 9 % y el precio debería seguirlo,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24.489,98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 × 762,30 = 17.227,98 · 30,3x × 868,95 = 26.329,19 · 30,3x × 926,52 = 28.073,56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27.771,00 (nuestro base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16.972,10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 -48,7 %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8,0 %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20.536,56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16.972,10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16.972,10 y 27.538,87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27.538,87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16.972,10 JPY con el beneficio intacto: pasaríamos a Comprar.</w:t>
      </w:r>
    </w:p>
    <w:p>
      <w:pPr>
        <w:pStyle w:val="ListParagraph"/>
        <w:numPr>
          <w:ilvl w:val="0"/>
          <w:numId w:val="2"/>
        </w:numPr>
        <w:spacing w:after="60"/>
      </w:pPr>
      <w:r>
        <w:t xml:space="preserve">Precio por encima de 30.015,81 JPY: pasaríamos a Vender.</w:t>
      </w:r>
    </w:p>
    <w:p>
      <w:pPr>
        <w:pStyle w:val="ListParagraph"/>
        <w:numPr>
          <w:ilvl w:val="0"/>
          <w:numId w:val="2"/>
        </w:numPr>
        <w:spacing w:after="60"/>
      </w:pPr>
      <w:r>
        <w:t xml:space="preserve">Margen de Information Technology por debajo del 50 % en dos trimestres: revisaríamos el bajista al alza de probabilidad.</w:t>
      </w:r>
    </w:p>
    <w:p>
      <w:pPr>
        <w:pStyle w:val="ListParagraph"/>
        <w:numPr>
          <w:ilvl w:val="0"/>
          <w:numId w:val="2"/>
        </w:numPr>
        <w:spacing w:after="60"/>
      </w:pPr>
      <w:r>
        <w:t xml:space="preserve">Crecimiento de ventas a tipos constantes por debajo del 5 % en el 2T de FY2027.</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doble dígito durante una década por los blanks EUV y un múltiplo de empresa de semiconductores de calidad (PER de 31,5x).</w:t>
      </w:r>
    </w:p>
    <w:p>
      <w:pPr>
        <w:keepNext/>
        <w:spacing w:after="100"/>
      </w:pPr>
      <w:r>
        <w:rPr>
          <w:b/>
          <w:bCs/>
        </w:rPr>
        <w:t xml:space="preserve">Lo que creemos nosotros.</w:t>
      </w:r>
    </w:p>
    <w:p>
      <w:pPr>
        <w:spacing w:after="100"/>
      </w:pPr>
      <w:r>
        <w:t xml:space="preserve">El crecimiento a corto plazo es real (BPA +9 % en FY2028e), pero a tipos constantes HOYA crece al 7 %, y con el bono japonés al 3,1 % el valor intrínseco es de 16.972,10 JPY.</w:t>
      </w:r>
    </w:p>
    <w:p>
      <w:pPr>
        <w:keepNext/>
        <w:spacing w:after="100"/>
      </w:pPr>
      <w:r>
        <w:rPr>
          <w:b/>
          <w:bCs/>
        </w:rPr>
        <w:t xml:space="preserve">Por qué podemos tener razón.</w:t>
      </w:r>
    </w:p>
    <w:p>
      <w:pPr>
        <w:spacing w:after="100"/>
      </w:pPr>
      <w:r>
        <w:t xml:space="preserve">El mercado aún valora a HOYA con los múltiplos de la era de tipos cero; el DCF con tipos de hoy no los sostiene. La diferencia la cerraría el tiempo (crecimiento del beneficio) o el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5.05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 los blanks EUV</w:t>
      </w:r>
      <w:r>
        <w:t xml:space="preserve">: más del 75 % del mercado [14].</w:t>
      </w:r>
    </w:p>
    <w:p>
      <w:pPr>
        <w:pStyle w:val="ListParagraph"/>
        <w:numPr>
          <w:ilvl w:val="0"/>
          <w:numId w:val="2"/>
        </w:numPr>
        <w:spacing w:after="60"/>
      </w:pPr>
      <w:r>
        <w:rPr>
          <w:b/>
        </w:rPr>
        <w:t xml:space="preserve">Rentabilidad excepcional</w:t>
      </w:r>
      <w:r>
        <w:t xml:space="preserve">: ROIC del 45,2 % y margen de Information Technology del 54 % [6].</w:t>
      </w:r>
    </w:p>
    <w:p>
      <w:pPr>
        <w:pStyle w:val="ListParagraph"/>
        <w:numPr>
          <w:ilvl w:val="0"/>
          <w:numId w:val="2"/>
        </w:numPr>
        <w:spacing w:after="60"/>
      </w:pPr>
      <w:r>
        <w:rPr>
          <w:b/>
        </w:rPr>
        <w:t xml:space="preserve">Devolución de caja</w:t>
      </w:r>
      <w:r>
        <w:t xml:space="preserve">: recompra en curso de hasta 200.000 M JPY y dividendo de 295 JPY [15].</w:t>
      </w:r>
    </w:p>
    <w:p>
      <w:pPr>
        <w:pStyle w:val="ListParagraph"/>
        <w:numPr>
          <w:ilvl w:val="0"/>
          <w:numId w:val="2"/>
        </w:numPr>
        <w:spacing w:after="60"/>
      </w:pPr>
      <w:r>
        <w:rPr>
          <w:b/>
        </w:rPr>
        <w:t xml:space="preserve">Beneficio al alza</w:t>
      </w:r>
      <w:r>
        <w:t xml:space="preserve">: BPA de 743,82 JPY en FY2026 y 796 JPY estimados para FY2027e.</w:t>
      </w:r>
    </w:p>
    <w:p>
      <w:pPr>
        <w:pStyle w:val="Heading2"/>
      </w:pPr>
      <w:r>
        <w:t xml:space="preserve">En contra</w:t>
      </w:r>
    </w:p>
    <w:p>
      <w:pPr>
        <w:pStyle w:val="ListParagraph"/>
        <w:numPr>
          <w:ilvl w:val="0"/>
          <w:numId w:val="2"/>
        </w:numPr>
        <w:spacing w:after="60"/>
      </w:pPr>
      <w:r>
        <w:rPr>
          <w:b/>
        </w:rPr>
        <w:t xml:space="preserve">Valoración exigente</w:t>
      </w:r>
      <w:r>
        <w:t xml:space="preserve">: el DCF da 17.859,10 JPY, un 28,7 % por debajo del precio.</w:t>
      </w:r>
    </w:p>
    <w:p>
      <w:pPr>
        <w:pStyle w:val="ListParagraph"/>
        <w:numPr>
          <w:ilvl w:val="0"/>
          <w:numId w:val="2"/>
        </w:numPr>
        <w:spacing w:after="60"/>
      </w:pPr>
      <w:r>
        <w:rPr>
          <w:b/>
        </w:rPr>
        <w:t xml:space="preserve">Crecimiento con divisa</w:t>
      </w:r>
      <w:r>
        <w:t xml:space="preserve">: 9 de los 16 puntos del 1T fueron yen débil [10].</w:t>
      </w:r>
    </w:p>
    <w:p>
      <w:pPr>
        <w:pStyle w:val="ListParagraph"/>
        <w:numPr>
          <w:ilvl w:val="0"/>
          <w:numId w:val="2"/>
        </w:numPr>
        <w:spacing w:after="60"/>
      </w:pPr>
      <w:r>
        <w:rPr>
          <w:b/>
        </w:rPr>
        <w:t xml:space="preserve">Múltiplo frente a comparables</w:t>
      </w:r>
      <w:r>
        <w:t xml:space="preserve">: 31,7x frente a 17,8x.</w:t>
      </w:r>
    </w:p>
    <w:p>
      <w:pPr>
        <w:pStyle w:val="ListParagraph"/>
        <w:numPr>
          <w:ilvl w:val="0"/>
          <w:numId w:val="2"/>
        </w:numPr>
        <w:spacing w:after="60"/>
      </w:pPr>
      <w:r>
        <w:rPr>
          <w:b/>
        </w:rPr>
        <w:t xml:space="preserve">Tasa libre japonesa al 3,1 %</w:t>
      </w:r>
      <w:r>
        <w:t xml:space="preserve"> [38]: sube el coste de capital de un valor de duración larga.</w:t>
      </w:r>
    </w:p>
    <w:p>
      <w:pPr>
        <w:pStyle w:val="Heading2"/>
      </w:pPr>
      <w:r>
        <w:t xml:space="preserve">Qué tiene que pasar para que la tesis funcione</w:t>
      </w:r>
    </w:p>
    <w:p>
      <w:pPr>
        <w:spacing w:after="100"/>
      </w:pPr>
      <w:r>
        <w:t xml:space="preserve">La tesis depende de que los blanks EUV sigan creciendo a doble dígito y de que el mercado mantenga un PER cercano a 30x. La señal de que falla: crecimiento de Information Technology a tipos constantes por debajo del 5 % o un margen del segmento por debajo del 50 % en los resultados del 2T (30-oct) o del 3T (enero).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Information Technology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 de Information Technology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competencia en EUV.</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divisa de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 12 meses vista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27x o &gt; 36x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principal de la tesis.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 / 31,7x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HOYA nació en 1941 como fabricante de vidrio óptico en Tokio y pasó a cristalería y lentes oftálmicas en la posguerra. En los años setenta entró en las máscaras y los blanks para semiconductores, que hoy son su negocio más rentable. En 2008 compró Pentax, de la que conservó los endoscopios y vendió las cámaras. Desde 2003 es una «company with committees» con mayoría de consejeros externos, una rareza en Japón [18]. En la última década ha crecido con compras pequeñas en óptica y salud y ha devuelto caja con recompras.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fabricante de vidrio óptico en Tokio.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Pentax; conserva los endoscopios médicos (Pentax Medical).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Dominio de los blanks EUV: más del 75 % del mercado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las filiales de endoscopios en EE. UU. y Europa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beneficio en FY2026, dividendo casi doble (295 JPY) y nueva planta de EUV en Singapur (≈ 42.000 M JPY) [5].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HOYA es un fabricante japonés de productos de vidrio óptico de alta precisión con dos segmentos [6]. </w:t>
      </w:r>
      <w:r>
        <w:rPr>
          <w:b/>
        </w:rPr>
        <w:t xml:space="preserve">Life Care</w:t>
      </w:r>
      <w:r>
        <w:t xml:space="preserve"> (62 % de las ventas de FY2026): lentes oftálmicas (segundo fabricante mundial detrás de EssilorLuxottica), lentes de contacto con su cadena de tiendas Eyecity en Japón, endoscopios flexibles Pentax Medical, lentes intraoculares y otros productos médicos [6, 14]. </w:t>
      </w:r>
      <w:r>
        <w:rPr>
          <w:b/>
        </w:rPr>
        <w:t xml:space="preserve">Information Technology</w:t>
      </w:r>
      <w:r>
        <w:t xml:space="preserve"> (37 %): máscaras en blanco (mask blanks) para fotolitografía de semiconductores, donde tiene más del 60 % del mercado total y más del 75 % del de EUV, máscaras para pantallas, sustratos de vidrio para discos duros, ópticas para cámaras y software [6, 14]. Vende en todo el mundo; la fabricación de blanks está en Japón y Singapur, donde construye una planta nueva de EUV de unos 42.000 M JPY con producción en masa prevista para FY2028 [6].</w:t>
      </w:r>
    </w:p>
    <w:p>
      <w:pPr>
        <w:pStyle w:val="Heading2"/>
      </w:pPr>
      <w:r>
        <w:t xml:space="preserve">Cómo gana dinero</w:t>
      </w:r>
    </w:p>
    <w:p>
      <w:pPr>
        <w:spacing w:after="100"/>
      </w:pPr>
      <w:r>
        <w:t xml:space="preserve">El beneficio sale sobre todo de Information Technology: con el 37 % de las ventas aportó 192.325 M JPY de beneficio de segmento en FY2026, un margen del 54 %, frente a 129.531 M JPY y el 22 % en Life Care [6]. Los blanks EUV son un consumible de cada máscara nueva: el volumen depende del número de diseños de chip avanzados (nodos de 3 y 2 nm, memoria de alto ancho de banda) y no del volumen de obleas, por lo que la demanda es más estable que la de los equipos [14]. Los sustratos de vidrio para discos duros dependen del almacenamiento de los centros de datos (discos HAMR). Life Care es recurrente: lentes oftálmicas a medida vendidas a ópticas con plazos de entrega cortos y lentes de contacto de reposición. El margen sube por mezcla (más EUV) y por apalancamiento operativo; la divisa pesa: en el 1T de FY2027 las ventas crecieron un 16 %, un 7 % a tipos constantes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pStyle w:val="Heading2"/>
      </w:pPr>
      <w:r>
        <w:t xml:space="preserve">Clientes, recurrencia y poder de precios</w:t>
      </w:r>
    </w:p>
    <w:p>
      <w:pPr>
        <w:spacing w:after="100"/>
      </w:pPr>
      <w:r>
        <w:t xml:space="preserve">En Information Technology los clientes son pocos y grandes: los fabricantes de máscaras y las fundiciones y fabricantes de memoria de Taiwán y Corea, que en el último trimestre concentraron el aumento de pedidos de blanks [14]. HOYA no publica la concentración por cliente. El poder de precios se ve en el margen del segmento, estable por encima del 50 % (54 % en FY2026, 55 % en FY2025) con capacidad nueva en marcha [6]. En Life Care, la clientela son miles de ópticas y hospitales, sin concentración relevante.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beneficio de segmento, Information Technology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+14,0 % y beneficio +12,9 %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beneficio de segmento, Life Care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llevaba deterioros de las filiales de endoscopios en EE. UU. y Europa; beneficio +43,3 %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1T, 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debilidad del yen añade unos 9 puntos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Information Technology, ventas del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82.300 M JPY (1T FY2026,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100.950 M JPY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de segmento 55.620 M JPY, +27,8 %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HOYA compite en dos mercados sin relación entre sí. El que más pesa en el beneficio es el de </w:t>
      </w:r>
      <w:r>
        <w:rPr>
          <w:b/>
        </w:rPr>
        <w:t xml:space="preserve">mask blanks</w:t>
      </w:r>
      <w:r>
        <w:t xml:space="preserve"> para fotolitografía de semiconductores (el sustrato de cuarzo con capas reflectantes del que se fabrica cada máscara), dominado por tres empresas japonesas: HOYA, AGC y Shin-Etsu [14, 19]. El segundo es el de </w:t>
      </w:r>
      <w:r>
        <w:rPr>
          <w:b/>
        </w:rPr>
        <w:t xml:space="preserve">lentes oftálmicas</w:t>
      </w:r>
      <w:r>
        <w:t xml:space="preserve">, donde HOYA es la segunda mundial detrás de EssilorLuxottica, y el de lentes de contacto en Japón [14]. No hemos encontrado dos fuentes fiables de tamaño de ninguno de los dos mercados: los informes de mercado de blanks EUV que aparecen en la búsqueda se contradicen entre sí y no los usamos.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Diseños de chips en nodos avanzados (3 y 2 nm)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Information Technology crecieron un 22,7 % en el 1T de FY2027 y las de blanks un 14 % en el 3T de FY2026, con pedidos de Taiwán y Corea [10,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EUV de alta apertura numérica (High-NA)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nueva generación exige blanks con menos defectos, donde HOYA lidera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en discos duros para centros de datos (HAMR)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sustratos de vidrio se recupera con los discos HAMR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y 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control de miopía y progresivas impulsan Life Care (+12,8 % en el 1T de FY2027)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inversión en 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FY2024 el EBIT del grupo bajó un 1,9 % con la corrección de semiconductores y discos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de blanks y dos grandes en lentes; HOYA mantiene más del 75 % del EUV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clientes grandes (TSMC, Samsung, fabricantes de máscaras) que buscan segunda fuente (AGC).</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Cuarzo sintético y materiales especiales con varios proveedores; no hay señal de presión en el margen del 54 %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larga en cada nodo, conocimiento de defectos y capacidad de inspección.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 la máscara EUV a la vista; en lentes, la cirugía refractiva es marginal.</w:t>
            </w:r>
          </w:p>
        </w:tc>
      </w:tr>
    </w:tbl>
    <w:p>
      <w:pPr>
        <w:spacing w:after="160" w:before="0"/>
      </w:pPr>
    </w:p>
    <w:p>
      <w:pPr>
        <w:pStyle w:val="Heading2"/>
      </w:pPr>
      <w:r>
        <w:t xml:space="preserve">Ciclo</w:t>
      </w:r>
    </w:p>
    <w:p>
      <w:pPr>
        <w:spacing w:after="100"/>
      </w:pPr>
      <w:r>
        <w:t xml:space="preserve">Los pedidos de blanks y de sustratos crecen a doble dígito en 2026 por la inversión en IA [10, 20]. En la corrección de 2023-24 (FY2024) el EBIT del grupo cayó solo un 1,9 % porque Life Care compensó [6]: el negocio es menos cíclico que los equipos.</w:t>
      </w:r>
    </w:p>
    <w:p>
      <w:pPr>
        <w:pStyle w:val="Heading2"/>
      </w:pPr>
      <w:r>
        <w:t xml:space="preserve">Regulación</w:t>
      </w:r>
    </w:p>
    <w:p>
      <w:pPr>
        <w:spacing w:after="100"/>
      </w:pPr>
      <w:r>
        <w:t xml:space="preserve">Aranceles de EE. UU. sobre importaciones (HOYA recibió un reembolso en el 1T de FY2027 [10]) y controles de exportación de tecnología de semiconductores a China; en salud, regulación de dispositivos médicos (FDA, MDR europea) para endoscopios y lentes intraoculares.</w:t>
      </w:r>
    </w:p>
    <w:p>
      <w:pPr>
        <w:pStyle w:val="Heading2"/>
      </w:pPr>
      <w:r>
        <w:t xml:space="preserve">Tendencias y disrupción</w:t>
      </w:r>
    </w:p>
    <w:p>
      <w:pPr>
        <w:spacing w:after="100"/>
      </w:pPr>
      <w:r>
        <w:t xml:space="preserve">La litografía EUV de alta apertura numérica y los nodos de 2 nm aumentan el número de capas EUV y la exigencia de defectos, lo que favorece al líder. AGC es la alternativa principal en EUV y los clientes buscan diversificar. En lentes oftálmicas crecen las de control de miopía. En endoscopia, HOYA es tercera detrás de Olympus y Fujifilm y no llega a escala rentable [6].</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mundial en mask blanks EUV (más del 75 %) y en blanks de semiconductores en general (más del 60 %); 2.ª mundial en lentes oftálmicas, detrás de EssilorLuxottica; 3.ª en endoscopia flexible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proveedor de blanks EUV; los blanks son una parte pequeña de un grupo de vidrio y química.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Shin-Etsu Chemical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Blanks de generaciones anteriores y obleas de silicio.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lentes oftálmicas e integrado en monturas y tiendas.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endoscopia gastrointestinal con alrededor del 70 % del mercado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nodo exige calificar el blank con el cliente; cambiar de proveedor retrasa la producción.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capas y control de defectos; más del 75 % del EUV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del 54 % en Information Technology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pequeño en valor con tres proveedores no atrae entrantes.</w:t>
            </w:r>
          </w:p>
        </w:tc>
      </w:tr>
    </w:tbl>
    <w:p>
      <w:pPr>
        <w:spacing w:after="160" w:before="0"/>
      </w:pPr>
    </w:p>
    <w:p>
      <w:pPr>
        <w:pStyle w:val="Heading2"/>
      </w:pPr>
      <w:r>
        <w:t xml:space="preserve">Amenazas</w:t>
      </w:r>
    </w:p>
    <w:p>
      <w:pPr>
        <w:spacing w:after="100"/>
      </w:pPr>
      <w:r>
        <w:t xml:space="preserve">La amenaza principal es que AGC gane cuota en EUV con el apoyo de los clientes que quieren una segunda fuente; un fallo de calidad en un nodo nuevo podría acelerarlo. En lentes, EssilorLuxottica tiene más escala y canal propio. En endoscopia, HOYA ya ha hecho deterioros y podría salir del negocio [6].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FY2022-FY2026: ingresos </w:t>
      </w:r>
      <w:r>
        <w:rPr>
          <w:b/>
          <w:bCs/>
        </w:rPr>
        <w:t xml:space="preserve">9,4 %</w:t>
      </w:r>
      <w:r>
        <w:t xml:space="preserve">, EBITDA </w:t>
      </w:r>
      <w:r>
        <w:rPr>
          <w:b/>
          <w:bCs/>
        </w:rPr>
        <w:t xml:space="preserve">8,3 %</w:t>
      </w:r>
      <w:r>
        <w:t xml:space="preserve">, BPA </w:t>
      </w:r>
      <w:r>
        <w:rPr>
          <w:b/>
          <w:bCs/>
        </w:rPr>
        <w:t xml:space="preserve">13,6 %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crecieron de 661.466 M JPY en FY2022 a 947.749 M JPY en FY2026 [1, 3], casi todo orgánico y con viento de cola de la divisa: el yen pasó de ≈ 112 a ≈ 150 por dólar en el periodo. FY2024 fue el año flojo (ventas +5,4 %, EBIT −1,9 %) por la corrección de la demanda de semiconductores y de discos duros [4]. Desde entonces el margen EBIT ha subido de 26,8 % a 29,1 % (FY2026) por la mezcla hacia EUV y por la recuperación de Life Care tras los deterioros de endoscopios de FY2025 [4, 6]. El resultado antes de impuestos crece más que el EBIT porque los ingresos financieros netos de una caja de ≈ 574.000 M JPY, sobre todo en divisas, sumaron 52.164 M JPY en FY2026 [1, 4]. En el 1T de FY2027 (abr-jun 2026) las ventas subieron un 16 % (7 % a tipos constantes), el resultado antes de impuestos un 28 % (20 % a tipos constantes) y el beneficio neto 65.790 M JPY, con un reembolso extraordinario de aranceles de EE. UU. [10].</w:t>
      </w:r>
    </w:p>
    <w:p>
      <w:pPr>
        <w:pStyle w:val="Heading2"/>
      </w:pPr>
      <w:r>
        <w:t xml:space="preserve">Ajustes y partidas no recurrentes</w:t>
      </w:r>
    </w:p>
    <w:p>
      <w:pPr>
        <w:spacing w:after="100"/>
      </w:pPr>
      <w:r>
        <w:t xml:space="preserve">HOYA publica en NIIF y presenta los gastos por naturaleza, sin línea de coste de ventas: el EBIT de esta tabla es el beneficio operativo que calcula Stockopedia [4], y el resultado financiero es la diferencia hasta el resultado antes de impuestos publicado (estimación propia). Los impuestos de FY2025 y FY2026 son el resultado antes de impuestos menos el beneficio atribuido (los minoritarios son pequeños: 14.544 M JPY de patrimonio [9]). Las amortizaciones salen de Investing con etiquetas de año dudosas [8]. FY2025 incluye deterioros de endoscopios dentro del EBIT que no hemos podido cuantificar. El BPA es el diluido publicado [2]. El LTM de jun-26 suma al FY2026 el 1T de FY2027 menos el 1T de FY2026 derivado de los crecimientos publicados [10]; beneficio neto y FCF LTM de Stock Analysis [12].</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los resultados del 1T de FY2027 (31-jul-2026) HOYA dio una guía para el primer semestre de 521.000 M JPY de ventas y 170.000 M JPY de resultado antes de impuestos, y anunció una recompra de hasta 200.000 M JPY y 10 M de acciones [10, 15]. El BPA del trimestre (196,61 JPY) superó el consenso (180,97 JPY) [10]. La dirección señaló como motores las lentes oftálmicas, los blanks EUV, los sustratos para discos duros y las ópticas, y avisó de que parte de la mejora del beneficio venía de un reembolso de aranceles de EE. UU. que no se repite [10]. En la presentación anual (30-abr-2026) explicó la planta de EUV de Singapur y el plan de devolver la caja sobrante en tres años, sobre todo con recompras [5, 6]. No hemos podido leer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1.300.897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1.020.460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Balance de caja neta: 574.092 M JPY de caja frente a ≈ 42.200 M JPY de arrendamientos a mar-26 [6, 11]. La caja sube aunque la empresa recompró unos 200.000 M JPY de acciones entre 2025 y 2026, porque genera más de 220.000 M JPY de caja libre al año [8, 15]. Las existencias crecieron un 6,4 % (7.931 M JPY) y los deudores 32.468 M JPY en FY2026, por encima de las ventas [9].</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FY2022-FY2026: FCF </w:t>
      </w:r>
      <w:r>
        <w:rPr>
          <w:b/>
          <w:bCs/>
        </w:rPr>
        <w:t xml:space="preserve">920.323</w:t>
      </w:r>
      <w:r>
        <w:t xml:space="preserve">, conversión </w:t>
      </w:r>
      <w:r>
        <w:rPr>
          <w:b/>
          <w:bCs/>
        </w:rPr>
        <w:t xml:space="preserve">95 %</w:t>
      </w:r>
      <w:r>
        <w:t xml:space="preserve"> del beneficio neto; adquisiciones 0, dividendos 0, recompras 0.</w:t>
      </w:r>
    </w:p>
    <w:p>
      <w:pPr>
        <w:spacing w:after="100"/>
      </w:pPr>
      <w:r>
        <w:t xml:space="preserve">El flujo operativo pasó de 190.055 M JPY (FY2022) a 278.446 M JPY (FY2026) y el capex de 28.872 M a 56.581 M JPY [8]: la inversión se ha duplicado por la capacidad de EUV y de sustratos, pero sigue en el 6 % de las ventas. La caja libre antes de arrendamientos subió de ≈ 161.000 M a ≈ 222.000 M JPY y supera el beneficio neto menos de lo habitual (conversión ≈ 88 % en FY2026). En los últimos 12 meses a jun-26, flujo operativo 291.200 M, capex 54.400 M y caja libre 236.900 M JPY [12]. No hemos encontrado los pagos de arrendamientos (≈ 15.000 M JPY estimados por el pasivo de 42.200 M JPY): la caja libre de esta tabla los incluye. La planta de EUV de Singapur (≈ 42.000 M JPY) sube el capex de FY2027-FY2028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Con cinco ejercicios de cuenta y dos de balance incompletos, el motor no puede calcular bien Altman, Piotroski ni Beneish. Lo que sí se ve: el flujo operativo supera al beneficio neto todos los años (278.446 frente a 253.085 M JPY en FY2026) [2, 8], la remuneración en acciones es pequeña y no hay capitalización de I+D relevante conocida. Señales a vigilar: la parte del resultado antes de impuestos que viene de ingresos financieros y de diferencias de cambio (52.164 M JPY en FY2026, el 16 %) y el reembolso de aranceles del 1T de FY2027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resultado financiero y de las diferencias de cambio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52.164 M JPY en FY2026, el 16 % del resultado antes de impuestos; depende del yen y de los tipos del dólar.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 no recurrente en el 1T de FY2027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de aranceles de EE. UU. que la propia empresa separa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8,0 %.</w:t>
      </w:r>
    </w:p>
    <w:p>
      <w:pPr>
        <w:spacing w:after="100"/>
      </w:pPr>
      <w:r>
        <w:t xml:space="preserve">HOYA crea mucho valor: el ROIC fue del 45,2 % en FY2026 y del 43,5 % en FY2025, frente a un WACC del 8,0 %, 37,2 puntos por encima. El capital invertido es pequeño (470.387 M JPY frente a ventas de 947.749 M) porque el negocio de blanks y lentes necesita poco activo fijo y el circulante es bajo. El ROE (25,4 %) es menor que el ROIC porque los 574.092 M JPY de caja rinden poco: la devolución de esa caja con recompras sube el ROE sin cambiar el negocio. No podemos calcular el ROIC de FY2022-FY2024 ni el incremental por falta de balances (hueco), pero el NOPAT creció de 149.609 M a 212.794 M JPY en cuatro años con un capex acumulado de 179.050 M JPY en FY2023-FY2026 [8]. Los comparables de óptica y salud tienen ROIC del 4-5 % [33].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574.092 M JPY a 31-mar-2026, sin deuda bancaria relevante; la deuda con intereses (≈ 42.200 M JPY) es casi toda arrendamientos [6,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buscado (sin deuda emitida relevante).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El patrimonio es el 78,4 % del activo [9]. La única deuda con intereses son ≈ 42.200 M JPY (Yahoo y EDINET DB [11]), que tratamos como arrendamientos NIIF 16 porque HOYA no tiene bonos ni préstamos relevantes. No hemos encontrado pensiones ni litigios materiales en las búsquedas. El patrimonio de FY2025 (971.629 M JPY) es el total, con minoritarios; otra fuente da 974.023 M JPY de patrimonio atribuido, incoherente con el total [9].</w:t>
      </w:r>
    </w:p>
    <w:p>
      <w:pPr>
        <w:pStyle w:val="Heading1"/>
      </w:pPr>
      <w:r>
        <w:t xml:space="preserve">12. Asignación de capital</w:t>
      </w:r>
    </w:p>
    <w:p>
      <w:pPr>
        <w:pStyle w:val="Confianza"/>
        <w:spacing w:after="100"/>
      </w:pPr>
      <w:r>
        <w:t xml:space="preserve">Confianza: Media</w:t>
      </w:r>
    </w:p>
    <w:p>
      <w:pPr>
        <w:spacing w:after="100"/>
      </w:pPr>
      <w:r>
        <w:t xml:space="preserve">Dividendo con un objetivo de reparto del 40 % según Finboard [13]; el de FY2026 subió a 295 JPY desde 160 JPY [5]. En abril de 2026 la empresa dijo que devolverá la caja sobrante en tres años, sobre todo con recompras [6]. Recompras recientes: 100.000 M JPY entre febrero y abril de 2026 (3,58 M de acciones, amortizadas el 15-may-2026) y un programa nuevo de hasta 200.000 M JPY y 10 M de acciones (2,99 %) del 3-ago-2026 al 24-mar-2027, del que hasta el 31-ago se habían comprado 973.500 acciones por 24.998 M JPY [15, 16]. Todas las acciones recompradas se amortizan.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340,3</w:t>
            </w:r>
          </w:p>
        </w:tc>
      </w:tr>
    </w:tbl>
    <w:p>
      <w:pPr>
        <w:spacing w:after="160" w:before="0"/>
      </w:pPr>
    </w:p>
    <w:p>
      <w:pPr>
        <w:spacing w:after="100"/>
      </w:pPr>
      <w:r>
        <w:t xml:space="preserve">Buena asignación: la empresa no hace compras grandes, invierte lo justo en capacidad de EUV y devuelve la caja. Entre la recompra de 100.000 M JPY de 2026 y el programa de 200.000 M JPY en curso, más un dividendo de 295 JPY (≈ 98.000 M JPY), devolverá más del 100 % de su caja libre anual [15, 17]. Las acciones diluidas bajaron de 368,9 M en FY2022 a 340,3 M en FY2026 (−7,8 %). El único borrón es Pentax Medical, con deterioros en FY2025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Eiichiro Ikeda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primer ejecutivo (CEO)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Propuesto de nuevo como consejero y primer ejecutivo en la junta del 26-jun-2026 [9]. Con él al frente, el beneficio antes de impuestos subió un 26 % en FY2026 y la empresa duplicó el dividendo y aceleró las recompras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anual elevada con los resultados del 3T (30-ene-2026)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antes de impuestos 327.668 M JPY (+26 %), por encima de lo esperado por los analistas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1S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521.000 M JPY y resultado antes de impuestos 170.000 M JPY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(30-oct-2026); el 1T llevó el 49 % de la guía de ventas y el 51 % de la de beneficio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HOYA da guía solo semestral y la ha superado en los últimos ejercicios [5, 23]. La dirección es pequeña y la sucesión pasa por la comisión de nombramientos, con mayoría de externos [18]. No hemos podido verificar la trayectoria del resto del equipo (director financiero, responsables de segmento) ni su participación en el capital.</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Eiichiro Ikeda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96,9 %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HOYA no tiene accionista de control y su capital es mayoritariamente institucional; una sola clase de acciones. Es una «company with nomination committee, etc.»: la junta de 2026 eligió siete consejeros y, por ley, las comisiones de nombramientos, retribuciones y auditoría tienen mayoría de consejeros externos [9, 18]. No hemos podido verificar cuántos consejeros son ejecutivos. En la junta de 2024 la reelección del CEO obtuvo el 96,87 % de los votos a favor [24]. No hay registro público de operaciones de directivos en Japón.</w:t>
      </w:r>
    </w:p>
    <w:p>
      <w:pPr>
        <w:pStyle w:val="Heading2"/>
      </w:pPr>
      <w:r>
        <w:t xml:space="preserve">Señales de alerta</w:t>
      </w:r>
    </w:p>
    <w:p>
      <w:pPr>
        <w:pStyle w:val="ListParagraph"/>
        <w:numPr>
          <w:ilvl w:val="0"/>
          <w:numId w:val="2"/>
        </w:numPr>
        <w:spacing w:after="60"/>
      </w:pPr>
      <w:r>
        <w:t xml:space="preserve">Ninguna relevante detectada en las búsquedas (sin acceso al informe de gobierno ni a los registros completos).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HOYA da guía semestral, no anual, al publicar el 1T. Para el primer semestre de FY2027 (abr-sep 2026): ventas de 521.000 M JPY y resultado antes de impuestos de 170.000 M JPY [27]. Con el 1T publicado (255.700 M y 86.000 M JPY), la guía implica para el 2T unas ventas de 265.300 M JPY (+3,8 % sobre el 1T) y un resultado antes de impuestos de 84.000 M JPY, por debajo del 1T porque este llevaba el reembolso de aranceles [27]. No hay plan a medio plazo con cifras; el objetivo de crecimiento de los blanks EUV citado por la prensa es de dos dígitos [27]. Resultados del 2T: 30-oct-2026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consenso del próximo ejercicio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1.037.785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27.771,00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22.000,00 – 31.500,00</w:t>
            </w:r>
          </w:p>
        </w:tc>
      </w:tr>
    </w:tbl>
    <w:p>
      <w:pPr>
        <w:spacing w:after="160" w:before="0"/>
      </w:pPr>
    </w:p>
    <w:p>
      <w:pPr>
        <w:pStyle w:val="Heading2"/>
      </w:pPr>
      <w:r>
        <w:t xml:space="preserve">Revisiones de estimaciones</w:t>
      </w:r>
    </w:p>
    <w:p>
      <w:pPr>
        <w:spacing w:after="100"/>
      </w:pPr>
      <w:r>
        <w:t xml:space="preserve">Solo hemos encontrado una fuente con BPA de consenso (Stockopedia, 791 JPY para el próximo ejercicio) [28]. Los objetivos de precio difieren entre fuentes: 27.771 JPY de media con 14 analistas en Investing (rango 22.000-31.500; 12 compras y 3 mantener en tres meses) [29], 30.200-30.553 JPY con 16 analistas en Stock Analysis [30] y 29.594 JPY en Stockopedia [28]. Usamos Investing por ser la más reciente y la más baja. En septiembre SBI inició cobertura con opinión favorable por los sustratos de discos duros [26]. No hay datos de revisiones de BPA a 3 y 12 meses.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r>
    </w:tbl>
    <w:p>
      <w:pPr>
        <w:spacing w:after="160" w:before="0"/>
      </w:pPr>
    </w:p>
    <w:p>
      <w:pPr>
        <w:spacing w:after="160" w:before="0"/>
      </w:pPr>
    </w:p>
    <w:p>
      <w:pPr>
        <w:spacing w:after="100"/>
      </w:pPr>
      <w:r>
        <w:t xml:space="preserve">Hasta el 2-oct-2026 la acción subía un 2,7 % en el año frente al +35,7 % del Nikkei 225 [25]. Tocó ≈ 30.000 JPY en abril tras unos resultados anuales récord, cayó a 22.605 JPY el 18-sep (mínimo del año) y rebotó a 25.055 JPY el 9-oct [26]. El rango de 52 semanas es 21.040-30.400 JPY [31]. El mercado japonés lo han llevado los fabricantes de equipos de semiconductores y los bancos; HOYA, con dos tercios de su valor en óptica y salud, se ha quedado atrás pese a crecer al 16 % en el 1T.</w:t>
      </w:r>
    </w:p>
    <w:p>
      <w:pPr>
        <w:pStyle w:val="Heading1"/>
      </w:pPr>
      <w:r>
        <w:t xml:space="preserve">18. Comparables cotizados</w:t>
      </w:r>
    </w:p>
    <w:p>
      <w:pPr>
        <w:pStyle w:val="Confianza"/>
        <w:spacing w:after="100"/>
      </w:pPr>
      <w:r>
        <w:t xml:space="preserve">Confianza: Baja</w:t>
      </w:r>
    </w:p>
    <w:p>
      <w:pPr>
        <w:spacing w:after="100"/>
      </w:pPr>
      <w:r>
        <w:t xml:space="preserve">Dos grupos, porque HOYA tiene dos negocios: óptica y salud (EssilorLuxottica, rival directo en lentes oftálmicas; Alcon, Cooper y Bausch + Lomb, en lentes de contacto; Terumo y Fujifilm, en tecnología médica japonesa) y semiconductores (KLA, proveedor de inspección de máscaras y obleas; Applied Materials se descarta porque su EV/EBITDA de los últimos 12 meses, 46,5x, y el de los próximos, 25,1x, vienen de definiciones distintas). No hay comparables puros de blanks: AGC y Shin-Etsu son conglomerados químicos donde los blanks pesan poco, y no encontramos sus cifras a la fecha. Las cifras se toman de los informes del repo de Olympus (9-oct), Cooper (9-oct), Fielmann (9-oct) y ASML (14-oct), convertidas a yenes a 158,30 JPY/USD y 180,1 JPY/EUR [32, 33, 34, 35]. Alcon y Bausch + Lomb no tienen PER a 12 meses en su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8.365.113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36.119.055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11,3x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13.836,91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17,8x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12.102,30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18.588,50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2,8x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10.255,25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HOYA cotiza a un PER de 31,7x a 12 meses vista y a 22,4x EV/EBITDA de los últimos 12 meses, frente a una mediana de 17,8x y 11,3x de sus comparables de óptica y salud. La prima se explica por el margen EBITDA (36 % frente al 23 %), el ROIC (45 % frente al 5 %) y la exposición a semiconductores: KLA cotiza a 31,9x. Ninguno combina las dos cosas, así que el valor por comparables (14.079,80 JPY con el PER mediano) es un suelo, no una referencia central. Si el mercado deja de pagar a HOYA como a una empresa de semiconductores, ese es el riesgo de múltiplo.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9,4 % anual entre FY2022 y FY2026 [3], con 2-3 puntos al año de la debilidad del yen; a tipos constantes, el 1T de FY2027 creció un 7 % [10]. Proyectamos un 9,5 % en FY2027e (el 1T creció un 16 % con divisa y la guía del semestre implica un 2T más plano [27]), un 8,0 % en FY2028e con la planta de EUV de Singapur y después una bajada gradual hasta el 3,0 % en FY2036e. Es la media del 6,1 %, en línea con la historia a tipos constantes.</w:t>
      </w:r>
    </w:p>
    <w:p>
      <w:pPr>
        <w:keepNext/>
        <w:spacing w:after="100"/>
      </w:pPr>
      <w:r>
        <w:rPr>
          <w:b/>
          <w:bCs/>
        </w:rPr>
        <w:t xml:space="preserve">Márgenes.</w:t>
      </w:r>
    </w:p>
    <w:p>
      <w:pPr>
        <w:spacing w:after="100"/>
      </w:pPr>
      <w:r>
        <w:t xml:space="preserve">El margen EBITDA pasó del 36,7 % de FY2022 al 33,0 % de FY2024 (corrección de semiconductores) y volvió al 35,2 % en FY2026; en los últimos 12 meses es del 36,1 % [4, 8]. Suponemos un 36,8-37,2 % por la mezcla: Information Technology tiene un margen de segmento del 54 % y crece el doble que Life Care [6]. Al final volvemos al 36,5 %, por si AGC gana cuota en EUV.</w:t>
      </w:r>
    </w:p>
    <w:p>
      <w:pPr>
        <w:keepNext/>
        <w:spacing w:after="100"/>
      </w:pPr>
      <w:r>
        <w:rPr>
          <w:b/>
          <w:bCs/>
        </w:rPr>
        <w:t xml:space="preserve">Inversión y circulante.</w:t>
      </w:r>
    </w:p>
    <w:p>
      <w:pPr>
        <w:spacing w:after="100"/>
      </w:pPr>
      <w:r>
        <w:t xml:space="preserve">El capex subió del 4,4 % de las ventas (FY2022) al 6,0 % (FY2026) [8]; lo subimos al 7,5 % en FY2027e-FY2028e por la planta de EUV de Singapur (≈ 42.000 M JPY [6]) y lo dejamos en el 6,5 %, por encima de una amortización del 6,2-6,4 %. El circulante, en el 14 % de las ventas que da el último balance.</w:t>
      </w:r>
    </w:p>
    <w:p>
      <w:pPr>
        <w:keepNext/>
        <w:spacing w:after="100"/>
      </w:pPr>
      <w:r>
        <w:rPr>
          <w:b/>
          <w:bCs/>
        </w:rPr>
        <w:t xml:space="preserve">Coste del capital.</w:t>
      </w:r>
    </w:p>
    <w:p>
      <w:pPr>
        <w:spacing w:after="100"/>
      </w:pPr>
      <w:r>
        <w:t xml:space="preserve">Tasa libre: bono japonés a 10 años del 3,089 % (Ministerio de Hacienda, 8-oct-2026 [38]). Beta de 0,9 (estimación propia: no hemos podido calcularla; el negocio de óptica y salud es defensivo y el de semiconductores, cíclico) y prima de mercado del 5,5 %. Sin deuda financiera: coste de los fondos propios ≈ WACC del 8,0 %. Con la prima implícita del mercado (4,2 % [39]) el WACC baja al 6,8 %.</w:t>
      </w:r>
    </w:p>
    <w:p>
      <w:pPr>
        <w:keepNext/>
        <w:spacing w:after="100"/>
      </w:pPr>
      <w:r>
        <w:rPr>
          <w:b/>
          <w:bCs/>
        </w:rPr>
        <w:t xml:space="preserve">Valor terminal.</w:t>
      </w:r>
    </w:p>
    <w:p>
      <w:pPr>
        <w:spacing w:after="100"/>
      </w:pPr>
      <w:r>
        <w:t xml:space="preserve">Crecimiento terminal del 2,5 %: crecimiento real del 0,5-1 % más una inflación esperada en Japón cercana al 2 %, y por debajo de la tasa libre menos medio punto (2,6 %). El múltiplo de salida implícito es alto porque el negocio apenas necesita inversión neta.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3.467.914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22.670,16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20.288,81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16.829,48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19.801,45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21.124,49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21.786,01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156.983 M (5 % del NOPAT)</w:t>
            </w:r>
          </w:p>
        </w:tc>
      </w:tr>
    </w:tbl>
    <w:p>
      <w:pPr>
        <w:spacing w:after="160" w:before="0"/>
      </w:pPr>
    </w:p>
    <w:p>
      <w:pPr>
        <w:spacing w:after="100"/>
      </w:pPr>
      <w:r>
        <w:t xml:space="preserve">La proyección apenas necesita inversión neta de la amortización (reinversión acumulada de 156.983 M, el 5 % del NOPAT, con un capex bruto medio del 6,8 % de las ventas). En un negocio de activos ligeros, el crecimiento medio del 6,0 %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(blanks EUV y sustratos para discos, +22,7 % en el 1T de Information Technology [10]), 1,5 % de precio en lentes y 3 puntos de divisa (el 1T creció un 16 % publicado frente al 7 % a tipos constantes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la capacidad de EUV de Singapur [6]: 6 % de volumen, 1,5 % de precio y medio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por la adopción de High-NA y de nodos de 2 nm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madurez de la demanda de discos HAMR.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5 % y precio del 1,5 %.</w:t>
            </w:r>
          </w:p>
        </w:tc>
      </w:tr>
    </w:tbl>
    <w:p>
      <w:pPr>
        <w:spacing w:after="160" w:before="0"/>
      </w:pPr>
    </w:p>
    <w:p>
      <w:pPr>
        <w:spacing w:after="100"/>
      </w:pPr>
      <w:r>
        <w:t xml:space="preserve">La proyección apenas necesita capital: la reinversión acumulada es el 5 % del NOPAT, así que el motor no hace la prueba de financiación y la hacemos a mano. Con un ROIC del 45,2 % y esa reinversión, el crecimiento financiable es del ≈ 2,3 %; el resto (hasta el 6,1 %) tiene que venir de precio y de volumen con capacidad existente, como ha pasado en FY2022-FY2026, cuando las ventas crecieron un 9,4 % anual con un capex del 4-6 % de las ventas [3, 8]. La cuota en blanks EUV (más del 75 % [14]) no tiene que subir: el crecimiento lo pone el mercado (más capas EUV por chip). El margen de Information Technology, estable por encima del 54 % [6], muestra poder de precios. Veredicto: sí, la calidad sostiene el crecimiento proyectado.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 (base: 36,5 %)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8,0 %)</w:t>
            </w:r>
          </w:p>
        </w:tc>
      </w:tr>
    </w:tbl>
    <w:p>
      <w:pPr>
        <w:spacing w:after="160" w:before="0"/>
      </w:pPr>
    </w:p>
    <w:p>
      <w:pPr>
        <w:spacing w:after="100"/>
      </w:pPr>
      <w:r>
        <w:t xml:space="preserve">El DCF da 17.859,10 JPY por acción, un 28,7 % por debajo del precio, con el valor terminal en el 63 % del valor. El DCF inverso dice que el precio de 25.055 JPY descuenta un crecimiento de ventas del 11,0 % anual durante diez años (frente a nuestro 6,1 %) o un margen EBITDA del 49,2 % (frente al 36,5 %), y una rentabilidad implícita del 6,4 %, por debajo de nuestro WACC del 8,0 % y del 6,8 % que pide el mercado. Es exigente: HOYA creció un 9,4 % anual en FY2022-FY2026 con la ayuda del yen, y un 7 % a tipos constantes en el último trimestre. El precio supone que los blanks EUV crecen a doble dígito durante una década. Con la prima implícita del mercado el valor sube a 22.386,54 JPY, aún un 10,6 % por debajo. Lo que más mueve el valor es la tasa libre: con el bono japonés al 3,1 %, el múltiplo de 30 veces beneficios que el mercado pagaba con tipos cero ya no se sostiene en el DCF.</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chips frenan nuevos diseños en 2027 tras el gasto en IA, AGC gana un cliente de EUV y el yen se aprecia: crecimiento 3 puntos menor cada año y margen 2,5 puntos más bajo, como en FY2024 (EBIT −1,9 %).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blanks EUV crecen a doble dígito con la planta de Singapur desde FY2028, Life Care al 5-6 % y el margen EBITDA se queda en el 37 %.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21.124,49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litografía High-NA y los discos HAMR aceleran la demanda: 2 puntos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JPY) · precio actual 25.05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17.421,98 JPY (-30,5 %).</w:t>
      </w:r>
    </w:p>
    <w:p>
      <w:pPr>
        <w:spacing w:after="100"/>
      </w:pPr>
      <w:r>
        <w:t xml:space="preserve">Los tres escenarios del DCF quedan por debajo del precio: el alcista (21.124,49 JPY) pierde un 15,7 % y el bajista (12.845,23 JPY) un 48,7 %. La asimetría del valor intrínseco es negativa. A 12 meses, con el método de PER propio, la asimetría es de 1,43 veces (+28,0 % en el alcista frente a −17,6 % en el bajista) porque el múltiplo de partida (31,5x) es el que el mercado paga hoy. La diferencia entre las dos lecturas es el corazón de la tesis: el precio se sostiene por el múltiplo, no por los flujos.</w:t>
      </w:r>
    </w:p>
    <w:p>
      <w:pPr>
        <w:pStyle w:val="Heading1"/>
      </w:pPr>
      <w:r>
        <w:t xml:space="preserve">22. Suma de partes</w:t>
      </w:r>
    </w:p>
    <w:p>
      <w:pPr>
        <w:pStyle w:val="Confianza"/>
        <w:spacing w:after="100"/>
      </w:pPr>
      <w:r>
        <w:t xml:space="preserve">Confianza: Baja</w:t>
      </w:r>
    </w:p>
    <w:p>
      <w:pPr>
        <w:spacing w:after="100"/>
      </w:pPr>
      <w:r>
        <w:t xml:space="preserve">No la hacemos: sin comparables puros de blanks y sin el desglose de flujos por segmento, una suma de partes repetiría el DCF con más incertidumbre.</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JPY) · precio actual 25.05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22.386,54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25.180,28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16.972,10 JPY (-32,3 % sobre 25.055,00).</w:t>
      </w:r>
    </w:p>
    <w:p>
      <w:pPr>
        <w:spacing w:after="100"/>
      </w:pPr>
      <w:r>
        <w:t xml:space="preserve">Pesamos el DCF un 50 %, los escenarios un 30 % y los comparables un 20 %. El DCF es el método más fiable para un negocio con caja neta, ROIC del 45,2 % y un crecimiento visible, aunque depende mucho de la tasa libre japonesa (3,089 % [38]). Los comparables pesan poco porque ninguno tiene la mezcla de HOYA: los de óptica y salud cotizan a un PER mediano de 17,8x con márgenes EBITDA del 23 %, frente al 35 % de HOYA, y KLA, el único de semiconductores, a 31,9x. Las transacciones no se usan (hueco). La dispersión es grande: de 14.079,80 JPY por comparables a 22.386,54 JPY con la prima implícita del mercado, todos por debajo del precio (25.055 JPY). El mercado paga a HOYA como a un proveedor de semiconductores de calidad, no como a una empresa de óptica.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17.227,98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(31.5x) a mitad de camino hacia abajo, hacia la mediana de 5 años (29.1x)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26.329,19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28.073,56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spacing w:after="100"/>
      </w:pPr>
      <w:r>
        <w:rPr>
          <w:b/>
          <w:bCs/>
        </w:rPr>
        <w:t xml:space="preserve">Objetivo a 12 meses (ponderado):</w:t>
      </w:r>
      <w:r>
        <w:t xml:space="preserve"> 24.489,98 JPY · rentabilidad -1,1 % (base +6,3 %) · señal Mantener.</w:t>
      </w:r>
    </w:p>
    <w:p>
      <w:pPr>
        <w:spacing w:after="100"/>
      </w:pPr>
      <w:r>
        <w:t xml:space="preserve">Para comparar, con la regla v2 (historia al cierre, mismo precio): 26,7x / 31,5x / 34,3x, 7,8 % Mantener. Decide la regla vigente (v3 con tope ×1,1; METODO-VIGENTE.md).</w:t>
      </w:r>
    </w:p>
    <w:p>
      <w:pPr>
        <w:keepNext/>
        <w:spacing w:after="100"/>
      </w:pPr>
      <w:r>
        <w:rPr>
          <w:b/>
          <w:bCs/>
        </w:rPr>
        <w:t xml:space="preserve">Frente al consenso (solo contraste).</w:t>
      </w:r>
    </w:p>
    <w:p>
      <w:pPr>
        <w:spacing w:after="100"/>
      </w:pPr>
      <w:r>
        <w:t xml:space="preserve">Nuestro BPA de FY2027e (796 JPY) coincide con el del consenso (791 JPY, Stockopedia [28]): no discrepamos en las cifras del próximo año. Nuestro precio base (27.371,93 JPY) queda un 1,4 % por debajo del objetivo medio de los analistas (27.771 JPY, 14 analistas en Investing [29]), dentro de nuestro rango. La diferencia es de múltiplo: usamos el PER actual (31,5x), por debajo de la mediana de cinco años (36,6x), mientras otros proveedores dan objetivos de hasta 30.553 JPY [30].</w:t>
      </w:r>
    </w:p>
    <w:p>
      <w:pPr>
        <w:keepNext/>
        <w:spacing w:after="100"/>
      </w:pPr>
      <w:r>
        <w:rPr>
          <w:b/>
          <w:bCs/>
        </w:rPr>
        <w:t xml:space="preserve">Del valor intrínseco al objetivo a 12 meses.</w:t>
      </w:r>
    </w:p>
    <w:p>
      <w:pPr>
        <w:spacing w:after="100"/>
      </w:pPr>
      <w:r>
        <w:t xml:space="preserve">El objetivo a 12 meses (26.719,23 JPY, +7,8 % con dividendo) está un 57 % por encima del valor intrínseco (16.972,10 JPY): el precio de hoy ya paga un PER de 31,5x que el DCF no justifica con un WACC del 8,0 % y una tasa libre japonesa del 3,1 %. Para que el valor intrínseco alcance al precio haría falta un crecimiento de ventas del 11,0 % anual durante diez años, casi el doble de nuestro 6,1 %. No hay un catalizador que cierre esa distancia hacia arriba; el riesgo es que el múltiplo converja hacia el de los comparables (17,8x).</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de FY2027 y del primer semestre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la guía del semestre (521.000 M JPY de ventas y 170.000 M de resultado antes de impuestos) sin el reembolso de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(fin)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y guía anual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también suele anunciar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recompra de hasta 200.000 M JPY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2,99 % del capital, apoyo al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masa en la planta de EUV de Singapur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para el crecimiento de High-NA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el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−17,6 % (bajista a 12 meses, PER de 26,7x)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del beneficio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27x sin cambio en los beneficios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en los diseños de chips avanzados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−48,7 % en el valor intrínseco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Life Care (62 % de las ventas) amortigua, como en FY2024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Information Technology con crecimiento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AGC gana cuota en blanks EUV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(estimación propia: 2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por nodo y liderazgo en defectos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Information Technology por debajo del 50 %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del BPA (9 puntos de crecimiento del 1T fueron divisa [10])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el extranjero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la tasa libre japonesa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−12 % por cada medio punto más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Endoscopios Pentax sin escala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o cierre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deterioros</w:t>
            </w:r>
          </w:p>
        </w:tc>
      </w:tr>
    </w:tbl>
    <w:p>
      <w:pPr>
        <w:spacing w:after="160" w:before="0"/>
      </w:pPr>
    </w:p>
    <w:p>
      <w:pPr>
        <w:pStyle w:val="Heading2"/>
      </w:pPr>
      <w:r>
        <w:t xml:space="preserve">Pre-mortem</w:t>
      </w:r>
    </w:p>
    <w:p>
      <w:pPr>
        <w:spacing w:after="100"/>
      </w:pPr>
      <w:r>
        <w:t xml:space="preserve">Octubre de 2029: la acción ha perdido un 40 %. En 2027 los fabricantes de chips frenaron los nuevos diseños tras dos años de gasto en IA, y los pedidos de blanks EUV cayeron justo cuando entraba la capacidad de Singapur. AGC, con un cliente coreano que buscaba segunda fuente, ganó cuota en el nodo de 2 nm. El yen se recuperó hasta 135 por dólar y restó 8 puntos al crecimiento publicado. El beneficio por acción se quedó plano en 800 JPY durante dos años y el mercado, con el bono japonés por encima del 3,5 %, dejó de pagar 30 veces y pasó a pagar 20, el múltiplo de los comparables de óptica. La recompra no lo compensó. Las señales que lo habrían anticipado: el margen de Information Technology por debajo del 50 %, la caída de los pedidos de Taiwán y Corea en las presentaciones y el crecimiento a tipos constantes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más materiales son la seguridad de los productos médicos (endoscopios y lentes intraoculares), el consumo de energía y agua de las plantas de vidrio y blanks, y el gobierno corporativo, que en HOYA es un punto fuerte (mayoría de consejeros externos) [18]. No hemos encontrado calificaciones ESG con fecha en la búsqueda.</w:t>
      </w:r>
    </w:p>
    <w:p>
      <w:pPr>
        <w:pStyle w:val="Heading2"/>
      </w:pPr>
      <w:r>
        <w:t xml:space="preserve">Controversias</w:t>
      </w:r>
    </w:p>
    <w:p>
      <w:pPr>
        <w:spacing w:after="100"/>
      </w:pPr>
      <w:r>
        <w:t xml:space="preserve">No hemos encontrado sanciones ni litigios relevantes de los últimos tres años en las búsquedas hechas; la revisión es limitada (sin acceso a la web de la empresa ni a la prensa japonesa completa).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blanks viene de nuevos diseños y cuál de High-NA, y qué cuota tiene AGC en los nodos de 2 nm?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depende del yen débil?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puntos del crecimiento del 1T fueron divisa.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caja operativa mínima y cuánta queda por devolver tras el programa de 200.000 M JPY?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dilución negativa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salida de Pentax Medical?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FY2025 y tercer lugar del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financieros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52.164 M JPY de resultado financiero es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un 16 % del resultado antes de impuestos.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Yahoo!ファイナンス掲示板 (foro de 7741)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con la acción en mínimos del año, los mensajes temen otra caída fuerte tras el rebote y algunos creen que el mercado descuenta un deterioro futuro del beneficio por el cambio de entorno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 situada para la demanda de IA y centros de datos (blanks EUV y sustratos para discos HAMR), pero con poco recorrido inmediato por valoración tras subir más de un 50 % en 18 meses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HOYA)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ven Information Technology como beneficiaria de la IA y destacan el crecimiento del segmento; cifras sin fuente que no usamos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IFIS株予報 y Kabuyoho (valoración de particulares y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Califican la acción de barata por objetivo de precio y PBR, con una opinión media de 4,7 sobre 5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septiembre y miedo a un pico de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de FY2027 creció un 16 % en ventas y un 28 % en resultado antes de impuestos, pero 9 puntos del crecimiento son divisa y hubo un reembolso de aranceles [A10]: la preocupación por la calidad del crecimiento tiene base, no la de un pico inmediato.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blanks EUV</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Information Technology creció un 22,7 % en el 1T con un margen del 55 % y HOYA tiene más del 75 % del EUV [A10, A14]: el entusiasmo está respaldado por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25.055 JPY la acción cotiza a unas 32 veces nuestro BPA de FY2027e, por debajo de su mediana de 36,6 veces en 2021-2025 [D12, D13].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hasta 200.000 M JPY hasta mar-27, un 2,4 % de la capitalización [A15].</w:t>
            </w:r>
          </w:p>
        </w:tc>
      </w:tr>
    </w:tbl>
    <w:p>
      <w:pPr>
        <w:spacing w:after="160" w:before="0"/>
      </w:pPr>
    </w:p>
    <w:p>
      <w:pPr>
        <w:spacing w:after="100"/>
      </w:pPr>
      <w:r>
        <w:t xml:space="preserve">El sentimiento de los particulares japoneses se enfrió en septiembre, con la acción en mínimos del año y el temor a un techo del beneficio, mientras los analistas siguen con 12 compras y 3 mantener [D5]. No es capitulación: el rebote de octubre y las opiniones favorables de IFIS lo moderan. Lo útil para la decisión es que la duda del mercado se centra en la calidad del crecimiento (divisa y partidas puntuales), justo lo que mostrarán los resultados del 2T del 30-oct. No vemos en los foros ningún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1 explicados. Fuentes: 42 (9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14,0 % real: genera una variación de circulante de 12.808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Explicación: Sin acceso a la web de HOYA ni a EDINET, la mayoría de las cifras salen de agregadores citados; las primarias usadas son el comunicado de FY2026, el informe anual de FY2025, la convocatoria de la junta, el informe de gobierno, las notas de recompra y el bono del Ministerio de Hacienda.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y BAI de FY2022, dividendos por acción FY2022-FY2024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resultados e informe anual buscados: solo cifras de cabecera en los extractos; 2) Stock Analysis, Finboard, Stockopedia y TipRanks: dan ventas, EBIT y beneficio, no el resto; 3) búsqueda del resultado antes de impuestos por año: aparecen FY2023-FY2026, no FY2022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FY2022-FY2024 y partidas de FY2025-FY2026 (clientes, proveedores, inmovilizado, fondo de comercio)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situación del informe anual de FY2025 y del comunicado de FY2026: la búsqueda solo devolvió totales; 2) Yahoo, Simply Wall St y EDINET DB: totales discrepantes; 3) documento de la junta de 2026: totales, existencias y variaciones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pagados, recompras y pagos de arrendamientos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comunicado de FY2026: la búsqueda devolvió solo el 4T; 2) Investing y Stock Analysis: flujo operativo y capex; 3) notas de recompra: importes de los programas, no por ejercicio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FY2025 sin abrir (solo búsqueda); 2) informe de gobierno corporativo: no aparece en el extracto;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blanks y de lentes oftálmicas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HOYA: no publica tamaño de mercado; 2) informes de mercado (Dataintelo, Reportprime): cifras contradictorias entre sí; 3) SEMI da 403 y no hay red para descargar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AGC y Shin-Etsu: sin desglose de blanks; 2) EssilorLuxottica: no buscadas por presupuesto de búsquedas; 3) informes del repo: Olympus y EssilorLuxottica sin margen EBIT a mano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consejeros, remuneración del CEO, accionistas significativos y votos de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Convocatoria de la junta de 2026: solo el CEO en el extracto; 2) resultados de la junta de 2026: publicados solo en japonés, no encontrados; 3) informe de gobierno 2025 y MarketScreener: votos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resto del equipo directivo y participaciones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sin red; 2) convocatoria de la junta: solo el CEO; 3) prensa: sin resultados útiles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marzo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de cierres de marzo 2019-2026: solo cotizaciones actuales y una tabla de oct-nov 2025 en TipRanks; 3) PER histórico por año: solo PER de cierre de año natural (Macrotrends, Yahoo), que usamos en el objetivo a 12 meses pero no sirve para el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fabricantes de lentes y de materiales de semiconductores: no buscadas por presupuesto de búsquedas compartido; 2) informes del repo (Cooper, Fielmann, EssilorLuxottica): transacciones de óptica minorista, no comparables; 3) prensa: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y rentabilidades a 1-10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Morningstar en la búsqueda: solo precio y rango; 3) Stock Analysis: beta no citada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EBITDA y BPA de consenso de FY2027e-FY2029e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abre con WebFetch, sin red; 2) Investing y Stock Analysis: objetivos y recomendaciones; 3) Stockopedia: BPA del próximo ejercicio (791 JPY)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FY2022-FY2024 y ROIC incremental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 los informes anuales: sin red para abrirlos; 2) Yahoo y Stock Analysis en la búsqueda: solo el último balance; 3) cálculo propio: imposible sin capital invertido de esos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Company profile (ventas y resultado antes de impuestos consolidados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https://www.hoya.com/en/company/profile/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https://finboard.net/companies/JP:7741/income-statement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(TYO:7741)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https://www-proxy.stockopedia.com/share-prices/hoya-TYO:7741/income-statement/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FY2026 Pre-Tax Profit Surges 26% to ¥328bn; Dividend Nearly Doubled to ¥295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Stock Pulse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https://japanstockpulse.com/article/2026/04/30/7741-1.html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Fiscal Year Ended March 31, 2026 [IFRS] (Consolidated)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(TDnet, vía 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https://finance.biggo.com/news/jpx_tdnet_140120260428513910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year ended 31 March 2025 (estados financieros consolidados)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https://www.hoya.com/wp-content/uploads/2025/07/Annual-Report-Final-2.pdf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 (7741)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https://www.investing.com/equities/hoya-cor-cash-flow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Paper-Based Documents for Delivery, 88th Ordinary General Meeting (estado de situación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https://www.hoya.com/wp-content/uploads/2026/05/88thAGMPBDD_E.pdf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 Q1 FY2027 earnings summary y presentación del 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 / 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https://finance.biggo.com/news/ir_7741.T_20260731_4f11eec74fb5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(7741.T)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https://finance.yahoo.com/quote/7741.T/balance-sheet/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 Dividends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https://finboard.net/companies/JP:7741/dividends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Launches ¥200 Billion Share Buyback to Boost Capital Efficiency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https://www.tipranks.com/news/company-announcements/hoya-launches-200-billion-share-buyback-to-boost-capital-efficiency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status of own share repurchase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https://finance-frontend-pc-dist.west.edge.storage-yahoo.jp/disclosure/20260901/20260901529424.pdf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Ends ¥100 Billion Buyback and Cancels 1.06% of Its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https://www.theglobeandmail.com/investing/markets/markets-news/Tipranks/1638099/hoya-ends-yen100-billion-buyback-and-cancels-1-06-of-its-shares/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https://www.hoya.com/wp-content/uploads/2025/06/Corporate-Governance-Report_EN_20250627.pdf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EUV Mask Blanks Market (cuota conjunta de HOYA, AGC y Shin-Etsu en blanks de gama alta)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Reportprime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https://www.reportprime.com/euv-mask-blanks-r3197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 Q3 FY2026 Earnings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 (stockpicker_lab)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https://note.com/stockpicker_lab/n/n1facbefc8be0?hl=en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Well-Placed To Leverage AI And Data Center Demand, But Shares Reflect That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https://seekingalpha.com/article/4736452-hoya-well-placed-to-leverage-ai-and-data-center-demand-but-shares-reflect-that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Olympus del 9-oct-2026 (cuota en endoscopia GI)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informe integrado 2025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(7741.T) Reports Strong Q3 FY2026 Results, Raises Full-Year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https://finance.biggo.com/news/jpx_tdnet_140120260130542632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Results of the 86th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https://www.marketscreener.com/quote/stock/HOYA-CORPORATION-6491345/news/Hoya-Notice-of-the-Results-of-the-86th-Ordinary-General-Meeting-of-Shareholders-47262013/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(7741.T) Stock Price, News, Quote &amp;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https://finance.yahoo.com/quote/7741.T/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HOYA(株)【7741】：株価・掲示板 (cierres del 9-oct y del 2-oct; IFIS: cierre del 18-sep)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 / IFIS株予報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https://finance.yahoo.co.jp/quote/7741.T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 Q1 FY2027 earnings summary (guía del primer semestre)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https://quartr.com/companies/hoya-corporation_15194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Share Price, Forecast &amp; Financials (TYO:7741)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https://www.stockopedia.com/share-prices/hoya-TYO:7741/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 (7741)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https://www.investing.com/equities/hoya-cor-consensus-estimates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Stock Price &amp;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7741 Stock Price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https://www.morningstar.com/stocks/xtks/7741/quote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Olympus del 9-oct-2026 (MarketScreener: Terumo, Fujifilm)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Cooper Companies del 9-oct-2026 (Alcon, Bausch + Lomb, EssilorLuxottica, Cooper)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Fielmann del 9-oct-2026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ASML del 14-oct-2026 (Applied Materials, KLA)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https://finance.yahoo.com/quote/KLAC/key-statistics/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PE Ratio 2010-2024 | HOCPY (PER de cierre de año natural)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https://macrotrends.net/stocks/charts/HOCPY/hoya/pe-ratio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(7741.T) Valuation Measures &amp; Financial Statistics (PER de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https://finance.yahoo.com/quote/7741.T/key-statistics/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 (10 años: 3,089 %)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HOYA(株)【7741】：掲示板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https://finance.yahoo.co.jp/quote/7741.T/forum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forum discussion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https://app.getquin.com/en/stock/JP3837800006/hoya/forum-discussion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7741 ＨＯＹＡ - IFIS株予報 - レーティング、目標株価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https://kabuyoho.ifis.co.jp/index.php?action=tp1&amp;sa=report_pbr&amp;bcode=7741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73,9 %</w:t>
      </w:r>
      <w:r>
        <w:t xml:space="preserve"> · Secciones con menos del 60 % de campos cubiertos: </w:t>
      </w:r>
      <w:r>
        <w:rPr>
          <w:b/>
          <w:bCs/>
        </w:rPr>
        <w:t xml:space="preserve">capital, gobierno, multiplos_historicos, transacciones, calidad, bolsa</w:t>
      </w:r>
      <w:r>
        <w:t xml:space="preserve"> · Generado el 14 oct 2026.</w:t>
      </w:r>
    </w:p>
    <w:p>
      <w:pPr>
        <w:pStyle w:val="Nota"/>
        <w:spacing w:after="100"/>
      </w:pPr>
      <w:r>
        <w:t xml:space="preserve">Análisis hecho desde la nube con la red limitada a la búsqueda web: la web de HOYA, EDINET, Yahoo y los proveedores de datos no se pudieron abrir, y las herramientas descargar.mjs y bolsa.mjs no funcionan aquí. Las cifras salen de los extractos de búsqueda del comunicado de resultados de FY2026, del documento de la junta de 2026 y de agregadores (Stock Analysis, Stockopedia, Finboard, Investing), cruzadas cuando fue posible; la confianza es menor que en un análisis normal y lo que no cuadró va a null y a los huecos. Cuentas y cotización en JPY, NIIF, gastos por naturaleza (sin coste de ventas). HOYA nombra el ejercicio por el año en que termina: FY2026 va de abril de 2025 a marzo de 2026. Precio: cierre del 9-oct-2026 en Tokio (25.055 JPY), el último encontrado [26]. Acciones: 333,87 M (334,84 M emitidas tras la amortización de mayo menos las 973.500 recompradas en agosto [16]); no incluye las compras de septiembre, ni en las acciones ni en la caja. Puente con el balance de mar-26 y, en otros ajustes, el dividendo final pagado en junio y la recompra de agosto. Balance solo de FY2025 y FY2026 y sin clientes ni proveedores: el circulante del DCF (14 % de las ventas) lo calcula el motor con lo que hay. Los comparables se reutilizan de los informes del repo del 9 al 14 de octubre, convertidos a 158,30 JPY/USD y 180,1 JPY/EUR. El PER histórico del objetivo a 12 meses es el de cierre de año natural (Macrotrends y Yahoo), no el de cierre de marzo.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HOYA Corporation (7741)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25.055,00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Hoja1!$B$2:$B$8</c:f>
              <c:numCache>
                <c:formatCode>#,##0</c:formatCode>
                <c:ptCount val="7"/>
                <c:pt idx="0">
                  <c:v>21040</c:v>
                </c:pt>
                <c:pt idx="1">
                  <c:v>22000</c:v>
                </c:pt>
                <c:pt idx="2">
                  <c:v>12102.3</c:v>
                </c:pt>
                <c:pt idx="3">
                  <c:v>15715.66</c:v>
                </c:pt>
                <c:pt idx="4">
                  <c:v>12845.23</c:v>
                </c:pt>
                <c:pt idx="5">
                  <c:v>20173.19</c:v>
                </c:pt>
                <c:pt idx="6">
                  <c:v>24929.73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Hoja1!$C$2:$C$8</c:f>
              <c:numCache>
                <c:formatCode>#,##0</c:formatCode>
                <c:ptCount val="7"/>
                <c:pt idx="0">
                  <c:v>9360</c:v>
                </c:pt>
                <c:pt idx="1">
                  <c:v>9500</c:v>
                </c:pt>
                <c:pt idx="2">
                  <c:v>6486.200000000001</c:v>
                </c:pt>
                <c:pt idx="3">
                  <c:v>5217.720000000001</c:v>
                </c:pt>
                <c:pt idx="4">
                  <c:v>8279.260000000002</c:v>
                </c:pt>
                <c:pt idx="5">
                  <c:v>5007.130000000001</c:v>
                </c:pt>
                <c:pt idx="6">
                  <c:v>250.54999999999927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Life Care</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551007</c:v>
                </c:pt>
                <c:pt idx="1">
                  <c:v>590680</c:v>
                </c:pt>
              </c:numCache>
            </c:numRef>
          </c:val>
        </c:ser>
        <c:ser>
          <c:idx val="1"/>
          <c:order val="1"/>
          <c:tx>
            <c:strRef>
              <c:f>Hoja1!$C$1</c:f>
              <c:strCache>
                <c:ptCount val="1"/>
                <c:pt idx="0">
                  <c:v>Information Technology</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311097</c:v>
                </c:pt>
                <c:pt idx="1">
                  <c:v>354751</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3928</c:v>
                </c:pt>
                <c:pt idx="1">
                  <c:v>2318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Life Care</c:v>
                </c:pt>
                <c:pt idx="1">
                  <c:v>Information Technology</c:v>
                </c:pt>
                <c:pt idx="2">
                  <c:v>Otros</c:v>
                </c:pt>
              </c:strCache>
            </c:strRef>
          </c:cat>
          <c:val>
            <c:numRef>
              <c:f>Hoja1!$B$2:$B$4</c:f>
              <c:numCache>
                <c:formatCode>General</c:formatCode>
                <c:ptCount val="3"/>
                <c:pt idx="0">
                  <c:v>62.3</c:v>
                </c:pt>
                <c:pt idx="1">
                  <c:v>37.4</c:v>
                </c:pt>
                <c:pt idx="2">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Hoya</c:v>
                </c:pt>
                <c:pt idx="1">
                  <c:v>AGC</c:v>
                </c:pt>
                <c:pt idx="2">
                  <c:v>Shin-Etsu Chemical</c:v>
                </c:pt>
                <c:pt idx="3">
                  <c:v>EssilorLuxottica</c:v>
                </c:pt>
                <c:pt idx="4">
                  <c:v>Olympus</c:v>
                </c:pt>
              </c:strCache>
            </c:strRef>
          </c:cat>
          <c:val>
            <c:numRef>
              <c:f>Hoja1!$B$2:$B$6</c:f>
              <c:numCache>
                <c:formatCode>0.0"%"</c:formatCode>
                <c:ptCount val="5"/>
                <c:pt idx="0">
                  <c:v>29.1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661466</c:v>
                </c:pt>
                <c:pt idx="1">
                  <c:v>723582</c:v>
                </c:pt>
                <c:pt idx="2">
                  <c:v>762610</c:v>
                </c:pt>
                <c:pt idx="3">
                  <c:v>866032</c:v>
                </c:pt>
                <c:pt idx="4">
                  <c:v>947749</c:v>
                </c:pt>
                <c:pt idx="5">
                  <c:v>1037785</c:v>
                </c:pt>
                <c:pt idx="6">
                  <c:v>1120808</c:v>
                </c:pt>
                <c:pt idx="7">
                  <c:v>1204869</c:v>
                </c:pt>
                <c:pt idx="8">
                  <c:v>1289209</c:v>
                </c:pt>
                <c:pt idx="9">
                  <c:v>1373008</c:v>
                </c:pt>
                <c:pt idx="10">
                  <c:v>1455388</c:v>
                </c:pt>
                <c:pt idx="11">
                  <c:v>1528158</c:v>
                </c:pt>
                <c:pt idx="12">
                  <c:v>1596925</c:v>
                </c:pt>
                <c:pt idx="13">
                  <c:v>1652817</c:v>
                </c:pt>
                <c:pt idx="14">
                  <c:v>1702402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242498</c:v>
                </c:pt>
                <c:pt idx="1">
                  <c:v>257985</c:v>
                </c:pt>
                <c:pt idx="2">
                  <c:v>251613</c:v>
                </c:pt>
                <c:pt idx="3">
                  <c:v>293431</c:v>
                </c:pt>
                <c:pt idx="4">
                  <c:v>333722</c:v>
                </c:pt>
                <c:pt idx="5">
                  <c:v>381905</c:v>
                </c:pt>
                <c:pt idx="6">
                  <c:v>414699</c:v>
                </c:pt>
                <c:pt idx="7">
                  <c:v>448211</c:v>
                </c:pt>
                <c:pt idx="8">
                  <c:v>479586</c:v>
                </c:pt>
                <c:pt idx="9">
                  <c:v>510759</c:v>
                </c:pt>
                <c:pt idx="10">
                  <c:v>538494</c:v>
                </c:pt>
                <c:pt idx="11">
                  <c:v>562362</c:v>
                </c:pt>
                <c:pt idx="12">
                  <c:v>584475</c:v>
                </c:pt>
                <c:pt idx="13">
                  <c:v>603278</c:v>
                </c:pt>
                <c:pt idx="14">
                  <c:v>621377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36.7</c:v>
                </c:pt>
                <c:pt idx="1">
                  <c:v>35.7</c:v>
                </c:pt>
                <c:pt idx="2">
                  <c:v>33</c:v>
                </c:pt>
                <c:pt idx="3">
                  <c:v>33.9</c:v>
                </c:pt>
                <c:pt idx="4">
                  <c:v>35.2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30.2</c:v>
                </c:pt>
                <c:pt idx="1">
                  <c:v>28.8</c:v>
                </c:pt>
                <c:pt idx="2">
                  <c:v>26.8</c:v>
                </c:pt>
                <c:pt idx="3">
                  <c:v>28.3</c:v>
                </c:pt>
                <c:pt idx="4">
                  <c:v>29.1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24.9</c:v>
                </c:pt>
                <c:pt idx="1">
                  <c:v>23.3</c:v>
                </c:pt>
                <c:pt idx="2">
                  <c:v>23.8</c:v>
                </c:pt>
                <c:pt idx="3">
                  <c:v>23.3</c:v>
                </c:pt>
                <c:pt idx="4">
                  <c:v>26.7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c:f>
              <c:strCache>
                <c:ptCount val="1"/>
                <c:pt idx="0">
                  <c:v>1T FY2027</c:v>
                </c:pt>
              </c:strCache>
            </c:strRef>
          </c:cat>
          <c:val>
            <c:numRef>
              <c:f>Hoja1!$B$2</c:f>
              <c:numCache>
                <c:formatCode>0.0"%"</c:formatCode>
                <c:ptCount val="1"/>
                <c:pt idx="0">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c:f>
              <c:strCache>
                <c:ptCount val="1"/>
                <c:pt idx="0">
                  <c:v>1T FY2027</c:v>
                </c:pt>
              </c:strCache>
            </c:strRef>
          </c:cat>
          <c:val>
            <c:numRef>
              <c:f>Hoja1!$C$2</c:f>
              <c:numCache>
                <c:formatCode>0.0"%"</c:formatCode>
                <c:ptCount val="1"/>
                <c:pt idx="0">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inventario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Hoja1!$A$2:$A$3</c:f>
              <c:strCache>
                <c:ptCount val="2"/>
                <c:pt idx="0">
                  <c:v>FY2025</c:v>
                </c:pt>
                <c:pt idx="1">
                  <c:v>FY2026</c:v>
                </c:pt>
              </c:strCache>
            </c:strRef>
          </c:cat>
          <c:val>
            <c:numRef>
              <c:f>Hoja1!$B$2:$B$3</c:f>
              <c:numCache>
                <c:formatCode>0</c:formatCode>
                <c:ptCount val="2"/>
                <c:pt idx="0">
                  <c:v>79</c:v>
                </c:pt>
                <c:pt idx="1">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161183</c:v>
                </c:pt>
                <c:pt idx="1">
                  <c:v>168356</c:v>
                </c:pt>
                <c:pt idx="2">
                  <c:v>181728</c:v>
                </c:pt>
                <c:pt idx="3">
                  <c:v>187191</c:v>
                </c:pt>
                <c:pt idx="4">
                  <c:v>221865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164507</c:v>
                </c:pt>
                <c:pt idx="1">
                  <c:v>168638</c:v>
                </c:pt>
                <c:pt idx="2">
                  <c:v>181377</c:v>
                </c:pt>
                <c:pt idx="3">
                  <c:v>202101</c:v>
                </c:pt>
                <c:pt idx="4">
                  <c:v>253085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43.5</c:v>
                </c:pt>
                <c:pt idx="4">
                  <c:v>45.2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3">
                  <c:v>20.8</c:v>
                </c:pt>
                <c:pt idx="4">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FY2025</c:v>
                </c:pt>
                <c:pt idx="1">
                  <c:v>FY2026</c:v>
                </c:pt>
              </c:strCache>
            </c:strRef>
          </c:cat>
          <c:val>
            <c:numRef>
              <c:f>Hoja1!$B$2:$B$3</c:f>
              <c:numCache>
                <c:formatCode>0.0"x"</c:formatCode>
                <c:ptCount val="2"/>
                <c:pt idx="0">
                  <c:v>-1.82</c:v>
                </c:pt>
                <c:pt idx="1">
                  <c:v>-1.59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Hoya</c:v>
                </c:pt>
                <c:pt idx="1">
                  <c:v>EssilorLuxottica</c:v>
                </c:pt>
                <c:pt idx="2">
                  <c:v>Alcon</c:v>
                </c:pt>
                <c:pt idx="3">
                  <c:v>Cooper Companies</c:v>
                </c:pt>
                <c:pt idx="4">
                  <c:v>Bausch + Lomb</c:v>
                </c:pt>
                <c:pt idx="5">
                  <c:v>Terumo</c:v>
                </c:pt>
                <c:pt idx="6">
                  <c:v>Fujifilm</c:v>
                </c:pt>
                <c:pt idx="7">
                  <c:v>KLA</c:v>
                </c:pt>
              </c:strCache>
            </c:strRef>
          </c:cat>
          <c:val>
            <c:numRef>
              <c:f>Hoja1!$B$2:$B$9</c:f>
              <c:numCache>
                <c:formatCode>0.0"x"</c:formatCode>
                <c:ptCount val="8"/>
                <c:pt idx="1">
                  <c:v>10</c:v>
                </c:pt>
                <c:pt idx="2">
                  <c:v>10.6</c:v>
                </c:pt>
                <c:pt idx="3">
                  <c:v>10.3</c:v>
                </c:pt>
                <c:pt idx="4">
                  <c:v>9.5</c:v>
                </c:pt>
                <c:pt idx="5">
                  <c:v>10</c:v>
                </c:pt>
                <c:pt idx="6">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7.2</c:v>
                </c:pt>
              </c:numCache>
            </c:numRef>
          </c:xVal>
          <c:yVal>
            <c:numRef>
              <c:f>Hoja1!$C$2</c:f>
              <c:numCache>
                <c:formatCode>0.0"x"</c:formatCode>
                <c:ptCount val="1"/>
                <c:pt idx="0">
                  <c:v>10</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10.3</c:v>
                </c:pt>
              </c:numCache>
            </c:numRef>
          </c:yVal>
          <c:smooth val="0"/>
        </c:ser>
        <c:ser>
          <c:idx val="3"/>
          <c:order val="3"/>
          <c:tx>
            <c:strRef>
              <c:f>Hoja1!$A$5</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6.3</c:v>
                </c:pt>
              </c:numCache>
            </c:numRef>
          </c:xVal>
          <c:yVal>
            <c:numRef>
              <c:f>Hoja1!$C$5</c:f>
              <c:numCache>
                <c:formatCode>0.0"x"</c:formatCode>
                <c:ptCount val="1"/>
                <c:pt idx="0">
                  <c:v>9.5</c:v>
                </c:pt>
              </c:numCache>
            </c:numRef>
          </c:yVal>
          <c:smooth val="0"/>
        </c:ser>
        <c:ser>
          <c:idx val="4"/>
          <c:order val="4"/>
          <c:tx>
            <c:strRef>
              <c:f>Hoja1!$A$6</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10</c:v>
                </c:pt>
              </c:numCache>
            </c:numRef>
          </c:yVal>
          <c:smooth val="0"/>
        </c:ser>
        <c:ser>
          <c:idx val="5"/>
          <c:order val="5"/>
          <c:tx>
            <c:strRef>
              <c:f>Hoja1!$A$7</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8.1</c:v>
                </c:pt>
              </c:numCache>
            </c:numRef>
          </c:yVal>
          <c:smooth val="0"/>
        </c:ser>
        <c:axId val="10"/>
        <c:axId val="20"/>
      </c:scatterChart>
      <c:valAx>
        <c:axId val="10"/>
        <c:scaling>
          <c:orientation val="minMax"/>
          <c:max val="11"/>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218224</c:v>
                </c:pt>
                <c:pt idx="1">
                  <c:v>239617</c:v>
                </c:pt>
                <c:pt idx="2">
                  <c:v>266749</c:v>
                </c:pt>
                <c:pt idx="3">
                  <c:v>288784</c:v>
                </c:pt>
                <c:pt idx="4">
                  <c:v>311145</c:v>
                </c:pt>
                <c:pt idx="5">
                  <c:v>329930</c:v>
                </c:pt>
                <c:pt idx="6">
                  <c:v>345995</c:v>
                </c:pt>
                <c:pt idx="7">
                  <c:v>360125</c:v>
                </c:pt>
                <c:pt idx="8">
                  <c:v>373596</c:v>
                </c:pt>
                <c:pt idx="9">
                  <c:v>385921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2059254</c:v>
                </c:pt>
                <c:pt idx="1">
                  <c:v>3467914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25.055,00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12845.23</c:v>
                </c:pt>
                <c:pt idx="1">
                  <c:v>17859.1</c:v>
                </c:pt>
                <c:pt idx="2">
                  <c:v>21124.49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25.055,00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Hoja1!$B$2:$B$8</c:f>
              <c:numCache>
                <c:formatCode>#,##0</c:formatCode>
                <c:ptCount val="7"/>
                <c:pt idx="0">
                  <c:v>21040</c:v>
                </c:pt>
                <c:pt idx="1">
                  <c:v>22000</c:v>
                </c:pt>
                <c:pt idx="2">
                  <c:v>12102.3</c:v>
                </c:pt>
                <c:pt idx="3">
                  <c:v>15715.66</c:v>
                </c:pt>
                <c:pt idx="4">
                  <c:v>12845.23</c:v>
                </c:pt>
                <c:pt idx="5">
                  <c:v>20173.19</c:v>
                </c:pt>
                <c:pt idx="6">
                  <c:v>24929.73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Hoja1!$C$2:$C$8</c:f>
              <c:numCache>
                <c:formatCode>#,##0</c:formatCode>
                <c:ptCount val="7"/>
                <c:pt idx="0">
                  <c:v>9360</c:v>
                </c:pt>
                <c:pt idx="1">
                  <c:v>9500</c:v>
                </c:pt>
                <c:pt idx="2">
                  <c:v>6486.200000000001</c:v>
                </c:pt>
                <c:pt idx="3">
                  <c:v>5217.720000000001</c:v>
                </c:pt>
                <c:pt idx="4">
                  <c:v>8279.260000000002</c:v>
                </c:pt>
                <c:pt idx="5">
                  <c:v>5007.130000000001</c:v>
                </c:pt>
                <c:pt idx="6">
                  <c:v>250.54999999999927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