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Kering SA</w:t>
      </w:r>
    </w:p>
    <w:p>
      <w:pPr>
        <w:spacing w:after="60"/>
        <w:rPr>
          <w:color w:val="52514E"/>
          <w:sz w:val="22"/>
          <w:szCs w:val="22"/>
        </w:rPr>
      </w:pPr>
      <w:r>
        <w:rPr>
          <w:color w:val="52514E"/>
          <w:sz w:val="22"/>
          <w:szCs w:val="22"/>
        </w:rPr>
        <w:t xml:space="preserve">KER · Euronext París · ISIN FR0000121485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209,10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239,96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+16,2 % (base +24,7 %)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221,29 EUR · mercado 274,65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Kering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KER / FR0000121485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1963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https://www.kering.com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209,10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320,50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25.636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35.148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239,96 EUR</w:t>
      </w:r>
      <w:r>
        <w:t xml:space="preserve"> frente a 209,10 · Rentabilidad a 12 meses </w:t>
      </w:r>
      <w:r>
        <w:rPr>
          <w:b/>
          <w:bCs/>
        </w:rPr>
        <w:t xml:space="preserve">+16,2 % (base +24,7 %)</w:t>
      </w:r>
      <w:r>
        <w:t xml:space="preserve"> · Valor intrínseco 221,29 EUR · con la prima implícita del mercado: 274,65 (+31,3 %) · Alcista / bajista +50,0 % / -37,6 %</w:t>
      </w:r>
    </w:p>
    <w:p>
      <w:pPr>
        <w:spacing w:after="100"/>
      </w:pPr>
      <w:r>
        <w:rPr>
          <w:b/>
        </w:rPr>
        <w:t xml:space="preserve">La recomendación y por qué.</w:t>
      </w:r>
      <w:r>
        <w:t xml:space="preserve"> Mantener, con convicción baja. El objetivo a 12 meses es de 239,96 € (nuestro BPA recurrente de 2028e por el PER de la regla v3, que lleva el múltiplo adelantado de 20,8 veces a mitad de camino hacia su mediana de 21,1), una rentabilidad ponderada del 16,2 % con el dividendo y del 24,7 % en el caso base, con una asimetría de 1,77; el valor intrínseco es de 221,29 € (+5,8 %) y el objetivo medio de los analistas, 282,46 € [38]. La regla a 12 meses da Comprar por poco, pero se queda en Mantener por dos motivos: la confianza en los datos de núcleo es baja (precio de media sesión del 7-oct, 209,10 €, sin cierre posterior; balance y flujos de agregadores, sin el principal de los arrendamientos) [7, 8, 37], y la calidad no llega: el ROIC del 3,5 % está 4 puntos por debajo del WACC del 7,59 %. La convicción subiría con unas ventas del 3T (22-oct) con Gucci en positivo comparable y un cierre verificado por debajo de 211,27 €; bajaría si Gucci vuelve a caer más de un 5 %.</w:t>
      </w:r>
    </w:p>
    <w:p>
      <w:pPr>
        <w:spacing w:after="100"/>
      </w:pPr>
      <w:r>
        <w:rPr>
          <w:b/>
        </w:rPr>
        <w:t xml:space="preserve">El negocio.</w:t>
      </w:r>
      <w:r>
        <w:t xml:space="preserve"> Kering es Gucci (41 % de las ventas de 2025) más Saint Laurent, Bottega Veneta, joyería y gafas [12]. Las ventas cayeron de 20.351 M en 2022 a 14.675 M en 2025 y el apalancamiento operativo llevó el margen recurrente del 27,5 % al 11,1 % [2, 5]. Hoy no crea valor: ROIC del 3,5 % frente a un WACC del 7,59 %. Sostenibilidad del crecimiento: </w:t>
      </w:r>
      <w:r>
        <w:rPr>
          <w:b/>
        </w:rPr>
        <w:t xml:space="preserve">En parte</w:t>
      </w:r>
      <w:r>
        <w:t xml:space="preserve">. El 3,9 % anual que proyectamos no necesita capital nuevo (la reinversión es el 2 % del NOPAT) y deja la cuota casi igual (del 4,1 % al 4,2 % del mercado en 2033e), pero depende de que Gucci recupere volumen, algo que aún no se ve en las cifras (−5 % comparable en el semestre) [1].</w:t>
      </w:r>
    </w:p>
    <w:p>
      <w:pPr>
        <w:spacing w:after="100"/>
      </w:pPr>
      <w:r>
        <w:rPr>
          <w:b/>
        </w:rPr>
        <w:t xml:space="preserve">Finanzas.</w:t>
      </w:r>
      <w:r>
        <w:t xml:space="preserve"> La deuda neta bajó de 8.000 M a 3.300 M en seis meses con la venta de Kering Beauté a L'Oréal por 4.000 M e inmuebles [1]. La caja libre operativa sin inmobiliario fue de 1.800 M en el 1S26, pero no resta unos 1.100-1.200 M anuales de arrendamientos [1].</w:t>
      </w:r>
    </w:p>
    <w:p>
      <w:pPr>
        <w:spacing w:after="100"/>
      </w:pPr>
      <w:r>
        <w:rPr>
          <w:b/>
        </w:rPr>
        <w:t xml:space="preserve">Equipo y gobierno.</w:t>
      </w:r>
      <w:r>
        <w:t xml:space="preserve"> Resta: Artémis controla el 59,3 % de los votos con el 42,3 % del capital, y la compra del 70 % de Valentino (3.400-4.000 M en 2028-2029) volverá a subir la deuda [14, 28]. Luca de Meo ha cumplido lo que depende de él (deuda, tiendas) [1, 29].</w:t>
      </w:r>
    </w:p>
    <w:p>
      <w:pPr>
        <w:spacing w:after="100"/>
      </w:pPr>
      <w:r>
        <w:rPr>
          <w:b/>
        </w:rPr>
        <w:t xml:space="preserve">Valoración.</w:t>
      </w:r>
      <w:r>
        <w:t xml:space="preserve"> El DCF da 245,33 € con un WACC del 7,59 %; el precio descuenta un crecimiento del 1,9 % anual en 2027-2033 frente al 4,8 % de nuestro base y una rentabilidad implícita del 8,3 %: no es exigente si el margen se recupera. Los comparables por PER (166,55 €) restan porque el BPA de Kering está en el suelo del ciclo. Nuestro BPA de 2028e (12,33 €) coincide con el consenso (12,56 €) [35]: la diferencia con los analistas está en el múltiplo, no en las cifras.</w:t>
      </w:r>
    </w:p>
    <w:p>
      <w:pPr>
        <w:spacing w:after="100"/>
      </w:pPr>
      <w:r>
        <w:rPr>
          <w:b/>
        </w:rPr>
        <w:t xml:space="preserve">Riesgos y catalizadores.</w:t>
      </w:r>
      <w:r>
        <w:t xml:space="preserve"> El riesgo principal es que Gucci no vuelva a crecer: el bajista (130,53 € en el DCF, 146,16 € a 12 meses) supone ventas planas y margen 3 puntos por debajo. Catalizadores: ventas del 3T el 22-oct y resultados anuales en febrero de 2027. El sentimiento es negativo y empeora (−14,7 % en el mes, recortes de objetivos de Morgan Stanley y Citi) [36, 37]: las expectativas están bajas.</w:t>
      </w:r>
    </w:p>
    <w:p>
      <w:pPr>
        <w:spacing w:after="100"/>
      </w:pPr>
      <w:r>
        <w:rPr>
          <w:b/>
        </w:rPr>
        <w:t xml:space="preserve">Qué cambiaría la decisión.</w:t>
      </w:r>
      <w:r>
        <w:t xml:space="preserve"> Compraríamos por debajo de 211,27 € con los datos confirmados (cierre oficial, informe semestral con arrendamientos) y Gucci en crecimiento comparable; venderíamos por encima de 269,95 €. Aun así, no pasaría el requisito de calidad de la cartera (ROIC − WACC ≥ 5) hasta que el margen operativo supere el 18-20 %.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239,96 EUR</w:t>
      </w:r>
      <w:r>
        <w:t xml:space="preserve"> (rentabilidad +16,2 % (base +24,7 %)) · Valor intrínseco: 221,29 EUR (+5,8 % sobre 209,10) · con la prima implícita del mercado: 274,65 (+31,3 %)</w:t>
      </w:r>
    </w:p>
    <w:p>
      <w:pPr>
        <w:spacing w:after="100"/>
      </w:pPr>
      <w:r>
        <w:t xml:space="preserve">Kering es el cuarto grupo mundial de lujo personal (14.675 M de ventas en 2025) y tiene marcas de primer nivel, pero Gucci, el 41 % de las ventas, perdió un 43 % en tres años y el margen operativo recurrente cayó del 27,5 % al 11,1 % [2, 5, 12]. La nueva dirección ha vendido la belleza por 4.000 M y ha bajado la deuda neta a 3.300 M, y el grupo volvió a crecer un 2 % comparable en el 2T26 [1].</w:t>
      </w:r>
    </w:p>
    <w:p>
      <w:pPr>
        <w:spacing w:after="100"/>
      </w:pPr>
      <w:r>
        <w:t xml:space="preserve">A 209,10 € el precio descuenta un crecimiento del 1,9 % anual hasta 2033 con nuestro margen, y cotiza a 20,8 veces nuestro BPA de 2027e, en su rango histórico de 19-23 veces sobre beneficio adelantado. El mercado no paga una recuperación completa: nuestro BPA de 2028e (12,33 €) coincide con el consenso y el objetivo medio de los analistas (282,46 €) baja [35, 36].</w:t>
      </w:r>
    </w:p>
    <w:p>
      <w:pPr>
        <w:spacing w:after="100"/>
      </w:pPr>
      <w:r>
        <w:t xml:space="preserve">Para invertir hay que creer que Gucci ha tocado fondo con Demna y que el margen operativo vuelve al 16 % en 2028. Las cifras todavía no lo muestran (Gucci −5 % comparable en el semestre), por eso la tesis es una opción sobre el 3T y el 4T, no una certeza [1].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30/45/25)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8,70 = 146,16 · 20,9x × 12,33 = 257,70 · 21,4x × 14,98 = 320,57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282,46 (nuestro base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 / -37,6 %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7,6 %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211,27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211,27 y 269,95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269,95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las ventas comparables de Gucci del 3T26 (22-oct) pasan a positivo y el precio sigue por debajo de 211,27 €, con los datos confirmados en fuente primaria, pasaríamos a Comprar.</w:t>
      </w:r>
    </w:p>
    <w:p>
      <w:pPr>
        <w:pStyle w:val="ListParagraph"/>
        <w:numPr>
          <w:ilvl w:val="0"/>
          <w:numId w:val="2"/>
        </w:numPr>
        <w:spacing w:after="60"/>
      </w:pPr>
      <w:r>
        <w:t xml:space="preserve">Si Gucci cae más de un 5 % comparable en el 3T26 o el 4T26, rebajaríamos el base y probablemente a Vender por encima de 230 €.</w:t>
      </w:r>
    </w:p>
    <w:p>
      <w:pPr>
        <w:pStyle w:val="ListParagraph"/>
        <w:numPr>
          <w:ilvl w:val="0"/>
          <w:numId w:val="2"/>
        </w:numPr>
        <w:spacing w:after="60"/>
      </w:pPr>
      <w:r>
        <w:t xml:space="preserve">Por encima de 269,95 € la regla da Vender.</w:t>
      </w:r>
    </w:p>
    <w:p>
      <w:pPr>
        <w:pStyle w:val="ListParagraph"/>
        <w:numPr>
          <w:ilvl w:val="0"/>
          <w:numId w:val="2"/>
        </w:numPr>
        <w:spacing w:after="60"/>
      </w:pPr>
      <w:r>
        <w:t xml:space="preserve">Si Mayhoola ejerce la venta de Valentino a un precio superior a 4.000 M, revisaríamos el valor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con un margen que se recupera parcialmente, y un múltiplo que no premia la recuperación hasta verla en Gucci. Los analistas recortan objetivos antes del 3T [36].</w:t>
      </w:r>
    </w:p>
    <w:p>
      <w:pPr>
        <w:keepNext/>
        <w:spacing w:after="100"/>
      </w:pPr>
      <w:r>
        <w:rPr>
          <w:b/>
          <w:bCs/>
        </w:rPr>
        <w:t xml:space="preserve">Lo que creemos nosotros.</w:t>
      </w:r>
    </w:p>
    <w:p>
      <w:pPr>
        <w:spacing w:after="100"/>
      </w:pPr>
      <w:r>
        <w:t xml:space="preserve">Coincidimos con el consenso en el beneficio de 2028e. Vemos un valor algo mayor que el precio (DCF de 245,33 €) porque el balance ya está saneado y la caja libre sin inmuebles es positiva, pero no tenemos una visión distinta sobre Gucci.</w:t>
      </w:r>
    </w:p>
    <w:p>
      <w:pPr>
        <w:keepNext/>
        <w:spacing w:after="100"/>
      </w:pPr>
      <w:r>
        <w:rPr>
          <w:b/>
          <w:bCs/>
        </w:rPr>
        <w:t xml:space="preserve">Por qué podemos tener razón.</w:t>
      </w:r>
    </w:p>
    <w:p>
      <w:pPr>
        <w:spacing w:after="100"/>
      </w:pPr>
      <w:r>
        <w:t xml:space="preserve">Nuestra ventaja es solo de paciencia: si el margen vuelve al 16 %, el precio está bajo. No sabemos más que el mercado sobre la marca;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09,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Balance saneado</w:t>
      </w:r>
      <w:r>
        <w:t xml:space="preserve">: deuda neta de 3.300 M tras la venta de la belleza por 4.000 M [1].</w:t>
      </w:r>
    </w:p>
    <w:p>
      <w:pPr>
        <w:pStyle w:val="ListParagraph"/>
        <w:numPr>
          <w:ilvl w:val="0"/>
          <w:numId w:val="2"/>
        </w:numPr>
        <w:spacing w:after="60"/>
      </w:pPr>
      <w:r>
        <w:rPr>
          <w:b/>
        </w:rPr>
        <w:t xml:space="preserve">Vuelta al crecimiento</w:t>
      </w:r>
      <w:r>
        <w:t xml:space="preserve">: +2 % comparable en el 2T26, el primero en tres años [1].</w:t>
      </w:r>
    </w:p>
    <w:p>
      <w:pPr>
        <w:pStyle w:val="ListParagraph"/>
        <w:numPr>
          <w:ilvl w:val="0"/>
          <w:numId w:val="2"/>
        </w:numPr>
        <w:spacing w:after="60"/>
      </w:pPr>
      <w:r>
        <w:rPr>
          <w:b/>
        </w:rPr>
        <w:t xml:space="preserve">Margen con mucho recorrido</w:t>
      </w:r>
      <w:r>
        <w:t xml:space="preserve">: 11,1 % en 2025 frente al 27,5 % de 2022 [2, 5].</w:t>
      </w:r>
    </w:p>
    <w:p>
      <w:pPr>
        <w:pStyle w:val="ListParagraph"/>
        <w:numPr>
          <w:ilvl w:val="0"/>
          <w:numId w:val="2"/>
        </w:numPr>
        <w:spacing w:after="60"/>
      </w:pPr>
      <w:r>
        <w:rPr>
          <w:b/>
        </w:rPr>
        <w:t xml:space="preserve">Precio poco exigente</w:t>
      </w:r>
      <w:r>
        <w:t xml:space="preserve">: descuenta un crecimiento del 1,9 % frente al 4,8 % de nuestro base.</w:t>
      </w:r>
    </w:p>
    <w:p>
      <w:pPr>
        <w:pStyle w:val="ListParagraph"/>
        <w:numPr>
          <w:ilvl w:val="0"/>
          <w:numId w:val="2"/>
        </w:numPr>
        <w:spacing w:after="60"/>
      </w:pPr>
      <w:r>
        <w:rPr>
          <w:b/>
        </w:rPr>
        <w:t xml:space="preserve">Marcas sanas además de Gucci</w:t>
      </w:r>
      <w:r>
        <w:t xml:space="preserve">: Saint Laurent y Bottega Veneta crecen; gafas +7 % comparable en el 1T26 [10].</w:t>
      </w:r>
    </w:p>
    <w:p>
      <w:pPr>
        <w:pStyle w:val="Heading2"/>
      </w:pPr>
      <w:r>
        <w:t xml:space="preserve">En contra</w:t>
      </w:r>
    </w:p>
    <w:p>
      <w:pPr>
        <w:pStyle w:val="ListParagraph"/>
        <w:numPr>
          <w:ilvl w:val="0"/>
          <w:numId w:val="2"/>
        </w:numPr>
        <w:spacing w:after="60"/>
      </w:pPr>
      <w:r>
        <w:rPr>
          <w:b/>
        </w:rPr>
        <w:t xml:space="preserve">Gucci sigue cayendo</w:t>
      </w:r>
      <w:r>
        <w:t xml:space="preserve">: −5 % comparable en el 1S26 [1].</w:t>
      </w:r>
    </w:p>
    <w:p>
      <w:pPr>
        <w:pStyle w:val="ListParagraph"/>
        <w:numPr>
          <w:ilvl w:val="0"/>
          <w:numId w:val="2"/>
        </w:numPr>
        <w:spacing w:after="60"/>
      </w:pPr>
      <w:r>
        <w:rPr>
          <w:b/>
        </w:rPr>
        <w:t xml:space="preserve">No crea valor</w:t>
      </w:r>
      <w:r>
        <w:t xml:space="preserve">: ROIC del 3,5 % frente a un WACC del 7,59 %.</w:t>
      </w:r>
    </w:p>
    <w:p>
      <w:pPr>
        <w:pStyle w:val="ListParagraph"/>
        <w:numPr>
          <w:ilvl w:val="0"/>
          <w:numId w:val="2"/>
        </w:numPr>
        <w:spacing w:after="60"/>
      </w:pPr>
      <w:r>
        <w:rPr>
          <w:b/>
        </w:rPr>
        <w:t xml:space="preserve">Valentino</w:t>
      </w:r>
      <w:r>
        <w:t xml:space="preserve">: compra del 70 % por 3.400-4.000 M en 2028-2029 [14].</w:t>
      </w:r>
    </w:p>
    <w:p>
      <w:pPr>
        <w:pStyle w:val="ListParagraph"/>
        <w:numPr>
          <w:ilvl w:val="0"/>
          <w:numId w:val="2"/>
        </w:numPr>
        <w:spacing w:after="60"/>
      </w:pPr>
      <w:r>
        <w:rPr>
          <w:b/>
        </w:rPr>
        <w:t xml:space="preserve">Control familiar</w:t>
      </w:r>
      <w:r>
        <w:t xml:space="preserve">: Artémis tiene el 59,3 % de los votos con el 42,3 % del capital [28].</w:t>
      </w:r>
    </w:p>
    <w:p>
      <w:pPr>
        <w:pStyle w:val="ListParagraph"/>
        <w:numPr>
          <w:ilvl w:val="0"/>
          <w:numId w:val="2"/>
        </w:numPr>
        <w:spacing w:after="60"/>
      </w:pPr>
      <w:r>
        <w:rPr>
          <w:b/>
        </w:rPr>
        <w:t xml:space="preserve">Caja libre apoyada en ventas de activos</w:t>
      </w:r>
      <w:r>
        <w:t xml:space="preserve">: 2.100 M de inmuebles en 2025 [2].</w:t>
      </w:r>
    </w:p>
    <w:p>
      <w:pPr>
        <w:pStyle w:val="Heading2"/>
      </w:pPr>
      <w:r>
        <w:t xml:space="preserve">Qué tiene que pasar para que la tesis funcione</w:t>
      </w:r>
    </w:p>
    <w:p>
      <w:pPr>
        <w:spacing w:after="100"/>
      </w:pPr>
      <w:r>
        <w:t xml:space="preserve">La tesis depende de que Gucci vuelva a crecer en ventas comparables entre el 4T26 y el 2T27, cuando sus colecciones nuevas lleven un año en tienda. La señal de que no se cumple: dos trimestres seguidos de Gucci por debajo del −3 % comparable o un margen operativo del 2S26 por debajo del 12,8 % del 1S.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 Gucci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41 % de las ventas y casi todo el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12,8 %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16 % en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financiera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 M antes de Valentino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caja libre sin activos es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comparable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o desmiente la vuelta al crecimiento.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48,2x / 24,8x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1963 por François Pinault como negocio de madera, se convirtió en el conglomerado de distribución Pinault-Printemps-Redoute, entró en el lujo con Gucci en 1999-2004, se llamó PPR y en 2013 pasó a llamarse Kering tras vender la distribución y Puma. Su década dorada fue la de Gucci con Alessandro Michele (2015-2022), que llevó el margen operativo a cerca del 30 % en 2019; desde 2023 las ventas caen. En 2025 Luca de Meo, antiguo consejero delegado de Renault, sustituyó a François-Henri Pinault como primer ejecutivo [12,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Pinault funda el grupo como negocio de madera.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el control de Gucci Group (Gucci, Saint Laurent, Bottega Veneta).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PPR pasa a llamarse Kering; se centra en el lujo.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Alessandro Michele, director creativo de Gucci: empieza el gran crecimiento.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Creed y del 30 % de Valentino; Gucci empieza a caer.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Demna, director creativo de Gucci; Luca de Meo, consejero delegado; venta de Kering Beauté a L'Oréal por 4.000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ReconKering (día del inversor del 16-abr) y vuelta al crecimiento orgánico en el 2T [12,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Grupo de marcas de lujo: Gucci (41 % de las ventas de 2025), Yves Saint Laurent (18 %), Bottega Veneta (12 %), otras casas como Balenciaga, Alexander McQueen, Boucheron y Pomellato (18 %) y Kering Eyewear (11 %, con corporativo) [12]. Vende sobre todo en tiendas propias (unas 1.700, en recorte) y en grandes almacenes; las gafas, a ópticas. Desde abril de 2026 la belleza es de L'Oréal, que paga a Kering por las licencias de sus marcas [10, 17].</w:t>
      </w:r>
    </w:p>
    <w:p>
      <w:pPr>
        <w:pStyle w:val="Heading2"/>
      </w:pPr>
      <w:r>
        <w:t xml:space="preserve">Cómo gana dinero</w:t>
      </w:r>
    </w:p>
    <w:p>
      <w:pPr>
        <w:spacing w:after="100"/>
      </w:pPr>
      <w:r>
        <w:t xml:space="preserve">Vende marroquinería, calzado y confección con un margen bruto muy alto (en torno al 75 % en el sector) y costes de tiendas, publicidad y diseño casi fijos: el apalancamiento operativo es enorme. Por eso una caída del 30 % de las ventas desde 2022 llevó el margen operativo recurrente del 27,5 % al 11,1 % [12]. La recuperación del margen depende sobre todo de que vuelva el volumen en Gucci; los recortes de tiendas y de existencias ayudan, pero no bastan.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Saint Laurent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Bottega Veneta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casas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Kering Eyewear y 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Yves Saint Laurent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Bottega Veneta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casas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Kering Eyewear y corporativo</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r>
    </w:tbl>
    <w:p>
      <w:pPr>
        <w:spacing w:after="160" w:before="0"/>
      </w:pPr>
    </w:p>
    <w:p>
      <w:pPr>
        <w:pStyle w:val="Heading2"/>
      </w:pPr>
      <w:r>
        <w:t xml:space="preserve">Clientes, recurrencia y poder de precios</w:t>
      </w:r>
    </w:p>
    <w:p>
      <w:pPr>
        <w:spacing w:after="100"/>
      </w:pPr>
      <w:r>
        <w:t xml:space="preserve">Clientes particulares atomizados. El poder de precios de Gucci se agotó: las subidas de precio de 2019-2023 en la marroquinería del sector, del 50-70 %, alejaron al cliente aspiracional [19]. Saint Laurent y Bottega Veneta mantienen mejor el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crecimiento orgánico en tres años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crecimiento comparable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 secuencial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minoristas de Gucci 7 puntos mejor en el 2T que en el 1T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de 921 M frente a 920 M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 Gucci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468 M EUR de resultado sobre 2.757 M de ventas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financiera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 M EUR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3.300 M EUR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Kering Beauté a L'Oréal (4.000 M) e inmobiliario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Bienes personales de lujo en el mundo (marroquinería, calzado, confección, joyería, relojes, gafas y belleza de lujo), el perímetro del estudio Bain-Altagamma. Es el mercado de Kering salvo la belleza, que vendió a L'Oréal en 2026; la marroquinería de lujo, su categoría principal, suma unos 74.000 M EUR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[19,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cliente aspiracional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[19]; es el cliente que más pesaba en Gucci.</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los bolsos icónicos subieron un 50-70 % de 2019 a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con recuperación gradual prevista para 2026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unos 101.000 M EUR en 2025, es la región que tira en 2026 según Bain [19, 20]; Saint Laurent y Bottega Veneta crecieron en el 1T26 sobre todo por Norteamérica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Geopolítica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Conflicto entre EE. UU. e Irán, petróleo por encima de 100 USD y devoluciones de impuestos a turistas −20 % en febrero de 2026 [20]; Oriente Medio restó un punto a Kering en el 1T26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un 35 % del mercado y solo el 40-45 % de las marcas creció en 2025 [19]; en marroquinería aspiracional, Gucci compite con Louis Vuitton, Dior, Prada y Miu Miu, que ganaron cuota mientras caía [21,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sobre todo en tiendas propias, pero el cliente aspiracional abandona cuando la marca pierde atractivo: 70 millones de clientes menos desde 2022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Talleres y curtidurías italianos y franceses, con integración creciente de los grandes grupos; la escasez de artesanos es el cuello de botella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tardan décadas en construirse; las nuevas entran por nichos y la segunda mano (unos 50.000 M EUR)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a la segunda mano [19, 20].</w:t>
            </w:r>
          </w:p>
        </w:tc>
      </w:tr>
    </w:tbl>
    <w:p>
      <w:pPr>
        <w:spacing w:after="160" w:before="0"/>
      </w:pPr>
    </w:p>
    <w:p>
      <w:pPr>
        <w:pStyle w:val="Heading2"/>
      </w:pPr>
      <w:r>
        <w:t xml:space="preserve">Ciclo</w:t>
      </w:r>
    </w:p>
    <w:p>
      <w:pPr>
        <w:spacing w:after="100"/>
      </w:pPr>
      <w:r>
        <w:t xml:space="preserve">Tras tres años de caída del mercado a tipos corrientes (2023-2025), Bain prevé un 2026 de +2/+4 % a tipos constantes con EE. UU. como motor [19, 20]. En 2009 el mercado cayó un 8 % y en 2020 un 23 %, con recuperación completa en uno o dos años; la caída de 2023-2025 es distinta, por precio y pérdida de clientes, no por recesión, y castiga a las marcas aspiracionales como Gucci [19].</w:t>
      </w:r>
    </w:p>
    <w:p>
      <w:pPr>
        <w:pStyle w:val="Heading2"/>
      </w:pPr>
      <w:r>
        <w:t xml:space="preserve">Regulación</w:t>
      </w:r>
    </w:p>
    <w:p>
      <w:pPr>
        <w:spacing w:after="100"/>
      </w:pPr>
      <w:r>
        <w:t xml:space="preserve">Aranceles de EE. UU. a las importaciones europeas y devoluciones de IVA a turistas en Europa, que cayeron un 20 % en febrero de 2026 [20]. Normas europeas de diseño ecológico y de destrucción de existencias no vendidas (prohibida en textil desde 2026), que obligan a gestionar mejor el inventario [19].</w:t>
      </w:r>
    </w:p>
    <w:p>
      <w:pPr>
        <w:pStyle w:val="Heading2"/>
      </w:pPr>
      <w:r>
        <w:t xml:space="preserve">Tendencias y disrupción</w:t>
      </w:r>
    </w:p>
    <w:p>
      <w:pPr>
        <w:spacing w:after="100"/>
      </w:pPr>
      <w:r>
        <w:t xml:space="preserve">Concentración del gasto en el cliente de muy alto patrimonio, cuota creciente de la joyería y de las marcas de lujo «silencioso», y segunda mano. Kering pierde con la primera tendencia (Gucci era la marca aspiracional por excelencia) y gana con la joyería (Boucheron, Pomellato, Qeelin) y las gafas, su negocio que más crece [10, 19,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Cuarto grupo mundial de bienes personales de lujo por ventas (14.675 M EUR en 2025, ≈4 % del mercado), tras LVMH, Richemont y Chanel y muy cerca de Hermès [19, 21, 22,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en 2025 y margen del 35 %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la joyería (Cartier, Van Cleef &amp; Arpels) gana un 30,5 %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superado a Kering en ventas con un margen casi cuatro veces mayor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por Miu Miu; compró Versace en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deseo de una marca se contagia, pero también su pérdida: Gucci −22 % en 2025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70 millones de clientes menos en el mercado desde 2022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Saint Laurent y Bottega Veneta son marcas centenarias o de referencia; L'Oréal pagó 4.000 M por Creed y licencias de belleza de 50 años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11,1 % en 2025 frente al 35 % de LVMH Moda y Marroquinería y el 41 % de Hermès [3,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tiendas propias y logística compartida, en recorte: 100 tiendas menos en 2026 [9].</w:t>
            </w:r>
          </w:p>
        </w:tc>
      </w:tr>
    </w:tbl>
    <w:p>
      <w:pPr>
        <w:spacing w:after="160" w:before="0"/>
      </w:pPr>
    </w:p>
    <w:p>
      <w:pPr>
        <w:pStyle w:val="Heading2"/>
      </w:pPr>
      <w:r>
        <w:t xml:space="preserve">Amenazas</w:t>
      </w:r>
    </w:p>
    <w:p>
      <w:pPr>
        <w:spacing w:after="100"/>
      </w:pPr>
      <w:r>
        <w:t xml:space="preserve">La amenaza principal es que Gucci no recupere al cliente: cayó un 22 % en 2025 y un 8 % comparable en el 1T26, mientras Louis Vuitton, Prada y Miu Miu siguen ganando cuota [10, 12, 21, 24]. La segunda, la competencia por talento creativo y por las mejores ubicaciones, que los grupos más rentables pagan con más holgura.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spacing w:after="100"/>
      </w:pPr>
      <w:r>
        <w:t xml:space="preserve">Crecimiento anual compuesto 2021-2025: ingresos </w:t>
      </w:r>
      <w:r>
        <w:rPr>
          <w:b/>
          <w:bCs/>
        </w:rPr>
        <w:t xml:space="preserve">-4,5 %</w:t>
      </w:r>
      <w:r>
        <w:t xml:space="preserve">, EBITDA </w:t>
      </w:r>
      <w:r>
        <w:rPr>
          <w:b/>
          <w:bCs/>
        </w:rPr>
        <w:t xml:space="preserve">-13,2 %</w:t>
      </w:r>
      <w:r>
        <w:t xml:space="preserve">, BPA </w:t>
      </w:r>
      <w:r>
        <w:rPr>
          <w:b/>
          <w:bCs/>
        </w:rPr>
        <w:t xml:space="preserve">-36,7 %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De 2021 a 2022 las ventas crecieron un 15 % hasta 20.351 M con un margen operativo recurrente del 27,5 % [5]. Desde entonces caen tres años seguidos: −4 % en 2023, −12 % en 2024 y −13 % en 2025 (−10 % comparable), hasta 14.675 M sin la belleza [2, 3, 4]. El margen pasó del 27,5 % al 24,3 %, al 14,9 % y al 11,1 %: con costes de tiendas, publicidad y diseño casi fijos, cada punto de ventas perdido restó más de un punto de margen [2, 3]. Gucci explica casi toda la caída: de unos 10.500 M de ventas en 2022 a 5.992 M en 2025, con un margen del 16,1 % [12]. En el 1S26 el margen subió 0,4 puntos hasta el 12,8 % con ventas −3 % publicadas y +1 % comparables [1]. 2025 no es comparable con 2021-2024 por la salida de Kering Beauté (2024 reexpresado: 16.874 M) [6].</w:t>
      </w:r>
    </w:p>
    <w:p>
      <w:pPr>
        <w:pStyle w:val="Heading2"/>
      </w:pPr>
      <w:r>
        <w:t xml:space="preserve">Ajustes y partidas no recurrentes</w:t>
      </w:r>
    </w:p>
    <w:p>
      <w:pPr>
        <w:spacing w:after="100"/>
      </w:pPr>
      <w:r>
        <w:t xml:space="preserve">Cuenta en base </w:t>
      </w:r>
      <w:r>
        <w:rPr>
          <w:b/>
        </w:rPr>
        <w:t xml:space="preserve">recurrente</w:t>
      </w:r>
      <w:r>
        <w:t xml:space="preserve">, la que usa la empresa: EBITDA recurrente, resultado operativo recurrente (EBIT) y beneficio neto recurrente de las actividades continuadas atribuible al grupo [1, 2, 3, 4, 5, 9]. El beneficio publicado fue de 3.176 M (2021), 3.614 M (2022), 2.983 M (2023), 1.133 M (2024) y −29 M (2025) [2, 3, 6]: la diferencia son deterioros, reestructuración y plusvalías inmobiliarias, que se repiten desde 2023. Impuestos y minoritarios son estimación propia por diferencia (minoritarios de 20-80 M al año); el resultado financiero es la línea no operativa de Stock Analysis [6]. El BPA recurrente de 2024 (10,59 €) es estimación propia: 1.300 M ÷ 122,8 M de acciones [3]; el de 2023 (25,02 €) y el de 2025 (4,34 €), publicados [2, 16].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presentación del semestre (29-jul) Luca de Meo habló de «vuelta al crecimiento» por el +2 % comparable del 2T, el primero en tres años, y destacó la mejora secuencial de Gucci (ventas minoristas siete puntos mejor que en el 1T) y la caída de la deuda neta a 3.300 M [1, 11]. En abril, con el 1T plano y Gucci −8 % comparable, el mensaje había sido de paciencia: reajuste estructural hasta finales de 2026 y reconstrucción hasta 2028 [10, 17]. Las preguntas se centran en cuándo crecerá Gucci y en el margen del 2S, que la dirección solo promete superior al del 1S (12,8 %); no da objetivo de margen para Gucci, la crítica principal de la prensa financiera al plan [1,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Kering Beauté (Creed y licencias) clasificada como actividad interrumpida y vendida a L'Oréal el 31-mar-2026 por 4.000 M: 2025 sin Beauté; 2021-2024 con Beauté (2024 reexpresado: 16.874 M de ventas).; 2023: Compra de Creed (3.500 M) y del 30 % de Valentino (1.700 M, puesta en equivalencia); salto del fondo de comercio de 4.053 a 7.112 M.). Los ratios de balance de ese año (días, circulante, deuda neta / EBITDA, ROIC) y los indicadores de calidad contable no son comparables con los anteriores.</w:t>
      </w:r>
    </w:p>
    <w:p>
      <w:pPr>
        <w:spacing w:after="100"/>
      </w:pPr>
      <w:r>
        <w:t xml:space="preserve">La deuda neta pasó de unos 10.500 M a dic-2024 a 8.000 M a dic-2025 y a 3.300 M a jun-2026, con la venta de Kering Beauté (4.000 M), operaciones inmobiliarias (497 M netos en el 1S26) y el acuerdo de licencia de Gucci Beauty (300 M) [1, 2, 3]. La deuda financiera bruta de 2024 (14.060 M) es estimación propia: deuda neta publicada más caja de Stock Analysis [3, 7]. Las existencias bajaron de 4.550 M (2023) a 3.677 M (2025) y el plan prevé otros 1.000 M menos [7, 17].</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12.667</w:t>
      </w:r>
      <w:r>
        <w:t xml:space="preserve">, conversión </w:t>
      </w:r>
      <w:r>
        <w:rPr>
          <w:b/>
          <w:bCs/>
        </w:rPr>
        <w:t xml:space="preserve">106 %</w:t>
      </w:r>
      <w:r>
        <w:t xml:space="preserve"> del beneficio neto; adquisiciones 0, dividendos 6.645, recompras 0.</w:t>
      </w:r>
    </w:p>
    <w:p>
      <w:pPr>
        <w:spacing w:after="100"/>
      </w:pPr>
      <w:r>
        <w:t xml:space="preserve">El capex de 2023 (2.611 M) y 2024 (3.309 M) incluye compras inmobiliarias en Milán, París y Nueva York; sin ellas, la caja libre operativa fue de 3.600 M en 2024 (+7 %) [3, 8]. En 2025 la caja libre operativa fue de 4.400 M con 2.100 M de ventas inmobiliarias, y de unos 2.300 M sin ellas (−35 %) [2]. En el 1S26, 2.600 M (1.800 M sin inmobiliario ni Gucci Beauty) [1]. La caja libre de Kering no resta el principal de los arrendamientos (no localizado; del orden de 1.100-1.200 M al año por la amortización de derechos de uso), así que la caja libre para el accionista es bastante menor.</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Sin acceso al documento de registro universal no se han revisado las notas ni la opinión del auditor. Dos señales en las cifras: tres años con partidas no recurrentes (el beneficio publicado de 2025, −29 M, frente a 532 M recurrentes) y una caja libre que se apoya en ventas de inmuebles y activos (2.100 M en 2025; 797 M de inmobiliario y licencias en el 1S26) [1, 2]. El motor no calcula Altman ni Beneish por falta de balance completo; el Piotroski de 5 sobre 9 es poco fiable por la misma razón.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todos los años desde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publicado de −29 M en 2025 frente a 532 M recurrentes [2]; deterioros y reestructuración se repiten.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 apoyada en ventas de inmuebles y activos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2.100 M de inmobiliario en 2025 y 797 M de inmobiliario y licencias en el 1S26 [1,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-8,0 % · </w:t>
      </w:r>
      <w:r>
        <w:rPr>
          <w:b/>
          <w:bCs/>
        </w:rPr>
        <w:t xml:space="preserve">WACC</w:t>
      </w:r>
      <w:r>
        <w:t xml:space="preserve">: 7,6 %.</w:t>
      </w:r>
    </w:p>
    <w:p>
      <w:pPr>
        <w:spacing w:after="100"/>
      </w:pPr>
      <w:r>
        <w:t xml:space="preserve">Kering no crea valor hoy: el ROIC de 2025 es del 3,5 % (NOPAT de 979 M sobre 27.947 M de capital invertido con arrendamientos) frente a un WACC del 7,59 % [2, 7]. En 2024 fue del 9,2 %. Los ROIC de 2021-2023 del motor no son significativos: falta la deuda bruta de esos años y el capital invertido sale negativo o casi cero. Con los márgenes de 2022 (27,5 % operativo) el ROIC superaba con holgura el 20 %; la caída viene del margen, no de la rotación, que apenas baja de 0,41 a 0,35. LVMH tiene un ROIC del 12,7 % y Hermès del 55,1 % [48]. El ROIC incremental es negativo: se invirtieron 6.000-7.000 M en compras e inmuebles mientras el beneficio caía [3, 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8.500 M a 30-jun-2026, de los que 4.000 M vienen de la venta de Kering Beauté [1].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Arrendamientos de unos 6.212 M a dic-2025 (1.180 M a corto y 5.032 M a largo) [7, 18]. </w:t>
      </w:r>
      <w:r>
        <w:rPr>
          <w:b/>
        </w:rPr>
        <w:t xml:space="preserve">Valentino</w:t>
      </w:r>
      <w:r>
        <w:t xml:space="preserve">: Kering tiene el 30 % y Mayhoola puede venderle el 70 % restante en 2028 y 2029 (opciones aplazadas en sep-2025); el precio depende de los resultados de Valentino, con estimaciones de 3.400-4.000 M, y hasta 3 millones de acciones pueden pagarse en acciones de Kering [14]. Es un compromiso de inversión, no deuda financiera, pero puede volver a subir la deuda neta en 2028.</w:t>
      </w:r>
    </w:p>
    <w:p>
      <w:pPr>
        <w:pStyle w:val="Heading1"/>
      </w:pPr>
      <w:r>
        <w:t xml:space="preserve">12. Asignación de capital</w:t>
      </w:r>
    </w:p>
    <w:p>
      <w:pPr>
        <w:pStyle w:val="Confianza"/>
        <w:spacing w:after="100"/>
      </w:pPr>
      <w:r>
        <w:t xml:space="preserve">Confianza: Media</w:t>
      </w:r>
    </w:p>
    <w:p>
      <w:pPr>
        <w:spacing w:after="100"/>
      </w:pPr>
      <w:r>
        <w:t xml:space="preserve">Dividendo ordinario de 3,00 € más 1,00 € extraordinario con cargo a 2025, frente a 6,00 € de 2024 y 14,00 € de 2023 [2, 3, 4]. La prioridad declarada es reducir deuda y reinvertir en las marcas: venta de Kering Beauté a L'Oréal (4.000 M), operaciones inmobiliarias y el plan ReconKering con al menos 100 tiendas menos en 2026 y 150 más hasta 2030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Creed (perfumes)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a L'Oréal en 2026 dentro de Kering Beauté por 4.000 M junto con licencias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de Valentino (con opción sobre el 70 %)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Valentino −22 % en 2024; compra del resto aplazada a 2028-2029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Inmuebles en Milán (Via Montenapoleone), París y Nueva York (Quinta Avenida)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revendida en 2025-2026 (2.100 M y 497 M netos) [1, 2].</w:t>
            </w:r>
          </w:p>
        </w:tc>
      </w:tr>
    </w:tbl>
    <w:p>
      <w:pPr>
        <w:spacing w:after="160" w:before="0"/>
      </w:pPr>
    </w:p>
    <w:p>
      <w:pPr>
        <w:spacing w:after="100"/>
      </w:pPr>
      <w:r>
        <w:t xml:space="preserve">La asignación de capital de 2023-2024 fue mala: Creed (3.500 M), el 30 % de Valentino (1.700 M) y edificios en Milán, París y Nueva York se pagaron con deuda cuando las ventas ya caían, y la deuda neta llegó a unos 10.500 M [3, 14]. La nueva dirección la está deshaciendo: la belleza se vendió a L'Oréal por 4.000 M y parte del inmobiliario se ha revendido (2.100 M en 2025) [1, 2]. El ROIC incremental es negativo y el dividendo ha bajado de 14 € a 3 € ordinarios. El compromiso con Valentino en 2028-2029 es la próxima prueba.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 de Meo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Renault (2020-2025), donde llevó el margen operativo de pérdidas a cerca del 8 %; antes, SEAT y el grupo Volkswagen. Entró en Kering en septiembre de 2025 con una prima de incorporación de 20 M EUR sometida a la junta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Pinault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2005 a 2025; transformó PPR en un grupo de lujo puro. Controla Kering a través de Artémis, la sociedad de la familia [28,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creativo de Gucci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en Balenciaga (2015-2025). Su nombramiento hizo caer la acción un 11 % en marzo de 2025; sus primeras colecciones llegan a tienda en 2026 [31].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2S26 superior al del 1S26 (12,8 %)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(resultados anuales en feb-2027)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Reducir la deuda con la venta de Kering Beauté y operaciones inmobiliarias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de 8.000 M a 3.300 M entre dic-25 y jun-26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nuevo: de Meo llegó hace 13 meses sin experiencia en lujo y con un historial de reestructuración en Renault; su plan ReconKering (abril de 2026) fija fases hasta 2030 pero sin objetivo de margen para Gucci, lo que la prensa financiera le reprochó [29, 32]. La credibilidad se medirá en el 3T26 (22-oct) y en los resultados anuales.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François-Henri Pinault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Luca de Meo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a la reelección de presidente o primer ejecutivo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99,0 % a favor (no se vota la remuneración)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Artémis (familia Pinault)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59,3 % de los derechos de voto por los votos dobles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Parvus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activista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Superó el 5 % del capital (3,5 % de los votos)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9-sep-2025 votó la entrada de Luca de Meo como consejero (98,97 % a favor) y una prima de incorporación de 20 M EUR; la prensa recoge un 8,89 % en contra en una de las resoluciones, sin precisar cuál [29]. No se ha localizado el informe de remuneraciones de 2025 ni el voto de la junta del 28-may-2026, que aprobó el dividendo [28, 33].</w:t>
      </w:r>
    </w:p>
    <w:p>
      <w:pPr>
        <w:pStyle w:val="Heading2"/>
      </w:pPr>
      <w:r>
        <w:t xml:space="preserve">Operaciones vinculadas, estructura de control y defensas</w:t>
      </w:r>
    </w:p>
    <w:p>
      <w:pPr>
        <w:spacing w:after="100"/>
      </w:pPr>
      <w:r>
        <w:t xml:space="preserve">Artémis controla el 42,3 % del capital y el 59,3 % de los votos gracias al voto doble de las acciones nominativas con más de dos años, así que decide la junta y el nombramiento del primer ejecutivo [28, 29]. El presidente es François-Henri Pinault. Operaciones con la familia: Artémis vendió activos a Kering en el pasado y comparte inversiones inmobiliarias y de moda; la compra del 30 % de Valentino a Mayhoola con opciones sobre el 70 % es un compromiso de hasta 4.000 M [14].</w:t>
      </w:r>
    </w:p>
    <w:p>
      <w:pPr>
        <w:pStyle w:val="Heading2"/>
      </w:pPr>
      <w:r>
        <w:t xml:space="preserve">Señales de alerta</w:t>
      </w:r>
    </w:p>
    <w:p>
      <w:pPr>
        <w:pStyle w:val="ListParagraph"/>
        <w:numPr>
          <w:ilvl w:val="0"/>
          <w:numId w:val="2"/>
        </w:numPr>
        <w:spacing w:after="60"/>
      </w:pPr>
      <w:r>
        <w:t xml:space="preserve">Voto doble: el 42,3 % del capital controla el 59,3 % de los votos [28].</w:t>
      </w:r>
    </w:p>
    <w:p>
      <w:pPr>
        <w:pStyle w:val="ListParagraph"/>
        <w:numPr>
          <w:ilvl w:val="0"/>
          <w:numId w:val="2"/>
        </w:numPr>
        <w:spacing w:after="60"/>
      </w:pPr>
      <w:r>
        <w:t xml:space="preserve">Prima de incorporación de 20 M EUR al consejero delegado [29].</w:t>
      </w:r>
    </w:p>
    <w:p>
      <w:pPr>
        <w:pStyle w:val="ListParagraph"/>
        <w:numPr>
          <w:ilvl w:val="0"/>
          <w:numId w:val="2"/>
        </w:numPr>
        <w:spacing w:after="60"/>
      </w:pPr>
      <w:r>
        <w:t xml:space="preserve">Compromiso de compra del 70 % de Valentino en 2028-2029 por 3.400-4.000 M, pagadero en parte con hasta 3 millones de acciones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Kering no da guía numérica anual. Para 2026 espera un margen operativo recurrente del 2S superior al del 1S (12,8 %) [1]. El plan ReconKering (16-abr-2026) tiene tres fases: reajuste estructural hasta finales de 2026, reconstrucción hasta 2028 y vuelta al liderazgo en 2030, con el compromiso de más que duplicar el margen operativo del 11 % de 2025, sin fecha ni objetivo para Gucci; al menos 100 tiendas menos en 2026 y 150 más hasta 2030, y 1.000 M menos de existencias [17,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2-sep-2026 (beneficio neto de 642 M ÷ 122,6 M de acciones)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2-sep-2026 (1.140 M ÷ 122,6 M)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2-sep-2026 (1.540 M ÷ 122,6 M)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17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360,00</w:t>
            </w:r>
          </w:p>
        </w:tc>
      </w:tr>
    </w:tbl>
    <w:p>
      <w:pPr>
        <w:spacing w:after="160" w:before="0"/>
      </w:pPr>
    </w:p>
    <w:p>
      <w:pPr>
        <w:pStyle w:val="Heading2"/>
      </w:pPr>
      <w:r>
        <w:t xml:space="preserve">Revisiones de estimaciones</w:t>
      </w:r>
    </w:p>
    <w:p>
      <w:pPr>
        <w:spacing w:after="100"/>
      </w:pPr>
      <w:r>
        <w:t xml:space="preserve">El objetivo medio de Investing.com (282,46 €, 24 analistas) es de principios de julio; desde entonces hay recortes: Morgan Stanley de 320 a 250 € y Citi de 282 a 243 € el 2-oct, Rothschild &amp; Co Redburn rebajó a Vender en septiembre [36, 37, 38]. El BPA por acción del consenso es estimación propia (beneficio neto de MarketScreener ÷ 122,6 M de acciones). Solo una fuente con estimaciones completas.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Rentabilidades de precio calculadas con los cierres anuales [39]. La acción cerró 2025 en 303,10 € tras subir con la llegada de Luca de Meo y la venta de la belleza; en 2026 ha caído un 31 % hasta 209,10 € (7-oct): −4 % el día del plan estratégico (16-abr), recuperación a 250 € en julio y −14,7 % en el último mes con los recortes de objetivos antes del 3T [36, 37, 40].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El PER de los últimos 12 meses (48,2 veces) no sirve: el beneficio recurrente está un 86 % por debajo del de 2022. Por EV/EBITDA, 9,6 veces frente a una media de 7,4 en los años comparables (2021-2023): el mercado paga la recuperación del margen. Con el PER adelantado (precio de cierre ÷ BPA del año siguiente), Kering cotizó a 19-23 veces en 2020-2022, y hoy a 20,8 veces nuestro BPA de 2027e [39].</w:t>
      </w:r>
    </w:p>
    <w:p>
      <w:pPr>
        <w:pStyle w:val="Heading1"/>
      </w:pPr>
      <w:r>
        <w:t xml:space="preserve">18. Comparables cotizados</w:t>
      </w:r>
    </w:p>
    <w:p>
      <w:pPr>
        <w:pStyle w:val="Confianza"/>
        <w:spacing w:after="100"/>
      </w:pPr>
      <w:r>
        <w:t xml:space="preserve">Confianza: Media</w:t>
      </w:r>
    </w:p>
    <w:p>
      <w:pPr>
        <w:spacing w:after="100"/>
      </w:pPr>
      <w:r>
        <w:t xml:space="preserve">Grupos europeos de lujo personal con cifras de MarketScreener del 8-oct (las del análisis de Hermès del 11-oct): Hermès, LVMH, Richemont, Moncler, Prada y Brunello Cucinelli [48]. Fuera L'Oréal (belleza, ya no es el negocio de Kering) y las marcas de moda accesible (Tapestry, Capri). Ninguno está en una recuperación de margen como Kering: los múltiplos sobre beneficio actual la penalizan.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12,3x / 15,8x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19,8x / 25,9x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3,8x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Kering cotiza a 9,6 veces el EBITDA de los últimos 12 meses, por encima de LVMH (9,1) y Moncler (8,0) pero con un margen EBITDA del 25 % frente al 30-46 % del grupo [48]. Por PER de los próximos 12 meses (24,8 veces) es de las más caras, porque su beneficio está en el suelo; el valor implícito por PER (166,55 €) es el método que más resta. Por EV/EBITDA, la mediana da 289,71 €. Usamos el DCF como método principal y los comparables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a 131,50 USD por acción; EV/ventas sobre las ventas de 2021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Hoteles y trenes de lujo; EBITDA ajustado de 140 M USD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en caja y mitad en acciones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llegó a cerrarse y era moda accesible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recuperación de una marca en pérdidas [45].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en caja, cerrada el 31-mar-2026 [1, 46].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310,29 – 510,71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del sector (Tiffany a 3,8 veces ventas, Belmond y Stone Island a 17-23 veces el EBITDA) son de marcas en crecimiento y llevan prima de control [41, 42, 43]. Kering no es comprable: Artémis tiene el 59,3 % de los votos. La venta de la belleza a L'Oréal por 4.000 M sí sirve de referencia del valor de sus marcas fuera de la moda [46]. Peso cero en la síntesis.</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−2,0 %: 7.218 M en el 1S (−3 % publicado) y un 2S similar al de 2025 con divisas en contra [1]. Después, 5-6 % en 2027-2029 (volumen de Gucci y de Saint Laurent, más 2 % de precio), por encima del mercado (3,5 % previsto) porque parte de una base hundida: las ventas de 2028e (16.007 M) siguen un 21 % por debajo de 2022 [5, 19]. El consenso espera 15.700 M en 2027 y 16.800 M en 2028 [35]: nuestro base va algo por debajo. Converge al 3 % en 2033e.</w:t>
      </w:r>
    </w:p>
    <w:p>
      <w:pPr>
        <w:keepNext/>
        <w:spacing w:after="100"/>
      </w:pPr>
      <w:r>
        <w:rPr>
          <w:b/>
          <w:bCs/>
        </w:rPr>
        <w:t xml:space="preserve">Márgenes.</w:t>
      </w:r>
    </w:p>
    <w:p>
      <w:pPr>
        <w:spacing w:after="100"/>
      </w:pPr>
      <w:r>
        <w:t xml:space="preserve">Margen EBITDA (con NIIF 16) del 27,0 % en 2026e, del 30,0 % en 2028e y del 33,0 % desde 2031e, frente al 36,7 % de 2021 y el 25,0 % de 2025 [2, 9]. Equivale a un margen operativo del 16 % en 2028e y del 19 % al final, menos que el 27,5 % de 2022 y en línea con «más que duplicar el 11 %» del plan [32]. El EBIT de 2028e (2.577 M) queda cerca del consenso (2.890 M) [35].</w:t>
      </w:r>
    </w:p>
    <w:p>
      <w:pPr>
        <w:keepNext/>
        <w:spacing w:after="100"/>
      </w:pPr>
      <w:r>
        <w:rPr>
          <w:b/>
          <w:bCs/>
        </w:rPr>
        <w:t xml:space="preserve">Inversión y circulante.</w:t>
      </w:r>
    </w:p>
    <w:p>
      <w:pPr>
        <w:spacing w:after="100"/>
      </w:pPr>
      <w:r>
        <w:t xml:space="preserve">Amortización del 13,9 % de las ventas (la de 2025, con derechos de uso) y capex del 12,5-14 % que suma el operativo (5,7 % en 2025) y las altas de derechos de uso de tiendas, porque los arrendamientos están en el puente [8]. Circulante del 24-23 % de las ventas: solo existencias (25 % en 2025) porque no hay clientes ni proveedores; el plan prevé 1.000 M menos de existencias [7, 17].</w:t>
      </w:r>
    </w:p>
    <w:p>
      <w:pPr>
        <w:keepNext/>
        <w:spacing w:after="100"/>
      </w:pPr>
      <w:r>
        <w:rPr>
          <w:b/>
          <w:bCs/>
        </w:rPr>
        <w:t xml:space="preserve">Coste del capital.</w:t>
      </w:r>
    </w:p>
    <w:p>
      <w:pPr>
        <w:spacing w:after="100"/>
      </w:pPr>
      <w:r>
        <w:t xml:space="preserve">Bund a 10 años del 3,53 % [49], beta 1,2 (estimación propia: lujo cíclico con deuda; sin históricos de precios en este entorno), prima de mercado del 5,5 % y coste de la deuda del 4,0 % antes de impuestos con un 35 % de deuda a valor de mercado (deuda bruta y arrendamientos frente a una capitalización de 25.636 M). WACC del 7,59 %. Con la prima implícita del mercado (4,2 %) el DCF sube a 318,61 €.</w:t>
      </w:r>
    </w:p>
    <w:p>
      <w:pPr>
        <w:keepNext/>
        <w:spacing w:after="100"/>
      </w:pPr>
      <w:r>
        <w:rPr>
          <w:b/>
          <w:bCs/>
        </w:rPr>
        <w:t xml:space="preserve">Valor terminal.</w:t>
      </w:r>
    </w:p>
    <w:p>
      <w:pPr>
        <w:spacing w:after="100"/>
      </w:pPr>
      <w:r>
        <w:t xml:space="preserve">Gordon con un crecimiento del 2,0 %, el de la inflación en euros, por debajo de la tasa libre menos medio punto. El valor terminal pesa un 70 %. El múltiplo implícito es coherente con las 9-16 veces EBITDA de los comparables [48].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(hoy: 4,1 %)</w:t>
            </w:r>
          </w:p>
        </w:tc>
      </w:tr>
    </w:tbl>
    <w:p>
      <w:pPr>
        <w:spacing w:after="160" w:before="0"/>
      </w:pPr>
    </w:p>
    <w:p>
      <w:pPr>
        <w:spacing w:after="100"/>
      </w:pPr>
      <w:r>
        <w:t xml:space="preserve">La proyección apenas necesita inversión neta de la amortización (reinversión acumulada de 429 M, el 2 % del NOPAT, con un capex bruto medio del 13,5 % de las ventas). En un negocio de activos ligeros, el crecimiento medio del 3,9 % tiene que salir de subir precios y de ganar volumen sin capital nuevo, y la prueba es el poder de precios y la cuota (4,2 % del mercado en 2033e, frente al 4,1 %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(Gucci −5 % comparable en el 1S y cierre de al menos 100 tiendas), precio +2 % y divisas −1 % [1,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con las colecciones de Demna en tienda todo el año y Saint Laurent y Bottega Veneta creciendo; precio +2 %; joyería y gafas +0,5 % de mezcla [1,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en la fase de «reconstrucción» del plan; precio +2 %; mezcla +0,5 %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recuperación del cliente aspiracional, que el mercado perdió en 2023-2025 [19].</w:t>
            </w:r>
          </w:p>
        </w:tc>
      </w:tr>
    </w:tbl>
    <w:p>
      <w:pPr>
        <w:spacing w:after="160" w:before="0"/>
      </w:pPr>
    </w:p>
    <w:p>
      <w:pPr>
        <w:spacing w:after="100"/>
      </w:pPr>
      <w:r>
        <w:t xml:space="preserve">La proyección apenas necesita capital nuevo (reinversión del 2 % del NOPAT) y deja la cuota casi igual, del 4,1 % al 4,2 % del mercado en 2033e, así que ninguna prueba cuantitativa falla y no hace falta rebajar el base. Pero el crecimiento no sale de un foso que funcione hoy: Gucci perdió un 43 % de ventas en tres años y su poder de precios se agotó [12, 19]. El ROIC (3,5 %) está por debajo del WACC y el ROIC incremental es negativo. Por eso «En parte»: financiable, pero dependiente de recuperar el deseo por la marca.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7,6 %)</w:t>
            </w:r>
          </w:p>
        </w:tc>
      </w:tr>
    </w:tbl>
    <w:p>
      <w:pPr>
        <w:spacing w:after="160" w:before="0"/>
      </w:pPr>
    </w:p>
    <w:p>
      <w:pPr>
        <w:spacing w:after="100"/>
      </w:pPr>
      <w:r>
        <w:t xml:space="preserve">El DCF da 245,33 € por acción, un 17,3 % por encima del precio, con un WACC del 7,59 % y un valor terminal que pesa el 70 %. El DCF inverso dice que el precio descuenta un crecimiento del 1,9 % anual en 2027-2033 con nuestro margen, frente al 4,8 % de nuestro base, y una rentabilidad implícita del 8,3 %. No es exigente: basta con que las ventas recuperen la mitad de lo perdido en una década. La cifra depende del margen: si se queda 3 puntos por debajo, como en el bajista, el valor cae a 130,53 €. Con la prima implícita del mercado sube a 318,61 €; la diferencia es la beta de 1,2, que es una estimación.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no recupera al cliente con Demna, como le pasó con Sabato De Sarno en 2023-2024: ventas planas en 2027-2028 y margen EBITDA 3 puntos por debajo (operativo del 13 %). La compra de Valentino en 2028 sube la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deja de caer en 2026 y crece un 3-5 % desde 2027; Saint Laurent, Bottega Veneta, joyería y gafas crecen con el mercado. El margen operativo sube al 16 % en 2028 y al 19 % en 2031.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colecciones de Demna funcionan como las de Michele en 2015-2017: ventas +7-8 % al año y margen operativo del 18 % en 2028, camino de la mitad del 30 % de 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EUR) · precio actual 209,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227,95 EUR (+9,0 %).</w:t>
      </w:r>
    </w:p>
    <w:p>
      <w:pPr>
        <w:spacing w:after="100"/>
      </w:pPr>
      <w:r>
        <w:t xml:space="preserve">El alcista gana un 50,0 % en el DCF y el bajista pierde un 37,6 %; a 12 meses, +54,7 % frente a −28,7 %, con una asimetría de 1,77. Compensa solo si se cree que Gucci ha tocado fondo; el bajista es verosímil porque ya ocurrió en 2023-2025 con otro director creativo.</w:t>
      </w:r>
    </w:p>
    <w:p>
      <w:pPr>
        <w:pStyle w:val="Heading1"/>
      </w:pPr>
      <w:r>
        <w:t xml:space="preserve">22. Suma de partes</w:t>
      </w:r>
    </w:p>
    <w:p>
      <w:pPr>
        <w:pStyle w:val="Confianza"/>
        <w:spacing w:after="100"/>
      </w:pPr>
      <w:r>
        <w:t xml:space="preserve">Confianza: Baja</w:t>
      </w:r>
    </w:p>
    <w:p>
      <w:pPr>
        <w:spacing w:after="100"/>
      </w:pPr>
      <w:r>
        <w:t xml:space="preserve">No aplica: las marcas comparten tiendas, logística y costes centrales y la empresa solo publica ventas por marca de Gucci desde 2026 [10]. Las gafas (unos 1.600 M de ventas y un 15,8 % de margen) serían la única parte separable [12].</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EUR) · precio actual 209,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221,29 EUR (+5,8 % sobre 209,10).</w:t>
      </w:r>
    </w:p>
    <w:p>
      <w:pPr>
        <w:spacing w:after="100"/>
      </w:pPr>
      <w:r>
        <w:t xml:space="preserve">Pesos: DCF 50 %, comparables 25 % y escenarios 25 %. El DCF es el método más fiable para una empresa en recuperación porque recoge la vuelta del margen; los comparables por PER la castigan (166,55 €) y por EV/EBITDA la premian (289,71 €), señal de que el beneficio está en el suelo. Sin transacciones (control de Artémis) ni suma de partes. La dispersión entre métodos (130-319 €) es amplia: el valor depende de un solo supuesto, el margen. Puente a 30-jun-2026: deuda bruta de 11.800 M, caja de 8.500 M y arrendamientos de 6.212 M [1, 7]. El 30 % de Valentino y los minoritarios no tienen cifra localizada y van a cero (prudente: la participación vale unos 1.000-1.700 M, 8-14 € por acción).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(20.8x) a mitad de camino hacia la mediana de 5 años (21.1x)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+54,7 %</w:t>
            </w:r>
          </w:p>
        </w:tc>
      </w:tr>
    </w:tbl>
    <w:p>
      <w:pPr>
        <w:spacing w:after="160" w:before="0"/>
      </w:pPr>
    </w:p>
    <w:p>
      <w:pPr>
        <w:spacing w:after="100"/>
      </w:pPr>
      <w:r>
        <w:rPr>
          <w:b/>
          <w:bCs/>
        </w:rPr>
        <w:t xml:space="preserve">Objetivo a 12 meses (ponderado):</w:t>
      </w:r>
      <w:r>
        <w:t xml:space="preserve"> 239,96 EUR · rentabilidad +16,2 % (base +24,7 %) · señal Mantener.</w:t>
      </w:r>
    </w:p>
    <w:p>
      <w:pPr>
        <w:keepNext/>
        <w:spacing w:after="100"/>
      </w:pPr>
      <w:r>
        <w:rPr>
          <w:b/>
          <w:bCs/>
        </w:rPr>
        <w:t xml:space="preserve">Frente al consenso (solo contraste).</w:t>
      </w:r>
    </w:p>
    <w:p>
      <w:pPr>
        <w:spacing w:after="100"/>
      </w:pPr>
      <w:r>
        <w:t xml:space="preserve">Nuestro BPA de 2028e (12,33 €) queda un 2 % por debajo del consenso (12,56 €) y el de 2027e (10,03 €) un 8 % por encima (9,30 €), por un tipo impositivo normalizado del 28 % [35]. El objetivo base (257,70 €) queda un 8,8 % por debajo del objetivo medio de los analistas (282,46 €), que es de julio y está bajando (Morgan Stanley 250 €, Citi 243 € el 2-oct) [36, 38]: la diferencia está en el múltiplo, no en el beneficio.</w:t>
      </w:r>
    </w:p>
    <w:p>
      <w:pPr>
        <w:keepNext/>
        <w:spacing w:after="100"/>
      </w:pPr>
      <w:r>
        <w:rPr>
          <w:b/>
          <w:bCs/>
        </w:rPr>
        <w:t xml:space="preserve">Del valor intrínseco al objetivo a 12 meses.</w:t>
      </w:r>
    </w:p>
    <w:p>
      <w:pPr>
        <w:spacing w:after="100"/>
      </w:pPr>
      <w:r>
        <w:t xml:space="preserve">El objetivo a 12 meses ponderado (239,96 €) queda un 8,4 % por encima del valor intrínseco (221,29 €), que pesa los comparables por PER sobre un beneficio deprimido. Para que el precio llegue al objetivo, el mercado tiene que creer en el BPA de 2028e, y eso pide ver a Gucci crecer: el 3T (22-oct) y los resultados anuales de febrero son los dos datos que lo dirán.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2S y de Gucci con las colecciones de Demna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(prometido por encima del 12,8 %) y caja libre sin inmobiliario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Gucci comparable frente a una base débil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al menos 100 tiendas y reducción de 1.000 M de existencias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de la caja y del margen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Ventana de la opción de venta de Mayhoola sobre el 70 % de Valentino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3.400-4.000 M de inversión y posible emisión de hasta 3 millones de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no recupera al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 Laurent, Bottega Veneta, joyería y gafas crecen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Gucci con ventas comparables negativas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recupera por costes fijos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tiendas y recorte de existencias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recurrente del 2S26 por debajo del 12,8 %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de Valentino en 2028-2029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si se paga a múltiplo alto con una marca en declive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ligado a los resultados de Valentino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Valentino y anuncio de Mayhoola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turismo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tira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Asia-Pacífico del 3T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núcleo poco fiables en este informe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Desconocido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clave cuadradas con los comunicados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Diferencias con el informe semestral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la familia Pinault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Descuento de control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independiente de la familia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Artémis</w:t>
            </w:r>
          </w:p>
        </w:tc>
      </w:tr>
    </w:tbl>
    <w:p>
      <w:pPr>
        <w:spacing w:after="160" w:before="0"/>
      </w:pPr>
    </w:p>
    <w:p>
      <w:pPr>
        <w:pStyle w:val="Heading2"/>
      </w:pPr>
      <w:r>
        <w:t xml:space="preserve">Pre-mortem</w:t>
      </w:r>
    </w:p>
    <w:p>
      <w:pPr>
        <w:spacing w:after="100"/>
      </w:pPr>
      <w:r>
        <w:t xml:space="preserve">Octubre de 2029: la acción vale 125 €. Las colecciones de Demna recibieron buena crítica pero no movieron las ventas: Gucci siguió perdiendo un 3-5 % al año porque el cliente aspiracional no volvió al lujo y el rico prefirió marcas de lujo silencioso. Los recortes de tiendas sostuvieron el margen operativo en el 12-13 %, no en el 16 % previsto. En 2028 Mayhoola ejerció la venta del 70 % de Valentino y Kering pagó 3.500 M con deuda y acciones, justo cuando el beneficio no crecía; la deuda neta volvió a 7.000 M y el dividendo se recortó. El indicador que lo anticipaba: las ventas comparables de Gucci, que no pasaron a positivo en los cuatro trimestres siguientes a la primera colección de Demna.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objetivo de Gucci en 2028 y con qué nivel de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no lo da y es el supuesto del que depende todo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Valentino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calculará el precio del 70 % en 2028 y se pagará con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devolver la deuda neta a 7.000 M o diluir hasta un 2,4 %.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suman los pagos de arrendamientos y cuánto bajan con el cierre de tiendas?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libre publicada no los resta; son unos 1.100-1.200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caja libre recurrente sin inmuebles ni licencias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2024 la caja libre se apoya en ventas de activos.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dejan de repetirse los deterioros y costes de reestructuración?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publicado lleva tres años por debajo del recurrente.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política de reparto con la deuda ya en 3.300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Define la rentabilidad para el accionista mientras dura la recuperación.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(análisis técnico para particulares,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rompe el soporte de 209,25 € y pierde un 14,7 % en el mes; los recortes de objetivos de Morgan Stanley y Citi antes del 3T marcan el tono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«une année à −27 %, sous pression mais des signaux de stabilisation»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Señales de estabilización (vuelta al crecimiento en el 2T) frente a una tendencia bajista de un año [51].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«+100 % en seis meses: la historia se repite en Kering»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Recuerda que los rebotes fuertes de Kering se han deshecho antes; escepticismo sobre la duración de la subida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Reuters Breakingviews (columna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de Meo «se queda a medio vestir»: duplicar el margen apenas supera el consenso y no hay objetivo para Gucci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Retail Brew y prensa de moda (opiniones de gestores y consultores)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Consultores ven a de Meo «controlando lo controlable»; gestores dudan de que al cliente le importe hoy Gucci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Gucci con Demna: ¿vuelve el deseo?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una mejora lenta: Gucci −8 % comparable en el 1T26 y −5 % en el semestre, con el margen al 17,0 % [1]. Aún no hay crecimiento.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del plan ReconKering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neta bajó de 8.000 a 3.300 M en seis meses, la parte que depende de la dirección; el margen está plano (12,8 % frente a 12,4 %)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del 31 %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209 € cotiza a unas 20 veces nuestro BPA de 2027e: barato solo si el margen se recupera como prevemos.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Resultados del 3T (22-oct)</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han recortado objetivos antes del dato; el mercado de lujo sigue débil en China y Oriente Medio [1, 37].</w:t>
            </w:r>
          </w:p>
        </w:tc>
      </w:tr>
    </w:tbl>
    <w:p>
      <w:pPr>
        <w:spacing w:after="160" w:before="0"/>
      </w:pPr>
    </w:p>
    <w:p>
      <w:pPr>
        <w:spacing w:after="100"/>
      </w:pPr>
      <w:r>
        <w:t xml:space="preserve">El tono es negativo y ha empeorado en el último mes: la acción ha devuelto la subida del verano y los recortes de objetivos se concentran antes del 3T. No es capitulación (los artículos hablan de estabilización y de un posible rebote), pero el mercado ya no da crédito al plan sin cifras de Gucci. Para la tesis, el sentimiento juega a favor si el 3T sorprende: las expectativas están bajas. Los foros de particulares (Reddit, Stocktwits, Boursorama) no se han podido leer desde este entorno; la lectura sale de prensa con comentarios y de columnas de opinión.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2 explicados. Fuentes: 53 (18 primarias); citas distintas en el texto: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46,8 %: explica la causa (créditos fiscales, regularizaciones, mezcla de países) y no lo proyectes en el DCF. Explicación: El 46,8 % de 2025 es estimación por diferencia sobre el beneficio recurrente (deterioros no deducibles y pérdidas sin crédito fiscal en marcas pequeñas); no se proyecta: el DCF usa el 28 %, cerca del 27,7-28,2 % de 2021-2023.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4,2 % en 2033e frente al 4,1 %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25,1 % real: genera una variación de circulante de -225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Confianza baja: falta un cierre oficial posterior al 7-oct, el balance y los flujos del informe semestral (deuda bruta, arrendamientos y su principal pagado) y las cuentas del documento de registro universal. Con eso confirmado y el precio por debajo de 211,27 €, la señal pasaría a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2026-10-07, 5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Kering (solo dan magnitudes recurrentes); 2) Stock Analysis y MarketScreener (resúmenes sin esas líneas); 3) WebFetch y descargas bloqueadas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proveedores, activo y pasivo corriente, deuda bruta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(no se pueden descargar); 2) Stock Analysis (resumen parcial); 3) Fintel y Google Finance (solo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pagos_arrendamientos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2025 y 1S26; 2) Stock Analysis; 3) prensa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(no descargable); 2) búsqueda web;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materialidad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descargable); 2) búsqueda web reservada para núcleo (presupuesto compartido);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remuneración del consejero delegado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2025 (no descargable); 2) búsqueda de la junta del 28-may-2026; 3) prensa francesa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BDIF de la AMF (sin acceso desde este entorno); 2) abcbourse, transacciones de directivos (sin contenido en el resultado);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Euronext (sin red); 2) búsqueda de cotización del 12-13 oct (sin resultados); 3) Idéal Investisseur: 209,10 € a media sesión del 7-oct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índice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web de históricos (solo cierres anuales); 3) AMF posiciones cortas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DPA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(resumen sin esas líneas); 2) Investing.com;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particulares (Reddit, Stocktwits,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y Seeking Alpha (sin resultados); 2) Stocktwits y Boursorama (sin resultados en el buscador, sin acceso directo); 3) prensa con comentarios y columnas de opinión (usada)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(no descargables); 2) Stock Analysis (sin deuda bruta de esos años); 3) cálculo propio (imposible sin deuda bruta)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 2026 First-half results: back to growth, performance improvement &amp; strategy execution on track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https://mfn.se/all/a/kering/kering-2026-first-half-results-back-to-growth-performance-improvement-and-strategy-execution-on-track-be4c7c4c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Press release – 2024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https://www.globenewswire.com/news-release/2025/02/11/3023901/0/en/Kering-Press-release-2024-Annual-Results.html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Press release –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https://mfn.se/one/a/kering/kering-press-release-2023-annual-results-9aec89a1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press release – 2022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(vía 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https://live.euronext.com/en/products/equities/company-news/2023-02-15-kering-press-release-2022-annual-results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(EPA:KER):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(EPA:KER):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(EPA:KER): estado de flujos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https://stockanalysis.com/quote/epa/KER/financials/cash-flow-statement/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finances (EBITDA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reports stable revenue for the first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https://www.marketscreener.com/news/kering-reports-stable-revenue-for-the-first-quarter-of-2026-ce7e50dfdc8bf722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H1 revenue up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Insight Network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https://www.retail-insight-network.com/news/kering-h1-revenue-up-1/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Group posts slide in full-year sales and profits but second-half improvement offers positive signals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https://moodiedavittreport.com/kering-group-posts-slide-in-full-year-sales-and-profits-but-second-half-improvement-offers-positive-signals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 Balance Sheet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https://fintel.io/bs/mx/ker 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Behind the Deal: Kering, Mayhoola Reset the Clock on Full Valentino Buy-Out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https://www.thefashionlaw.com/behind-the-deal-kering-mayhoola-reset-the-clock-on-valentino-acquisition/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returns to organic revenue growth in the first half of the year: 7.2 billion, up 1 per 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https://en.ilsole24ore.com/art/kering-returns-to-organic-revenue-growth-in-the-first-half-of-the-year-72-billion-up-1-per-cent-AJTILIY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2023 Financial Document (BPA recurrente 25,02 €)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https://cdn.luxe.digital/download/Kering-2023-Financial-Document.pdf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retenir du Capital Markets Day de Kering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du Luxe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https://www.journalduluxe.fr/fr/business/que-retenir-capital-markets-day-kering/amp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announces sale of its beauty branch to L'Oréal for €4bn (deuda de 9.500 M y arrendamientos de 6.000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Spear's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https://spearswms.com/wealth/business/kering-announces-sale-of-its-beauty-branch-to-loreal-for-e4bn/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2026 Half-year Results y cuentas de 2025 (análisis de Hermès del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2025: moment of truth for François-Henri Pinault's powerhouse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https://fashionunited.com/news/business/kering-2025-moment-of-truth-for-francois-henri-pinaults-powerhouse/2026021070496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who owns it (Artémis 42,3 % del capital y 59,3 % de los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https://altss.com/profile/kering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 actionnaires de Kering appelés à valider l'arrivée du nouveau directeur général Luca de Meo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https://fashionunited.fr/actualite/people/les-actionnaires-de-kering-appeles-a-valider-larrivee-du-nouveau-directeur-general-luca-de-meo/2025090939268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Luca de Meo, le pari le plus scruté du capitalisme français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L'Essentiel de l'Éco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https://lessentieldeleco.fr/8203-kering-luca-de-meo-le-pari-le-plus-scrute-du-capitalisme-francais/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shares plunge 10% after Demna Gvasalia named as Gucci's artistic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(vía NBC Chicago)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https://nbcchicago.com/news/business/money-report/kering-shares-plunge-10-after-demna-gvasalia-named-as-guccis-artistic-director/3697608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Gucci owner's new strategy looks half-dressed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Breakingviews (vía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https://www.marketscreener.com/news/gucci-owner-s-new-strategy-looks-half-dressed-ce7e50dddf80f72c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Faut-il acheter l'action Kering en 2026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et Compagnies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https://finance-et-compagnies.com/?p=1270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activist fund Parvus Asset Management crosses the 5% share threshold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Luxus Plus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https://luxus-plus.com/en/kering-activist-fund-parvus-asset-management-crosses-the-5-share-threshold/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finances (cuenta de resultados prevista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https://uk.marketscreener.com/quote/stock/KERING-437276/finances/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stock fell 3.22 percent as targets were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https://www.ad-hoc-news.de/boerse/news/corporate-news/kering-stock-fell-3-22-percent-as-targets-were-cut/70221551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the stock breaks through its 209.25 EUR support level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https://www.ideal-investisseur.fr/en/stock-news/kering-the-stock-breaks-through-its-209-25-eur-support-level-its-monthly-decline-worsens/26636.html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consensus estimates (objetivo medio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https://ca.investing.com/equities/kering-consensus-estimates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SA (KER/EUR) Historical Price Data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https://tradersunion.com/currencies/price-history/ker-eur/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chiffres clés (rango 2026 a 22-jul: 225,10-320,50 €)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https://www.abcbourse.com/analyses/chiffres/KERp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documento de registro universal 2023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lujo (MarketScreener, 8-oct-2026) del análisis de Hermès del 11-oct-2026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informes/hermes-2026-10-11)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Kering : une année à −27 %, sous pression mais des signaux de stabilisation à surveiller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https://www.ideal-investisseur.fr/bourse-cryptos/action-kering-une-annee-a--27-sous-pression-mais-des-signaux-de-stabilisation-a-surveiller-en-2026-32833.html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in six months: is history repeating itself for Kering?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https://in.marketscreener.com/news/100-in-six-months-is-history-repeating-itself-for-kering-ce7d5bddd18ff02c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Kering's road to recovery is paved with patience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Brew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https://www.retailbrew.com/stories/2026/02/20/kering-s-road-to-recovery-is-paved-with-patience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81,4 %</w:t>
      </w:r>
      <w:r>
        <w:t xml:space="preserve"> · Secciones con menos del 60 % de campos cubiertos: </w:t>
      </w:r>
      <w:r>
        <w:rPr>
          <w:b/>
          <w:bCs/>
        </w:rPr>
        <w:t xml:space="preserve">gobierno, esg, calidad, balance, bolsa</w:t>
      </w:r>
      <w:r>
        <w:t xml:space="preserve"> · Generado el 14 oct 2026.</w:t>
      </w:r>
    </w:p>
    <w:p>
      <w:pPr>
        <w:pStyle w:val="Nota"/>
        <w:spacing w:after="100"/>
      </w:pPr>
      <w:r>
        <w:t xml:space="preserve">Entorno sin descargas: todas las cifras salen de resultados de búsqueda con su fuente (comunicados de Kering vía MFN, GlobeNewswire y Euronext; Stock Analysis, MarketScreener y Fintel para cuentas, balance y flujos; Traders Union para cierres anuales). Cuenta en base recurrente (la de la empresa). 2025 sin Kering Beauté (actividad interrumpida); 2021-2024 con ella. Balance incompleto: sin clientes, proveedores ni deuda bruta de 2021-2023, por eso el ROIC de esos años no es significativo. Precio de media sesión del 7-oct-2026 (209,10 €), sin cierre posterior localizado. Comparables y transacciones del análisis de Hermès del 11-oct (MarketScreener a 8-oct), sin llevar al cierre del día. Beta 1,2, estimación propia (sin históricos de precios).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Kering SA (KER)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209,10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Hoja1!$B$2:$B$7</c:f>
              <c:numCache>
                <c:formatCode>#,##0</c:formatCode>
                <c:ptCount val="6"/>
                <c:pt idx="0">
                  <c:v>175</c:v>
                </c:pt>
                <c:pt idx="1">
                  <c:v>136.61</c:v>
                </c:pt>
                <c:pt idx="2">
                  <c:v>202.03</c:v>
                </c:pt>
                <c:pt idx="3">
                  <c:v>130.53</c:v>
                </c:pt>
                <c:pt idx="4">
                  <c:v>278.79</c:v>
                </c:pt>
                <c:pt idx="5">
                  <c:v>208.05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Hoja1!$C$2:$C$7</c:f>
              <c:numCache>
                <c:formatCode>#,##0</c:formatCode>
                <c:ptCount val="6"/>
                <c:pt idx="0">
                  <c:v>185</c:v>
                </c:pt>
                <c:pt idx="1">
                  <c:v>82.00999999999999</c:v>
                </c:pt>
                <c:pt idx="2">
                  <c:v>105.24999999999997</c:v>
                </c:pt>
                <c:pt idx="3">
                  <c:v>183.04</c:v>
                </c:pt>
                <c:pt idx="4">
                  <c:v>89.46999999999997</c:v>
                </c:pt>
                <c:pt idx="5">
                  <c:v>2.0999999999999943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Gucci</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5992</c:v>
                </c:pt>
              </c:numCache>
            </c:numRef>
          </c:val>
        </c:ser>
        <c:ser>
          <c:idx val="1"/>
          <c:order val="1"/>
          <c:tx>
            <c:strRef>
              <c:f>Hoja1!$C$1</c:f>
              <c:strCache>
                <c:ptCount val="1"/>
                <c:pt idx="0">
                  <c:v>Yves Saint Laurent</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2643</c:v>
                </c:pt>
              </c:numCache>
            </c:numRef>
          </c:val>
        </c:ser>
        <c:ser>
          <c:idx val="2"/>
          <c:order val="2"/>
          <c:tx>
            <c:strRef>
              <c:f>Hoja1!$D$1</c:f>
              <c:strCache>
                <c:ptCount val="1"/>
                <c:pt idx="0">
                  <c:v>Bottega Veneta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1706</c:v>
                </c:pt>
              </c:numCache>
            </c:numRef>
          </c:val>
        </c:ser>
        <c:ser>
          <c:idx val="3"/>
          <c:order val="3"/>
          <c:tx>
            <c:strRef>
              <c:f>Hoja1!$E$1</c:f>
              <c:strCache>
                <c:ptCount val="1"/>
                <c:pt idx="0">
                  <c:v>Otras casas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2703</c:v>
                </c:pt>
              </c:numCache>
            </c:numRef>
          </c:val>
        </c:ser>
        <c:ser>
          <c:idx val="4"/>
          <c:order val="4"/>
          <c:tx>
            <c:strRef>
              <c:f>Hoja1!$F$1</c:f>
              <c:strCache>
                <c:ptCount val="1"/>
                <c:pt idx="0">
                  <c:v>Kering Eyewear y corporativo</c:v>
                </c:pt>
              </c:strCache>
            </c:strRef>
          </c:tx>
          <c:spPr>
            <a:solidFill>
              <a:srgbClr val="E87BA4"/>
            </a:solidFill>
            <a:ln w="12700">
              <a:solidFill>
                <a:srgbClr val="FFFFFF"/>
              </a:solidFill>
            </a:ln>
          </c:spPr>
          <c:invertIfNegative val="0"/>
          <c:cat>
            <c:strRef>
              <c:f>Hoja1!$A$2</c:f>
              <c:strCache>
                <c:ptCount val="1"/>
                <c:pt idx="0">
                  <c:v>2025</c:v>
                </c:pt>
              </c:strCache>
            </c:strRef>
          </c:cat>
          <c:val>
            <c:numRef>
              <c:f>Hoja1!$F$2</c:f>
              <c:numCache>
                <c:formatCode>#,##0</c:formatCode>
                <c:ptCount val="1"/>
                <c:pt idx="0">
                  <c:v>1631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Gucci</c:v>
                </c:pt>
                <c:pt idx="1">
                  <c:v>Yves Saint Laurent</c:v>
                </c:pt>
                <c:pt idx="2">
                  <c:v>Bottega Veneta</c:v>
                </c:pt>
                <c:pt idx="3">
                  <c:v>Otras casas</c:v>
                </c:pt>
                <c:pt idx="4">
                  <c:v>Kering Eyewear y corporativo</c:v>
                </c:pt>
              </c:strCache>
            </c:strRef>
          </c:cat>
          <c:val>
            <c:numRef>
              <c:f>Hoja1!$B$2:$B$6</c:f>
              <c:numCache>
                <c:formatCode>General</c:formatCode>
                <c:ptCount val="5"/>
                <c:pt idx="0">
                  <c:v>40.8</c:v>
                </c:pt>
                <c:pt idx="1">
                  <c:v>18</c:v>
                </c:pt>
                <c:pt idx="2">
                  <c:v>11.6</c:v>
                </c:pt>
                <c:pt idx="3">
                  <c:v>18.4</c:v>
                </c:pt>
                <c:pt idx="4">
                  <c:v>11.1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c:v>
                </c:pt>
                <c:pt idx="1">
                  <c:v>LVMH (Moda y Marroquinería)</c:v>
                </c:pt>
                <c:pt idx="2">
                  <c:v>Compagnie Financière Richemont</c:v>
                </c:pt>
                <c:pt idx="3">
                  <c:v>Chanel</c:v>
                </c:pt>
                <c:pt idx="4">
                  <c:v>Hermès</c:v>
                </c:pt>
                <c:pt idx="5">
                  <c:v>Prada</c:v>
                </c:pt>
                <c:pt idx="6">
                  <c:v>Moncler</c:v>
                </c:pt>
              </c:strCache>
            </c:strRef>
          </c:cat>
          <c:val>
            <c:numRef>
              <c:f>Hoja1!$B$2:$B$8</c:f>
              <c:numCache>
                <c:formatCode>0.0"%"</c:formatCode>
                <c:ptCount val="7"/>
                <c:pt idx="0">
                  <c:v>11.1</c:v>
                </c:pt>
                <c:pt idx="1">
                  <c:v>35</c:v>
                </c:pt>
                <c:pt idx="2">
                  <c:v>20</c:v>
                </c:pt>
                <c:pt idx="3">
                  <c:v>24.4</c:v>
                </c:pt>
                <c:pt idx="4">
                  <c:v>41.1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0</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17645</c:v>
                </c:pt>
                <c:pt idx="1">
                  <c:v>20351</c:v>
                </c:pt>
                <c:pt idx="2">
                  <c:v>19566</c:v>
                </c:pt>
                <c:pt idx="3">
                  <c:v>17194</c:v>
                </c:pt>
                <c:pt idx="4">
                  <c:v>14675</c:v>
                </c:pt>
                <c:pt idx="5">
                  <c:v>14382</c:v>
                </c:pt>
                <c:pt idx="6">
                  <c:v>15101</c:v>
                </c:pt>
                <c:pt idx="7">
                  <c:v>16007</c:v>
                </c:pt>
                <c:pt idx="8">
                  <c:v>16967</c:v>
                </c:pt>
                <c:pt idx="9">
                  <c:v>17815</c:v>
                </c:pt>
                <c:pt idx="10">
                  <c:v>18617</c:v>
                </c:pt>
                <c:pt idx="11">
                  <c:v>19362</c:v>
                </c:pt>
                <c:pt idx="12">
                  <c:v>19943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6470</c:v>
                </c:pt>
                <c:pt idx="1">
                  <c:v>7255</c:v>
                </c:pt>
                <c:pt idx="2">
                  <c:v>6569</c:v>
                </c:pt>
                <c:pt idx="3">
                  <c:v>4667</c:v>
                </c:pt>
                <c:pt idx="4">
                  <c:v>3675</c:v>
                </c:pt>
                <c:pt idx="5">
                  <c:v>3883</c:v>
                </c:pt>
                <c:pt idx="6">
                  <c:v>4304</c:v>
                </c:pt>
                <c:pt idx="7">
                  <c:v>4802</c:v>
                </c:pt>
                <c:pt idx="8">
                  <c:v>5345</c:v>
                </c:pt>
                <c:pt idx="9">
                  <c:v>5790</c:v>
                </c:pt>
                <c:pt idx="10">
                  <c:v>6144</c:v>
                </c:pt>
                <c:pt idx="11">
                  <c:v>6389</c:v>
                </c:pt>
                <c:pt idx="12">
                  <c:v>6581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36.7</c:v>
                </c:pt>
                <c:pt idx="1">
                  <c:v>35.6</c:v>
                </c:pt>
                <c:pt idx="2">
                  <c:v>33.6</c:v>
                </c:pt>
                <c:pt idx="3">
                  <c:v>27.1</c:v>
                </c:pt>
                <c:pt idx="4">
                  <c:v>25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28.4</c:v>
                </c:pt>
                <c:pt idx="1">
                  <c:v>27.5</c:v>
                </c:pt>
                <c:pt idx="2">
                  <c:v>24.3</c:v>
                </c:pt>
                <c:pt idx="3">
                  <c:v>14.9</c:v>
                </c:pt>
                <c:pt idx="4">
                  <c:v>11.1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c:v>
                </c:pt>
                <c:pt idx="1">
                  <c:v>18.4</c:v>
                </c:pt>
                <c:pt idx="2">
                  <c:v>15.7</c:v>
                </c:pt>
                <c:pt idx="3">
                  <c:v>7.6</c:v>
                </c:pt>
                <c:pt idx="4">
                  <c:v>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-6</c:v>
                </c:pt>
                <c:pt idx="1">
                  <c:v>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0">
                  <c:v>0</c:v>
                </c:pt>
                <c:pt idx="1">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3942</c:v>
                </c:pt>
                <c:pt idx="1">
                  <c:v>3207</c:v>
                </c:pt>
                <c:pt idx="2">
                  <c:v>1848</c:v>
                </c:pt>
                <c:pt idx="3">
                  <c:v>1400</c:v>
                </c:pt>
                <c:pt idx="4">
                  <c:v>2270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3361</c:v>
                </c:pt>
                <c:pt idx="1">
                  <c:v>3747</c:v>
                </c:pt>
                <c:pt idx="2">
                  <c:v>3065</c:v>
                </c:pt>
                <c:pt idx="3">
                  <c:v>1300</c:v>
                </c:pt>
                <c:pt idx="4">
                  <c:v>532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-68.8</c:v>
                </c:pt>
                <c:pt idx="1">
                  <c:v>-82.1</c:v>
                </c:pt>
                <c:pt idx="2">
                  <c:v>91.8</c:v>
                </c:pt>
                <c:pt idx="3">
                  <c:v>9.2</c:v>
                </c:pt>
                <c:pt idx="4">
                  <c:v>3.5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7.6</c:v>
                </c:pt>
                <c:pt idx="1">
                  <c:v>7.6</c:v>
                </c:pt>
                <c:pt idx="2">
                  <c:v>7.6</c:v>
                </c:pt>
                <c:pt idx="3">
                  <c:v>7.6</c:v>
                </c:pt>
                <c:pt idx="4">
                  <c:v>7.6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38.3</c:v>
                </c:pt>
                <c:pt idx="3">
                  <c:v>8.2</c:v>
                </c:pt>
                <c:pt idx="4">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-0.81</c:v>
                </c:pt>
                <c:pt idx="1">
                  <c:v>-0.62</c:v>
                </c:pt>
                <c:pt idx="2">
                  <c:v>-0.62</c:v>
                </c:pt>
                <c:pt idx="3">
                  <c:v>2.25</c:v>
                </c:pt>
                <c:pt idx="4">
                  <c:v>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998</c:v>
                </c:pt>
                <c:pt idx="1">
                  <c:v>1483</c:v>
                </c:pt>
                <c:pt idx="2">
                  <c:v>1712</c:v>
                </c:pt>
                <c:pt idx="3">
                  <c:v>1716</c:v>
                </c:pt>
                <c:pt idx="4">
                  <c:v>736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Artémis (familia Pinault)</c:v>
                </c:pt>
                <c:pt idx="1">
                  <c:v>Parvus Asset Management</c:v>
                </c:pt>
              </c:strCache>
            </c:strRef>
          </c:cat>
          <c:val>
            <c:numRef>
              <c:f>Hoja1!$B$2:$B$3</c:f>
              <c:numCache>
                <c:formatCode>0.0"%"</c:formatCode>
                <c:ptCount val="2"/>
                <c:pt idx="0">
                  <c:v>42.3</c:v>
                </c:pt>
                <c:pt idx="1">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18.9</c:v>
                </c:pt>
                <c:pt idx="1">
                  <c:v>-32.7</c:v>
                </c:pt>
                <c:pt idx="2">
                  <c:v>-16.1</c:v>
                </c:pt>
                <c:pt idx="3">
                  <c:v>-40.3</c:v>
                </c:pt>
                <c:pt idx="4">
                  <c:v>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12.8</c:v>
                </c:pt>
                <c:pt idx="1">
                  <c:v>7.4</c:v>
                </c:pt>
                <c:pt idx="2">
                  <c:v>6.8</c:v>
                </c:pt>
                <c:pt idx="3">
                  <c:v>8.5</c:v>
                </c:pt>
                <c:pt idx="4">
                  <c:v>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7.4</c:v>
                </c:pt>
                <c:pt idx="1">
                  <c:v>7.4</c:v>
                </c:pt>
                <c:pt idx="2">
                  <c:v>7.4</c:v>
                </c:pt>
                <c:pt idx="3">
                  <c:v>7.4</c:v>
                </c:pt>
                <c:pt idx="4">
                  <c:v>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Kering</c:v>
                </c:pt>
                <c:pt idx="1">
                  <c:v>Hermès</c:v>
                </c:pt>
                <c:pt idx="2">
                  <c:v>LVMH</c:v>
                </c:pt>
                <c:pt idx="3">
                  <c:v>Richemont</c:v>
                </c:pt>
                <c:pt idx="4">
                  <c:v>Moncler</c:v>
                </c:pt>
                <c:pt idx="5">
                  <c:v>Prada</c:v>
                </c:pt>
                <c:pt idx="6">
                  <c:v>Brunello Cucinelli</c:v>
                </c:pt>
              </c:strCache>
            </c:strRef>
          </c:cat>
          <c:val>
            <c:numRef>
              <c:f>Hoja1!$B$2:$B$8</c:f>
              <c:numCache>
                <c:formatCode>0.0"x"</c:formatCode>
                <c:ptCount val="7"/>
                <c:pt idx="1">
                  <c:v>15.7</c:v>
                </c:pt>
                <c:pt idx="2">
                  <c:v>8.5</c:v>
                </c:pt>
                <c:pt idx="3">
                  <c:v>12.8</c:v>
                </c:pt>
                <c:pt idx="4">
                  <c:v>7.3</c:v>
                </c:pt>
                <c:pt idx="5">
                  <c:v>6.4</c:v>
                </c:pt>
                <c:pt idx="6">
                  <c:v>12.8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15.7</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3.7</c:v>
                </c:pt>
              </c:numCache>
            </c:numRef>
          </c:xVal>
          <c:yVal>
            <c:numRef>
              <c:f>Hoja1!$C$3</c:f>
              <c:numCache>
                <c:formatCode>0.0"x"</c:formatCode>
                <c:ptCount val="1"/>
                <c:pt idx="0">
                  <c:v>8.5</c:v>
                </c:pt>
              </c:numCache>
            </c:numRef>
          </c:yVal>
          <c:smooth val="0"/>
        </c:ser>
        <c:ser>
          <c:idx val="2"/>
          <c:order val="2"/>
          <c:tx>
            <c:strRef>
              <c:f>Hoja1!$A$4</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16.7</c:v>
                </c:pt>
              </c:numCache>
            </c:numRef>
          </c:xVal>
          <c:yVal>
            <c:numRef>
              <c:f>Hoja1!$C$4</c:f>
              <c:numCache>
                <c:formatCode>0.0"x"</c:formatCode>
                <c:ptCount val="1"/>
                <c:pt idx="0">
                  <c:v>12.8</c:v>
                </c:pt>
              </c:numCache>
            </c:numRef>
          </c:yVal>
          <c:smooth val="0"/>
        </c:ser>
        <c:ser>
          <c:idx val="3"/>
          <c:order val="3"/>
          <c:tx>
            <c:strRef>
              <c:f>Hoja1!$A$5</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c:v>
                </c:pt>
              </c:numCache>
            </c:numRef>
          </c:xVal>
          <c:yVal>
            <c:numRef>
              <c:f>Hoja1!$C$5</c:f>
              <c:numCache>
                <c:formatCode>0.0"x"</c:formatCode>
                <c:ptCount val="1"/>
                <c:pt idx="0">
                  <c:v>7.3</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10.2</c:v>
                </c:pt>
              </c:numCache>
            </c:numRef>
          </c:xVal>
          <c:yVal>
            <c:numRef>
              <c:f>Hoja1!$C$7</c:f>
              <c:numCache>
                <c:formatCode>0.0"x"</c:formatCode>
                <c:ptCount val="1"/>
                <c:pt idx="0">
                  <c:v>12.8</c:v>
                </c:pt>
              </c:numCache>
            </c:numRef>
          </c:yVal>
          <c:smooth val="0"/>
        </c:ser>
        <c:axId val="10"/>
        <c:axId val="20"/>
      </c:scatterChart>
      <c:valAx>
        <c:axId val="10"/>
        <c:scaling>
          <c:orientation val="minMax"/>
          <c:max val="2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1783</c:v>
                </c:pt>
                <c:pt idx="1">
                  <c:v>1702</c:v>
                </c:pt>
                <c:pt idx="2">
                  <c:v>1711</c:v>
                </c:pt>
                <c:pt idx="3">
                  <c:v>1997</c:v>
                </c:pt>
                <c:pt idx="4">
                  <c:v>2262</c:v>
                </c:pt>
                <c:pt idx="5">
                  <c:v>2357</c:v>
                </c:pt>
                <c:pt idx="6">
                  <c:v>2472</c:v>
                </c:pt>
                <c:pt idx="7">
                  <c:v>2589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11738</c:v>
                </c:pt>
                <c:pt idx="1">
                  <c:v>27851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209,10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130.53</c:v>
                </c:pt>
                <c:pt idx="1">
                  <c:v>245.33</c:v>
                </c:pt>
                <c:pt idx="2">
                  <c:v>313.57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209,10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Hoja1!$B$2:$B$7</c:f>
              <c:numCache>
                <c:formatCode>#,##0</c:formatCode>
                <c:ptCount val="6"/>
                <c:pt idx="0">
                  <c:v>175</c:v>
                </c:pt>
                <c:pt idx="1">
                  <c:v>136.61</c:v>
                </c:pt>
                <c:pt idx="2">
                  <c:v>202.03</c:v>
                </c:pt>
                <c:pt idx="3">
                  <c:v>130.53</c:v>
                </c:pt>
                <c:pt idx="4">
                  <c:v>278.79</c:v>
                </c:pt>
                <c:pt idx="5">
                  <c:v>208.05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(175,00 – 360,00)</c:v>
                </c:pt>
                <c:pt idx="1">
                  <c:v>Comparables: PER NTM (136,61 – 218,62)</c:v>
                </c:pt>
                <c:pt idx="2">
                  <c:v>DCF (WACC y g ± 0,5) (202,03 – 307,28)</c:v>
                </c:pt>
                <c:pt idx="3">
                  <c:v>Escenarios (bajista – alcista) (130,53 – 313,57)</c:v>
                </c:pt>
                <c:pt idx="4">
                  <c:v>DCF con la prima implícita del mercado (4,2 %)</c:v>
                </c:pt>
                <c:pt idx="5">
                  <c:v>Precio actual (209,10)</c:v>
                </c:pt>
              </c:strCache>
            </c:strRef>
          </c:cat>
          <c:val>
            <c:numRef>
              <c:f>Hoja1!$C$2:$C$7</c:f>
              <c:numCache>
                <c:formatCode>#,##0</c:formatCode>
                <c:ptCount val="6"/>
                <c:pt idx="0">
                  <c:v>185</c:v>
                </c:pt>
                <c:pt idx="1">
                  <c:v>82.00999999999999</c:v>
                </c:pt>
                <c:pt idx="2">
                  <c:v>105.24999999999997</c:v>
                </c:pt>
                <c:pt idx="3">
                  <c:v>183.04</c:v>
                </c:pt>
                <c:pt idx="4">
                  <c:v>89.46999999999997</c:v>
                </c:pt>
                <c:pt idx="5">
                  <c:v>2.0999999999999943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