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KEYENCE CORPORATION</w:t>
      </w:r>
    </w:p>
    <w:p>
      <w:pPr>
        <w:spacing w:after="60"/>
        <w:rPr>
          <w:color w:val="52514E"/>
          <w:sz w:val="22"/>
          <w:szCs w:val="22"/>
        </w:rPr>
      </w:pPr>
      <w:r>
        <w:rPr>
          <w:color w:val="52514E"/>
          <w:sz w:val="22"/>
          <w:szCs w:val="22"/>
        </w:rPr>
        <w:t xml:space="preserve">6861 · Bolsa de Tokio (TSE Prime) · ISIN JP3236200006 · Information Technology</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81.490,00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92.219,38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+13,8 % (base +18,9 %)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66.566,47 JPY · mercado 75.201,52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19.763.362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19,8x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KEYENCE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6861 / JP3236200006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Nikkei 225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Information Technology / Electronic Equipment, Instruments &amp; Components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Osaka (Japón) · 1974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https://www.keyence.co.jp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81.490,00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51.510,00 – 87.920,00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19.763.362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16.668.841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49,6 mil M JPY/día (628 mil acciones; 3 meses, 60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92.219,38 JPY</w:t>
      </w:r>
      <w:r>
        <w:t xml:space="preserve"> frente a 81.490,00 · Rentabilidad a 12 meses </w:t>
      </w:r>
      <w:r>
        <w:rPr>
          <w:b/>
          <w:bCs/>
        </w:rPr>
        <w:t xml:space="preserve">+13,8 % (base +18,9 %)</w:t>
      </w:r>
      <w:r>
        <w:t xml:space="preserve"> · Valor intrínseco 66.566,47 JPY · con la prima implícita del mercado: 75.201,52 (-7,7 %) · Alcista / bajista +16,3 % / -47,5 %</w:t>
      </w:r>
    </w:p>
    <w:p>
      <w:pPr>
        <w:spacing w:after="100"/>
      </w:pPr>
      <w:r>
        <w:rPr>
          <w:b/>
        </w:rPr>
        <w:t xml:space="preserve">La recomendación y por qué.</w:t>
      </w:r>
      <w:r>
        <w:t xml:space="preserve"> Mantener, con convicción baja, porque las dos reglas discrepan y manda la relativa. Con nuestro WACC del 8,50 %, el valor objetivo es de 66.566,47 JPY frente a un precio de 81.490 JPY: rentabilidad total esperada del −17,6 %, con el alcista un 16,3 % arriba y el bajista un 47,5 % abajo; la regla absoluta da Vender. Con la prima implícita del mercado (4,20 % [96]), el WACC baja al 7,51 % y el objetivo sube a 75.201,52 JPY (−7,0 %): la regla relativa da Mantener. Es un Vender solo absoluto: Keyence no cubre su coste de capital, pero está tan cara como el mercado, no más. La convicción es baja porque nuestras cifras a tres años coinciden con el consenso (−1,6 % a −4,9 %), la diferencia está en la tasa y en el largo plazo, y el Mantener depende de la etapa de transición: con cinco años en vez de diez, la relativa daría Vender (−10,2 %).</w:t>
      </w:r>
    </w:p>
    <w:p>
      <w:pPr>
        <w:spacing w:after="100"/>
      </w:pPr>
      <w:r>
        <w:rPr>
          <w:b/>
        </w:rPr>
        <w:t xml:space="preserve">El negocio.</w:t>
      </w:r>
      <w:r>
        <w:t xml:space="preserve"> Venta directa con ingenieros propios, fabricación subcontratada y entrega en el día: margen bruto del 83 %, margen operativo del 51,0 % y un ROIC del 94,6 % sin la caja, frente a márgenes del 3-28 % de Cognex, Omron, SMC, Fanuc, Sick o Mettler-Toledo [1, 27, 28, 29, 30, 31, 32, 33, 34, 35]. Ha multiplicado las ventas por 2,8 en diez años sin compras; la calidad sostiene el 8,4 % anual del base (sostenibilidad: Sí): lo financian la reinversión y un punto de precio, sin ganar cuota. La debilidad: los gastos de venta suben del 24,5 % al 29,3 % de las ventas porque crecer fuera de Japón exige contratar antes de vender [1].</w:t>
      </w:r>
    </w:p>
    <w:p>
      <w:pPr>
        <w:spacing w:after="100"/>
      </w:pPr>
      <w:r>
        <w:rPr>
          <w:b/>
        </w:rPr>
        <w:t xml:space="preserve">Sector y ciclo.</w:t>
      </w:r>
      <w:r>
        <w:t xml:space="preserve"> El ciclo está en expansión: el 1T26 creció un 32,8 % (+24,0 % en moneda local fuera de Japón) [15]. Pero 26.100 M JPY de ese crecimiento fueron divisa, y Keyence ya cayó un 6,0 % y un 2,5 % en FY2019-FY2020 [4].</w:t>
      </w:r>
    </w:p>
    <w:p>
      <w:pPr>
        <w:spacing w:after="100"/>
      </w:pPr>
      <w:r>
        <w:rPr>
          <w:b/>
        </w:rPr>
        <w:t xml:space="preserve">Finanzas.</w:t>
      </w:r>
      <w:r>
        <w:t xml:space="preserve"> Sin deuda y con 2,99 billones de JPY de efectivo y valores, el 15,2 % de la capitalización, que rentan en torno al 0,6 % [1, 9]. En diez años no hubo recompras. Conversión de beneficio en caja del 92 %.</w:t>
      </w:r>
    </w:p>
    <w:p>
      <w:pPr>
        <w:spacing w:after="100"/>
      </w:pPr>
      <w:r>
        <w:rPr>
          <w:b/>
        </w:rPr>
        <w:t xml:space="preserve">Valoración.</w:t>
      </w:r>
      <w:r>
        <w:t xml:space="preserve"> El DCF, ahora en tres etapas, da 63.376,65 JPY (57.852,47 sin la transición); el valor terminal pesa un 38 % y la transición un 28 %. Usamos la etapa porque el ROIC es del 94,6 % y el recorrido está en los datos: productividad exterior a mitad de la japonesa [24] y un mercado al +8,3 % [36]. El terminal del 2,5 % en yenes cumple la regla nueva (entre la inflación objetivo del 2 % y el JGB menos medio punto, 2,6 %): no lo tocamos. El DCF inverso pide un 11,4 % anual en diez años (8,4 % en nuestra base) o, dicho de otro modo, ofrece un 7,0 %: menos que nuestro WACC y algo menos que el 7,5 % que pide el mercado a su beta. Cotiza a 40,2 veces el beneficio, su media de diez años, con el bono tres puntos más alto.</w:t>
      </w:r>
    </w:p>
    <w:p>
      <w:pPr>
        <w:spacing w:after="100"/>
      </w:pPr>
      <w:r>
        <w:rPr>
          <w:b/>
        </w:rPr>
        <w:t xml:space="preserve">Riesgos y catalizadores.</w:t>
      </w:r>
      <w:r>
        <w:t xml:space="preserve"> A corto plazo, el riesgo es al alza: el consenso (13 compras de 15, objetivo de 97.866,67 JPY) y el 2T del 29-oct-2026 contra una base fácil [60, 63]. A la baja, el giro del ciclo (bajista de 42.817,25 JPY) y un yen más fuerte (cada yen frente al dólar resta ≈ 1.100 M JPY de resultado operativo) [15].</w:t>
      </w:r>
    </w:p>
    <w:p>
      <w:pPr>
        <w:spacing w:after="100"/>
      </w:pPr>
      <w:r>
        <w:rPr>
          <w:b/>
        </w:rPr>
        <w:t xml:space="preserve">Qué cambiaría la decisión.</w:t>
      </w:r>
      <w:r>
        <w:t xml:space="preserve"> Con la regla combinada, compraríamos por debajo de 63.903,81 JPY y venderíamos por encima de 84.206,58 JPY, solo un 3,3 % sobre el precio. Pasaríamos a Vender si el crecimiento exterior en moneda local baja del 8 % dos trimestres seguidos, y subiríamos el base con un crecimiento exterior por encima del 15 % cuatro trimestres seguidos y un margen operativo del 55 %.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92.219,38 JPY</w:t>
      </w:r>
      <w:r>
        <w:t xml:space="preserve"> (rentabilidad +13,8 % (base +18,9 %)) · Valor intrínseco: 66.566,47 JPY (-18,3 % sobre 81.490,00) · con la prima implícita del mercado: 75.201,52 (-7,7 %)</w:t>
      </w:r>
    </w:p>
    <w:p>
      <w:pPr>
        <w:spacing w:after="100"/>
      </w:pPr>
      <w:r>
        <w:t xml:space="preserve">Keyence vende sensores, sistemas de visión, equipos de medición y microscopios digitales directamente a las fábricas, con ingenieros de venta propios, sin distribuidores y sin fábricas: subcontrata la producción y entrega desde su stock en el día. El resultado es un margen bruto del 83 %, un margen operativo del 51,0 %, un ROIC del 94,6 % y ninguna deuda [1, 23]. Ha crecido un 12,3 % al año en diez años sin compras, y dos tercios de las ventas ya son de fuera de Japón [1].</w:t>
      </w:r>
    </w:p>
    <w:p>
      <w:pPr>
        <w:spacing w:after="100"/>
      </w:pPr>
      <w:r>
        <w:t xml:space="preserve">El precio, 81.490 JPY, es 40,2 veces el beneficio de los últimos doce meses, su media de diez años. El DCF inverso dice qué descuenta: un crecimiento del 11,4 % anual durante diez años con nuestro margen, seguido de nuestra transición de diez años, o una rentabilidad del 7,0 % anual para el accionista, con el JGB a 10 años al 3,103 % [65]. Frente a sus comparables, la prima es del 12 % [67, 68, 69, 70, 71, 72, 73].</w:t>
      </w:r>
    </w:p>
    <w:p>
      <w:pPr>
        <w:spacing w:after="100"/>
      </w:pPr>
      <w:r>
        <w:t xml:space="preserve">El mercado acierta con el negocio y, a nuestro juicio, cobra poco por el tiempo. Aun dando a Keyence veinte años de crecimiento por encima del terminal, el valor objetivo es de 66.566,47 JPY con nuestro WACC (regla absoluta: Vender) y de 75.201,52 JPY con la prima implícita del mercado (4,20 % [96]; regla relativa: Mantener, que es la que manda). Para comprar habría que creer que la próxima década superará a la pasada, que tuvo el viento a favor de un yen que pasó de ≈ 108 a ≈ 156 por dólar. No lo creemos, pero tampoco hay base para vender: está tan cara como el mercado.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92.219,38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 × 2.028,65 = 59.033,72 · 36,4x × 2.647,66 = 96.374,82 · 40,2x × 2.912,79 = 117.094,16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 / 18,9 %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97.866,67 (nuestro base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66.566,47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 / -47,5 %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8,5 % y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75.201,52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(FY2026e-FY2035e)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 frente a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66.566,47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66.566,47 y 103.077,09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103.077,09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84.206,58 JPY, pasaríamos a Vender; por debajo de 63.903,81 JPY, a Comprar.</w:t>
      </w:r>
    </w:p>
    <w:p>
      <w:pPr>
        <w:pStyle w:val="ListParagraph"/>
        <w:numPr>
          <w:ilvl w:val="0"/>
          <w:numId w:val="2"/>
        </w:numPr>
        <w:spacing w:after="60"/>
      </w:pPr>
      <w:r>
        <w:t xml:space="preserve">Si el crecimiento exterior en moneda local baja del +8 % dos trimestres seguidos, recortaríamos la etapa de transición y el base, y pasaríamos a Vender.</w:t>
      </w:r>
    </w:p>
    <w:p>
      <w:pPr>
        <w:pStyle w:val="ListParagraph"/>
        <w:numPr>
          <w:ilvl w:val="0"/>
          <w:numId w:val="2"/>
        </w:numPr>
        <w:spacing w:after="60"/>
      </w:pPr>
      <w:r>
        <w:t xml:space="preserve">Si el crecimiento exterior en moneda local supera el +15 % durante cuatro trimestres seguidos con margen operativo por encima del 55 %, revisaríamos el crecimiento del base al alza.</w:t>
      </w:r>
    </w:p>
    <w:p>
      <w:pPr>
        <w:pStyle w:val="ListParagraph"/>
        <w:numPr>
          <w:ilvl w:val="0"/>
          <w:numId w:val="2"/>
        </w:numPr>
        <w:spacing w:after="60"/>
      </w:pPr>
      <w:r>
        <w:t xml:space="preserve">Si Keyence anuncia una recompra de más del 5 % del capital (≈ 1 billón de JPY), subiría el valor por acción y la convicción en la asignación de capital.</w:t>
      </w:r>
    </w:p>
    <w:p>
      <w:pPr>
        <w:pStyle w:val="ListParagraph"/>
        <w:numPr>
          <w:ilvl w:val="0"/>
          <w:numId w:val="2"/>
        </w:numPr>
        <w:spacing w:after="60"/>
      </w:pPr>
      <w:r>
        <w:t xml:space="preserve">Si el JGB a 10 años baja del 2,5 % (con el terminal al 2,0 % por coherencia), el objetivo con la prima del mercado subiría a 79.738,45 JPY (−1,5 %): seguiríamos en Mantener.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Keyence vale lo que siempre ha valido: 40 veces el beneficio. El consenso espera un +24 % de ventas en FY2026e y un 54,8 % de margen EBITDA, con trece compras de quince analistas y un objetivo medio de 97.866,67 JPY [59, 60]. Implícitamente, descuenta un 11,4 % de crecimiento anual durante diez años o una rentabilidad del 7,0 %.</w:t>
      </w:r>
    </w:p>
    <w:p>
      <w:pPr>
        <w:keepNext/>
        <w:spacing w:after="100"/>
      </w:pPr>
      <w:r>
        <w:rPr>
          <w:b/>
          <w:bCs/>
        </w:rPr>
        <w:t xml:space="preserve">Lo que creemos nosotros.</w:t>
      </w:r>
    </w:p>
    <w:p>
      <w:pPr>
        <w:spacing w:after="100"/>
      </w:pPr>
      <w:r>
        <w:t xml:space="preserve">Las cifras a tres años del consenso son razonables y casi idénticas a las nuestras. Lo que no compartimos es el largo plazo: crecimiento medio del 8,4 % en diez años (con un año de corrección del ciclo, como FY2019), diez más de transición hasta el 2,5 %, margen del 53 % y un WACC del 8,50 %. Eso vale 63.376,65 JPY en el DCF y 66.566,47 JPY en la síntesis; con la prima implícita del mercado [96], 75.201,52 JPY.</w:t>
      </w:r>
    </w:p>
    <w:p>
      <w:pPr>
        <w:keepNext/>
        <w:spacing w:after="100"/>
      </w:pPr>
      <w:r>
        <w:rPr>
          <w:b/>
          <w:bCs/>
        </w:rPr>
        <w:t xml:space="preserve">Por qué podemos tener razón.</w:t>
      </w:r>
    </w:p>
    <w:p>
      <w:pPr>
        <w:spacing w:after="100"/>
      </w:pPr>
      <w:r>
        <w:t xml:space="preserve">El múltiplo histórico de Keyence se formó con el bono japonés cerca del 0 % y un yen que se depreciaba: dos vientos a favor que hoy no están. El crecimiento de FY2016-FY2025 incluyó ≈ 2,5 puntos anuales de divisa (estimación propia), y la tasa libre ha subido tres puntos sin que el múltiplo se mueva. Si el mercado vuelve a exigir una prima de riesgo normal, el ajuste llega por el múltiplo, no por el negocio.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81.4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66.089,27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Negocio excepcional</w:t>
      </w:r>
      <w:r>
        <w:t xml:space="preserve">: margen operativo del 51,0 % y ROIC del 94,6 %, el doble del mejor comparable.</w:t>
      </w:r>
    </w:p>
    <w:p>
      <w:pPr>
        <w:pStyle w:val="ListParagraph"/>
        <w:numPr>
          <w:ilvl w:val="0"/>
          <w:numId w:val="2"/>
        </w:numPr>
        <w:spacing w:after="60"/>
      </w:pPr>
      <w:r>
        <w:rPr>
          <w:b/>
        </w:rPr>
        <w:t xml:space="preserve">Crecimiento orgánico probado</w:t>
      </w:r>
      <w:r>
        <w:t xml:space="preserve">: ventas ×2,8 en diez años (12,3 % anual) sin una sola compra.</w:t>
      </w:r>
    </w:p>
    <w:p>
      <w:pPr>
        <w:pStyle w:val="ListParagraph"/>
        <w:numPr>
          <w:ilvl w:val="0"/>
          <w:numId w:val="2"/>
        </w:numPr>
        <w:spacing w:after="60"/>
      </w:pPr>
      <w:r>
        <w:rPr>
          <w:b/>
        </w:rPr>
        <w:t xml:space="preserve">Ciclo a favor a corto plazo</w:t>
      </w:r>
      <w:r>
        <w:t xml:space="preserve">: el 1T26 creció un 32,8 % con un margen operativo del 54,0 %.</w:t>
      </w:r>
    </w:p>
    <w:p>
      <w:pPr>
        <w:pStyle w:val="ListParagraph"/>
        <w:numPr>
          <w:ilvl w:val="0"/>
          <w:numId w:val="2"/>
        </w:numPr>
        <w:spacing w:after="60"/>
      </w:pPr>
      <w:r>
        <w:rPr>
          <w:b/>
        </w:rPr>
        <w:t xml:space="preserve">Balance sin deuda</w:t>
      </w:r>
      <w:r>
        <w:t xml:space="preserve">: 2,99 billones de JPY de efectivo y valores, el 15,2 % de la capitalización, con margen para recompras.</w:t>
      </w:r>
    </w:p>
    <w:p>
      <w:pPr>
        <w:pStyle w:val="ListParagraph"/>
        <w:numPr>
          <w:ilvl w:val="0"/>
          <w:numId w:val="2"/>
        </w:numPr>
        <w:spacing w:after="60"/>
      </w:pPr>
      <w:r>
        <w:rPr>
          <w:b/>
        </w:rPr>
        <w:t xml:space="preserve">Prima pequeña frente a sus pares</w:t>
      </w:r>
      <w:r>
        <w:t xml:space="preserve">: 19,8x EV/EBITDA NTM frente a la mediana de 17,6x.</w:t>
      </w:r>
    </w:p>
    <w:p>
      <w:pPr>
        <w:pStyle w:val="Heading2"/>
      </w:pPr>
      <w:r>
        <w:t xml:space="preserve">En contra</w:t>
      </w:r>
    </w:p>
    <w:p>
      <w:pPr>
        <w:pStyle w:val="ListParagraph"/>
        <w:numPr>
          <w:ilvl w:val="0"/>
          <w:numId w:val="2"/>
        </w:numPr>
        <w:spacing w:after="60"/>
      </w:pPr>
      <w:r>
        <w:rPr>
          <w:b/>
        </w:rPr>
        <w:t xml:space="preserve">El precio exige un 11,4 % anual durante diez años</w:t>
      </w:r>
      <w:r>
        <w:t xml:space="preserve">, frente al 8,4 % de nuestro base y al 12,3 % histórico con yen débil.</w:t>
      </w:r>
    </w:p>
    <w:p>
      <w:pPr>
        <w:pStyle w:val="ListParagraph"/>
        <w:numPr>
          <w:ilvl w:val="0"/>
          <w:numId w:val="2"/>
        </w:numPr>
        <w:spacing w:after="60"/>
      </w:pPr>
      <w:r>
        <w:rPr>
          <w:b/>
        </w:rPr>
        <w:t xml:space="preserve">Rentabilidad implícita del 7,0 %</w:t>
      </w:r>
      <w:r>
        <w:t xml:space="preserve">, solo 3,9 puntos sobre un JGB a 10 años al 3,103 % y por debajo del 7,5 % que pide el mercado a su beta.</w:t>
      </w:r>
    </w:p>
    <w:p>
      <w:pPr>
        <w:pStyle w:val="ListParagraph"/>
        <w:numPr>
          <w:ilvl w:val="0"/>
          <w:numId w:val="2"/>
        </w:numPr>
        <w:spacing w:after="60"/>
      </w:pPr>
      <w:r>
        <w:rPr>
          <w:b/>
        </w:rPr>
        <w:t xml:space="preserve">Múltiplo en su media histórica (40,2x)</w:t>
      </w:r>
      <w:r>
        <w:t xml:space="preserve"> pese a tres puntos más de tasa libre.</w:t>
      </w:r>
    </w:p>
    <w:p>
      <w:pPr>
        <w:pStyle w:val="ListParagraph"/>
        <w:numPr>
          <w:ilvl w:val="0"/>
          <w:numId w:val="2"/>
        </w:numPr>
        <w:spacing w:after="60"/>
      </w:pPr>
      <w:r>
        <w:rPr>
          <w:b/>
        </w:rPr>
        <w:t xml:space="preserve">Ciclo</w:t>
      </w:r>
      <w:r>
        <w:t xml:space="preserve">: FY2019-FY2020 restaron un 8 % de las ventas; el bajista vale 42.817,25 JPY.</w:t>
      </w:r>
    </w:p>
    <w:p>
      <w:pPr>
        <w:pStyle w:val="ListParagraph"/>
        <w:numPr>
          <w:ilvl w:val="0"/>
          <w:numId w:val="2"/>
        </w:numPr>
        <w:spacing w:after="60"/>
      </w:pPr>
      <w:r>
        <w:rPr>
          <w:b/>
        </w:rPr>
        <w:t xml:space="preserve">Caja ociosa</w:t>
      </w:r>
      <w:r>
        <w:t xml:space="preserve">: 3 billones de JPY rentan en torno al 0,6 % y no ha habido recompras en diez años.</w:t>
      </w:r>
    </w:p>
    <w:p>
      <w:pPr>
        <w:pStyle w:val="ListParagraph"/>
        <w:numPr>
          <w:ilvl w:val="0"/>
          <w:numId w:val="2"/>
        </w:numPr>
        <w:spacing w:after="60"/>
      </w:pPr>
      <w:r>
        <w:rPr>
          <w:b/>
        </w:rPr>
        <w:t xml:space="preserve">Margen bajo presión</w:t>
      </w:r>
      <w:r>
        <w:t xml:space="preserve">: gastos de venta del 29,3 % de las ventas, frente al 24,5 % de FY2016.</w:t>
      </w:r>
    </w:p>
    <w:p>
      <w:pPr>
        <w:pStyle w:val="Heading2"/>
      </w:pPr>
      <w:r>
        <w:t xml:space="preserve">Qué tiene que pasar para que la tesis funcione</w:t>
      </w:r>
    </w:p>
    <w:p>
      <w:pPr>
        <w:spacing w:after="100"/>
      </w:pPr>
      <w:r>
        <w:t xml:space="preserve">La tesis depende de que el crecimiento vuelva a una cifra de un dígito alto cuando pase el ciclo y de que el mercado exija una prima normal sobre un JGB al 3 %. La señal de que nos equivocamos sería un crecimiento exterior en moneda local por encima del 15 % durante cuatro trimestres seguidos con un margen operativo por encima del 55 %, como en FY2017 y FY2021: eso acercaría el crecimiento real al 11,4 % que descuenta el precio.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exterior en moneda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+15 % cuatro trimestres o por debajo del +8 %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la variable del DCF inverso.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55 % o por debajo del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red comercial nueva madura o si el ciclo gira.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JGB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3,103 % (6-oct-2026)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WACC y la prima que paga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USD/JPY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158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140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1.100 M JPY de resultado operativo por cada yen.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local y geopolítica.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M&amp;A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Ninguna en diez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Recompra &gt; 5 % del capital o compra &gt; 1 billón de JPY</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Uso de los 3 billones de JPY de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24,8x / 19,8x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40,2x / 32,9x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 · -4,5x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Takemitsu Takizaki fundó Lead Electric en Itami (Hyogo) en marzo de 1972 y la constituyó como sociedad anónima en mayo de 1974; desde 1973 vende sensores para automatizar fábricas [25]. Las decisiones que la definen llegaron pronto: en 1985 abrió filial en EE. UU. y una sociedad de fabricación propia, y en 1986 unificó marca y razón social como KEYENCE [25]. Cotiza desde 1987 (segunda sección de Osaka) y desde 1990 en la primera sección de Tokio y Osaka, hoy segmento Prime [25]. La expansión exterior fue gradual: Alemania en 1990, China en 2001 y, entre 2011 y 2016, Brasil, India, Indonesia, Vietnam y Filipinas [25]. Las ventas fuera de Japón pasaron de algo menos del 30 % hace quince años al 66,6 % en el ejercicio a marzo de 2026, y en ese periodo las ventas totales se multiplicaron por unas 7,7 veces [1, 24]. No ha hecho adquisiciones relevantes en el negocio central; la empresa dice ahora que usará compras para entrar en áreas digitales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Takemitsu Takizaki crea Lead Electric en Itami (Hyogo): controles automáticos y equipos electrónicos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a desarrollar y vender sensores para automatizar fábricas, el núcleo del negocio actual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como Lead Electric Co., Ltd. en Amagasaki (mayo)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KEYENCE Corporation of America y crea la sociedad de fabricación Krepo, hoy KEYENCE Engineering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razón social a KEYENCE para unificarla con la marca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a bolsa en la segunda sección de Osaka; en 1989, segunda sección de Tokio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la primera sección de Tokio y Osaka y abre filial en Alemania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filial en China; China es hoy el 16,0 % de las ventas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Inaugura el centro logístico de Takatsuki, base del envío en el día de todo el catálogo [23,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Filiales en Brasil e India (2011), Indonesia (2013), Vietnam (2014) y Filipinas (2016)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al segmento Prime de la Bolsa de Tokio con la reforma de mercados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1.169.289 M JPY (+10,4 %) y beneficio operativo de 595.759 M JPY (51,0 % de margen); 12.784 empleados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KEYENCE diseña y vende componentes para automatizar e inspeccionar fábricas: sensores fotoeléctricos y de posición, sistemas de visión artificial, instrumentos de medición, microscopios digitales, lectores de códigos y marcadores láser y autómatas programables. En el último ejercicio añadió impresoras 3D para planta, sensores para cilindros lineales y válvulas inteligentes [1, 23]. Vende a todas las industrias (automoción, semiconductores, electrónica, metal, alimentación, farmacia, logística), lo que la hace menos dependiente de un sector concreto [23]. La web de inversores habla de más de 350.000 clientes; el informe anual, de unos 400.000 en unos 110 países [1, 23]. No tiene distribuidores: vende con ingenieros de ventas organizados por territorios y envía todo el catálogo el mismo día del pedido [23]. Es </w:t>
      </w:r>
      <w:r>
        <w:rPr>
          <w:i/>
        </w:rPr>
        <w:t xml:space="preserve">fabless</w:t>
      </w:r>
      <w:r>
        <w:t xml:space="preserve">: concentra los recursos en planificación, desarrollo y diseño y subcontrata la fabricación, aunque conserva la tecnología de producción clave y presta utillaje a sus fábricas asociadas [23]. En el ejercicio a marzo de 2026, Japón fue el 33,4 % de las ventas, EE. UU. el 19,3 %, China el 16,0 % y el resto del mundo el 31,4 % [1].</w:t>
      </w:r>
    </w:p>
    <w:p>
      <w:pPr>
        <w:pStyle w:val="Heading2"/>
      </w:pPr>
      <w:r>
        <w:t xml:space="preserve">Cómo gana dinero</w:t>
      </w:r>
    </w:p>
    <w:p>
      <w:pPr>
        <w:spacing w:after="100"/>
      </w:pPr>
      <w:r>
        <w:t xml:space="preserve">Cobra por producto vendido: no declara contratos plurianuales ni ingresos recurrentes, y reporta un único segmento porque un grupo de productos supera el 90 % de las ventas [1]. El margen sale del precio, no del coste: en torno al 70 % de sus productos nuevos tiene una función o un concepto «primero del mundo» o «primero del sector», y la empresa dice que no compite en precio ni en especificaciones [23]. Con la fabricación subcontratada, el margen bruto trimestral del ejercicio a marzo de 2026 fue del 82,6 % al 83,5 % y el beneficio operativo, el 51,0 % de las ventas: el grueso del gasto está en ventas y administración, no en la fábrica [1, 15]. La I+D costó 32.839 M JPY, el 2,8 % de las ventas [1]. Lanza unas diez series nuevas al año, y los productos de menos de dos años suponen entre el 10 % y el 20 % de las ventas [24]. El gran coste fijo es la plantilla comercial; aun así, el margen aguanta las caídas: en el ejercicio a marzo de 2021 las ventas bajaron un 2,5 % y el beneficio operativo solo un 0,3 % [4].</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390.066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países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348.079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344.567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390.066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Estados Unidos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países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206.003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268.678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309.331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330.920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nula: ningún cliente superó el 10 % de las ventas en los dos últimos ejercicios [1], y la organización por territorios está pensada para no depender de clientes concretos [23]. La base es de 350.000-400.000 clientes en unos 110 países, y la venta es pedido a pedido, con envío el mismo día; no hay contratos de duración ni tasas de renovación publicadas [1, 23]. La empresa no publica subidas de tarifa, pero el poder de precios se ve en el margen: el beneficio operativo fue el 51,4 % de las ventas en el ejercicio a marzo de 2021, el 51,2 % en el de 2024 y el 51,0 % en el de 2026, a pesar de la inflación de costes de 2022-2024 [1, 4, 26]. El riesgo de clientes está en el ciclo de inversión industrial, no en ninguno en particular.</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el extranjero, 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1T26, +24,0 %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ventas en el extranjero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50,0 % en el FY2016; 70,4 % en el 1T26 [1, 2, 6,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del 17,0 % en el FY2021; 10,8 % en el FY2016 [1, 2, 3, 4,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+33,9 % en el 1T26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y otros, crecimiento en moneda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región más débil; +12,8 % en el 1T26 [15,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85,0 % en el 1T26, con ayuda del yen [1,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12.261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12.784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8.961 en el FY2021; sueldo medio en la matriz de 21,8 M JPY, edad media 35,0 años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lleva a gastos; no se activa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componentes de detección, inspección y medición para automatizar fábricas: sensores industriales, visión artificial, instrumentos de medición y microscopía, lectura de códigos y marcado. No es el de robots ni el de máquina-herramienta, que KEYENCE no fabrica. No hay una estadística que cubra ese perímetro entero, así que usamos como referencia la </w:t>
      </w:r>
      <w:r>
        <w:rPr>
          <w:b/>
        </w:rPr>
        <w:t xml:space="preserve">visión artificial</w:t>
      </w:r>
      <w:r>
        <w:t xml:space="preserve">, el submercado mejor medido y donde KEYENCE aparece entre los cinco primeros en las dos fuentes [36, 37]. Las dos fuentes difieren mucho en tamaño (15.830 M USD frente a 22.600 M USD en 2025) porque Grand View incluye más software y aplicaciones fuera de fábrica; tomamos MarketsandMarkets, la más conservadora [36, 37]. Como contexto, los sensores industriales sumaban 27.900 M USD en 2024, aunque esa cifra incluye sensores de nivel, temperatura y gas que KEYENCE no vende [38]. Perímetro mundial.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15.830 M USD en 2025 (visión artificial mundial; MarketsandMarkets [36]); Grand View Research lo estima en 22.600 M USD [37]. Sensores industriales: 27.900 M USD en 2024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isión artificial mundial, MarketsandMarke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calidad y eficiencia energética en la industria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MarketsandMarkets prevé que la visión artificial crezca un 8,3 % anual en 2025-2030, y Asia-Pacífico un 9,2 % [36]; KEYENCE cita automatización, calidad y eficiencia energética como motores de su demanda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industrial (máquina-herramienta, bienes de equipo)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máquina-herramienta japonesa sumaron 1.604.320 M JPY en 2025, un 8,0 % más, el primer año de crecimiento en tres [41]. En Alemania, VDMA esperaba visión artificial plana en 3.100 M EUR en 2025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semiconductores e 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Omron atribuye a la demanda ligada a la IA generativa el alza del 12,3 % de su negocio de automatización industrial en el ejercicio a marzo de 2026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visión y sensores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Hikrobot facturó más de 6.452 M CNY en 2025 y lleva más de 10 millones de productos de visión vendidos [42]; SICK cita la presión de precios de China como causa de su margen EBIT del 3,0 %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software abierto en visión artificial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Cognex avisa de que la IA y las plataformas abiertas pueden bajar las barreras de entrada y fragmentar más el mercado [27]; a la vez amplía las aplicaciones de la inspección.</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primer trimestre del ejercicio 2026 (abril-junio) las ventas exteriores de KEYENCE crecieron un 39,0 % en yenes y un 24,0 % en moneda local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Cognex describe el mercado de visión como fragmentado y competitivo [27]. La rivalidad aprieta a los que venden por catálogo y precio (SICK, margen EBIT del 3,0 % [35]; Cognex, 16,4 % [28]). Ni los grandes de la automatización se acercan: Rockwell Automation ganó un 20,4 % operativo sobre 8.342 M USD en el ejercicio a septiembre de 2025 [29], mientras KEYENCE mantiene el 51,0 %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Cientos de miles de clientes y ninguno por encima del 10 % de las ventas [1, 23]; el componente pesa poco en el coste de una línea y una parada cuesta mucho más.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subcontratada a varias fábricas, con utillaje y tecnología clave propios [23]. El riesgo está en los chips: Cognex señala su dependencia de proveedores de Taiwán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el software abierto bajan la barrera técnica [27] y los fabricantes chinos ganan escala (Hikrobot, más de 6.452 M CNY en 2025 [42]). La barrera comercial es alta: replicar una red de venta directa como la de KEYENCE, con 12.784 empleados, lleva décadas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sustitutos son los departamentos de ingeniería propios de los clientes y las herramientas abiertas, también con IA [27]; la inspección manual es más cara y menos fiable.</w:t>
            </w:r>
          </w:p>
        </w:tc>
      </w:tr>
    </w:tbl>
    <w:p>
      <w:pPr>
        <w:spacing w:after="160" w:before="0"/>
      </w:pPr>
    </w:p>
    <w:p>
      <w:pPr>
        <w:pStyle w:val="Heading2"/>
      </w:pPr>
      <w:r>
        <w:t xml:space="preserve">Ciclo</w:t>
      </w:r>
    </w:p>
    <w:p>
      <w:pPr>
        <w:spacing w:after="100"/>
      </w:pPr>
      <w:r>
        <w:t xml:space="preserve">Tres indicadores apuntan a expansión: los pedidos de máquina-herramienta japonesa crecieron un 8,0 % en 2025 tras dos años de caída [41], el negocio de automatización de Omron subió un 12,3 % en el ejercicio a marzo de 2026 [31] y las ventas de KEYENCE crecieron un 32,8 % en abril-junio de 2026 (24,0 % en moneda local fuera de Japón) [15]. Europa va por detrás: VDMA esperaba visión artificial plana en Alemania en 2025 tras caer en 2024 [39]. En las caídas, KEYENCE aguanta mejor que el sector: en el ejercicio a marzo de 2021 sus ventas bajaron un 2,5 % [4], y en el de 2024 el beneficio operativo cedió un 0,8 % [26], cuando los ingresos de Cognex caían un 16,8 % en 2023 [28]. No hemos podido verificar la caída de 2009 con documentos originales.</w:t>
      </w:r>
    </w:p>
    <w:p>
      <w:pPr>
        <w:pStyle w:val="Heading2"/>
      </w:pPr>
      <w:r>
        <w:t xml:space="preserve">Regulación</w:t>
      </w:r>
    </w:p>
    <w:p>
      <w:pPr>
        <w:spacing w:after="100"/>
      </w:pPr>
      <w:r>
        <w:t xml:space="preserve">No hay una regulación sectorial que fije precios o márgenes. Lo que afecta a las cifras son las barreras al comercio: los aranceles de EE. UU. han encarecido materiales y logística (Omron lo cita como causa de su menor margen bruto en el ejercicio a marzo de 2026 [31]) y los controles de exportación de EE. UU. a China ya han restado ventas a Cognex en ese país [27]. Para KEYENCE, que vende el 16,0 % en China y el 19,3 % en EE. UU. [1], el riesgo es doble. Además, cada producto debe cumplir la normativa de seguridad y de sustancias químicas del país de venta, aunque se fabrique fuera; KEYENCE lo recoge entre sus riesgos [1].</w:t>
      </w:r>
    </w:p>
    <w:p>
      <w:pPr>
        <w:pStyle w:val="Heading2"/>
      </w:pPr>
      <w:r>
        <w:t xml:space="preserve">Tendencias y disrupción</w:t>
      </w:r>
    </w:p>
    <w:p>
      <w:pPr>
        <w:spacing w:after="100"/>
      </w:pPr>
      <w:r>
        <w:t xml:space="preserve">La tendencia dominante es la IA en la inspección. Cognex ha lanzado OneVision, una plataforma en la nube para entrenar modelos [27], y KEYENCE lanzó en julio de 2026 la serie VS-G de visión con IA [37]. La IA amplía el mercado, pero también abarata la entrada y favorece a fabricantes chinos con escala, como Hikrobot [27, 42]. KEYENCE responde ampliando su campo: en una década sus ventas en automatización de fábricas se multiplicaron por 2,6 y las de fuera de ese campo (I+D, calidad, logística, comercio) por 3,5. Además entra en áreas digitales (comercio electrónico, CAD 3D, análisis de datos, RPA) y no descarta comprar empresas [24]. Gana mientras siga lanzando productos que solo ella tiene; pierde si la visión se convierte en una mercancía de software.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Entre los cinco primeros del mundo en visión artificial según MarketsandMarkets y Grand View, junto a Cognex, Basler, Omron y Teledyne o SICK [36, 37], y la más rentable del grupo. KEYENCE no desglosa sus ventas por línea, así que no publica cuota: con 1.169.289 M JPY es varias veces mayor que Cognex (155.800 M JPY) y que el segmento de automatización de Omron (409.500 M JPY), y su margen operativo duplica al de los mejores competidores [1, 28, 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CGNX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visión artificial y lectores de códigos; 994,4 M USD de ingresos y 162,6 M USD de resultado operativo en 2025 [28], convertidos a 156,67 JPY/USD del 31-dic-2025 [40]. También fabless, pero vende por canal mixto y sus ingresos cayeron un 16,8 % en 2023 [27,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OMRON (Industrial Automation Business)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6645</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IAB, ejercicio a marzo de 2026: 409.500 M JPY de ventas externas y 42.800 M JPY de beneficio operativo [31]. Catálogo más amplio que el de KEYENCE: autómatas, robots, seguridad y sensores.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6273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842.541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Neumática (cilindros, válvulas), con solape creciente por los sensores de cilindro y las válvulas inteligentes que KEYENCE lanzó en 2025-26 [1]. Ejercicio a marzo de 2026: 842.541 M JPY y 190.559 M JPY de beneficio operativo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FANUC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6954</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857.831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CNC, robots y robomáquinas; comparte cliente y ciclo, no producto. Ejercicio a marzo de 2026: 857.831 M JPY y 183.763 M JPY de beneficio operativo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 (Manufacturing Intelligence)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HEXA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Metrología industrial y software de fabricación. Segmento 2025: 1.853,5 M EUR de ventas y 476,0 M EUR de EBIT1 ajustado [34], a 184,09 JPY/EUR del 31-dic-2025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SICK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Sensores y visión, competidor directo por catálogo. 1.850 M EUR de ventas y 54,7 M EUR de EBIT en 2025; cita la presión de precios china [35], a 184,09 JPY/EUR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630.824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Instrumentos de precisión y pesaje, solape en medición e inspección. 4.026,4 M USD en 2025 [30]; margen estimado (estimación propia: beneficio antes de impuestos de 1.048,9 M USD más gasto financiero de 68,5 M USD, sobre ventas), a 156,67 JPY/USD [40].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Hikrobot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Filial de Hikvision, no cotiza. Más de 6.452 M CNY de ingresos en 2025 en visión y robots móviles, con más de 10 millones de productos de visión vendidos [42]; convertido a 22,38 JPY/CNY del 31-dic-2025 [40]. Compite en precio en China.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entre clientes. Lo más parecido es el circuito de información: los ingenieros de ventas recogen problemas en cientos de miles de plantas y eso alimenta el desarrollo [2]; es una ventaja de información más que de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componente queda integrado y configurado en la línea, y cambiarlo exige revalidar el proceso. No hay datos de retención; la prueba indirecta es el margen operativo del 51 % mantenido entre los ejercicios a marzo de 2021 y 2026 [1,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torno al 70 % de los productos nuevos tiene una función o un concepto «primero del mundo» o «primero del sector» [2], y los productos de menos de dos años generan entre el 10 % y el 20 % de las ventas [3]. El margen bruto trimestral, entre el 82,6 % y el 85,0 % [21], es propio de producto diferenciado.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Fabless y con I+D del 2,8 % de las ventas [1]. La ventaja está más en el precio que en el coste: el beneficio operativo es del 51,0 % frente al 16,4 % de Cognex y al 10,4 % del segmento de automatización de Omron [1, 8,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red de venta directa con envío en el día es cara de replicar. Estimación propia: 91,5 M JPY de ventas por empleado (1.169.289 M JPY entre 12.784) [1], frente a unos 33,5 M JPY en SICK (1.850 M EUR entre 10.158 empleados, a 184,09 JPY/EUR) [15, 20].</w:t>
            </w:r>
          </w:p>
        </w:tc>
      </w:tr>
    </w:tbl>
    <w:p>
      <w:pPr>
        <w:spacing w:after="160" w:before="0"/>
      </w:pPr>
    </w:p>
    <w:p>
      <w:pPr>
        <w:pStyle w:val="Heading2"/>
      </w:pPr>
      <w:r>
        <w:t xml:space="preserve">Amenazas</w:t>
      </w:r>
    </w:p>
    <w:p>
      <w:pPr>
        <w:spacing w:after="100"/>
      </w:pPr>
      <w:r>
        <w:t xml:space="preserve">La primera amenaza es China, donde KEYENCE hace el 16,0 % de las ventas [1]. Allí Hikrobot ya factura más de 6.452 M CNY y compite en precio [42]; SICK culpa a esa presión de su margen del 3,0 % [35]. Probabilidad media: afecta primero a los productos de catálogo, no a los únicos. La segunda es la IA, que abarata desarrollar visión y puede convertirla en software barato [27]. Probabilidad media a largo plazo. La tercera es la propia red de ventas: crecer fuera exige contratar y formar ingenieros, y la productividad por persona fuera de Japón es la mitad que dentro [24]; si se diluye la cultura comercial, se erosiona el foso. Hoy el yen débil infla las cifras: fuera de Japón, +39,0 % en yenes frente a +24,0 % en moneda local en abril-junio de 2026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426.666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922.422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510.437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498.914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508.781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564.968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549.775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1.169.289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612.986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595.759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FY2016-FY2025: ingresos </w:t>
      </w:r>
      <w:r>
        <w:rPr>
          <w:b/>
          <w:bCs/>
        </w:rPr>
        <w:t xml:space="preserve">12,3 %</w:t>
      </w:r>
      <w:r>
        <w:t xml:space="preserve">, EBITDA </w:t>
      </w:r>
      <w:r>
        <w:rPr>
          <w:b/>
          <w:bCs/>
        </w:rPr>
        <w:t xml:space="preserve">11,9 %</w:t>
      </w:r>
      <w:r>
        <w:t xml:space="preserve">, BPA </w:t>
      </w:r>
      <w:r>
        <w:rPr>
          <w:b/>
          <w:bCs/>
        </w:rPr>
        <w:t xml:space="preserve">12,6 %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de 412.699 M JPY en el FY2016 a 1.169.289 M JPY en el FY2025, un 12,3 % anual compuesto, todo orgánico: no ha habido cambios de perímetro relevantes [1, 6, 7]. El único retroceso fue el de FY2019-FY2020 (-6,0 % y -2,5 %), con la guerra comercial y la pandemia [4]; el FY2021 rebotó un 40,3 % [3]. El margen operativo tocó máximos del 55,6 % (FY2017) y 55,4 % (FY2021) y ha bajado al 51,0 % en el FY2025 (-440 p.b. desde el FY2021) porque los gastos de venta y administración subieron del 24,5 % al 29,3 % de las ventas, por la contratación comercial fuera de Japón, mientras el margen bruto se mantuvo en torno al 83 % [1, 3]. El yen débil ha sumado: en el FY2024 aportó unos 33.100 M JPY de ventas y 22.400 M JPY de resultado operativo [17]; en el FY2025, solo 3.100 y 1.800 M JPY [16]. El 1T26 marca un cambio de ritmo: ventas +32,8 %, de las que unos 26.100 M JPY son efecto divisa, y margen operativo del 54,0 % [15]. No da previsiones de resultados, solo del dividendo [7].</w:t>
      </w:r>
    </w:p>
    <w:p>
      <w:pPr>
        <w:pStyle w:val="Heading2"/>
      </w:pPr>
      <w:r>
        <w:t xml:space="preserve">Ajustes y partidas no recurrentes</w:t>
      </w:r>
    </w:p>
    <w:p>
      <w:pPr>
        <w:spacing w:after="100"/>
      </w:pPr>
      <w:r>
        <w:t xml:space="preserve">Se usan cifras reportadas en JGAAP, sin ajustes. Las cuentas no incluyen arrendamientos operativos en balance (no aplica NIIF 16; la norma japonesa equivalente, ASBJ n.º 34, se aplicará desde el ejercicio que empieza el 21-mar-2028) [1]: el EBITDA está «antes de alquileres», y los alquileres van dentro del gasto operativo. `gastos_generales` incluye gastos de venta y administración más I+D (32.839 M JPY en el FY2025), para que ventas menos costes cuadre con el resultado operativo [1]. `resultado_financiero` es «otros ingresos (gastos) netos»: intereses y dividendos cobrados (16.368 M JPY en el FY2025), diferencias de cambio (16.270 M JPY de beneficio en el FY2025 frente a 4.221 M JPY de pérdida en el FY2024) y la participación en asociadas (6.460 M JPY), que no está dentro del EBIT [1, 2]. No hay deuda ni gastos por intereses. BPA y DPA de FY2016-FY2018 divididos por dos por el desdoblamiento 2x1 de noviembre de 2019 [4]. El FCF de los últimos doce meses no se calcula porque el 1T no publica estado de flujos [9].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420,76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191.776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Keyence no publica transcripciones ni resúmenes de preguntas y respuestas de sus reuniones con analistas; solo las diapositivas [15, 16] y el </w:t>
      </w:r>
      <w:r>
        <w:rPr>
          <w:i/>
        </w:rPr>
        <w:t xml:space="preserve">kessan tanshin</w:t>
      </w:r>
      <w:r>
        <w:t xml:space="preserve"> [7, 9]. Lo que sigue sale de esos documentos. Las cifras de cada trimestre son la diferencia entre los acumulados de los tanshin [7, 8, 9, 10, 11, 12, 13, 14]; el EBITDA suma la amortización trimestral de las presentaciones, redondeada a 100 M JPY [15, 16, 17, 18, 19], y el BPA del 2T24 usa un 1T24 estimado (beneficio entre acciones medias). En la presentación del FY2025 (24-abr-2026) la dirección añadió por primera vez una «estrategia de despliegue de capital»: prioridad a nuevos productos, expansión exterior, venta directa y capacidad logística; M&amp;A «sin límite de calendario ni de tamaño»; dividendo estable y recompras «flexibles» [16]. También anunció un centro logístico en Takatsuki (Osaka) con unas cuatro veces la superficie actual, que termina de construirse en nov-2026 y opera desde nov-2027 [16]. El dividendo pasó de 350 a 550 JPY (</w:t>
      </w:r>
      <w:r>
        <w:rPr>
          <w:i/>
        </w:rPr>
        <w:t xml:space="preserve">payout</w:t>
      </w:r>
      <w:r>
        <w:t xml:space="preserve"> del 30,0 %) y prevé 550 para el FY2026 [7]. En el 1T26 (28-jul-2026) el discurso no cambió, pero los números sí: ventas +32,8 %, extranjero +24,0 % en moneda local, Asia +33,9 %, Japón +19,9 %, margen bruto del 85,0 % y operativo del 54,0 % [15]. La sensibilidad al dólar subió de unos 900 a unos 1.100 M JPY de resultado operativo por yen [15, 16]. Frente al consenso, el BPA del 1T26 superó lo esperado en un 24 % según Simply Wall St [21], mientras que el del 1T25 se quedó un 2,9 % por debajo [22]. Lo que no se aborda: cuánto del salto del 1T26 es adelanto de pedidos (las existencias subieron a 101.073 M JPY, +18,5 % en el trimestre [9]) y por qué no hay recompras con 3 billones de JPY de liquidez.</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1.250.591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1.486.222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1.381.057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1.682.357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-1.403.738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1.588.309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1.836.018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1.758.083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2.009.874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1.912.844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1.929.076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-1.929.076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2.173.583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2.650.429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2.491.634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2.964.792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2.425.545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-2.425.545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2.806.193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3.289.224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2.719.794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-2.719.794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3.108.552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3.670.655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451.838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2.978.396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-2.978.396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3.471.472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una tesorería con una empresa industrial dentro. La liquidez pasó de 1.046.838 M JPY en el FY2016 a 2.978.396 M JPY en el FY2025 [1, 6]: retiene el 80 % del flujo libre, porque los dividendos solo se han llevado el 19 % del acumulado de diez años. Desde el FY2021 la caja se ha ido alargando hacia bonos y certificados a más de un año (de 788.123 M JPY en el FY2020 a 1.464.288 M JPY) [1, 4]. El circulante operativo (clientes + existencias - proveedores) es de 451.838 M JPY, el 38,6 % de las ventas: los clientes rondan los 110-120 días de venta en toda la serie, porque cobra a plazos largos sobre todo en Japón, y las existencias saltaron en el FY2021-FY2022 por la escasez de componentes (87.389 M JPY) [3]. El inmovilizado neto se multiplicó por 2,5 en el FY2022 por la compra de terrenos (de 7.060 a 35.662 M JPY) [3], compatible con el nuevo centro logístico [16].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271.476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387.916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430.680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1.658,84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2.621.700</w:t>
      </w:r>
      <w:r>
        <w:t xml:space="preserve">, conversión </w:t>
      </w:r>
      <w:r>
        <w:rPr>
          <w:b/>
          <w:bCs/>
        </w:rPr>
        <w:t xml:space="preserve">92 %</w:t>
      </w:r>
      <w:r>
        <w:t xml:space="preserve"> del beneficio neto; adquisiciones 0, dividendos 488.080, recompras 693.</w:t>
      </w:r>
    </w:p>
    <w:p>
      <w:pPr>
        <w:spacing w:after="100"/>
      </w:pPr>
      <w:r>
        <w:t xml:space="preserve">La conversión es alta y estable: el flujo operativo fue de 430.680 M JPY en el FY2025, el 97 % del beneficio neto, y el FCF (operativo menos inversión en inmovilizado) de 402.309 M JPY, el 90 % [1]. En diez años el flujo operativo sumó 2,75 billones de JPY y el capex solo 131.788 M JPY, el 1,8 % de las ventas acumuladas [1, 2, 3, 4, 5, 6]. Los años de capex alto tienen causa: el FY2022 (39.345 M JPY) por la compra de terrenos [3] y el FY2025 (28.371 M JPY) por la obra del centro logístico de Takatsuki [16]. Además, en el FY2025 hubo 32.124 M JPY de «otros» en inversión sin desglose, que coinciden con la subida de «otros activos» a largo de 17.026 a 41.391 M JPY [1]: si fueran anticipos de obra, el capex real del año sería mayor. La empresa no separa mantenimiento y crecimiento; estimación propia: el mantenimiento se acerca a la amortización (17.227 M JPY, 1,5 % de las ventas) y el resto es crecimiento. Los intereses y dividendos cobrados (12.406 M JPY) y los impuestos (181.644 M JPY) van en explotación [7]. «Otros» de financiación (4.573 M JPY) no se desglosa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Touche Tohmatsu LLC (有限責任監査法人トーマツ)</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El auditor es Deloitte Tohmatsu desde 1987, 39 años seguidos; rotan los socios firmantes, pero la permanencia es larga incluso para Japón, y su red cobra más por otros servicios que por la auditoría (134 frente a 50 M JPY) [20]. La opinión de FY2025 es favorable; la única cuestión clave es el corte de ingresos en la matriz y en Keyence (China) [1]. No hay cambios de criterio, la I+D va a gastos y no hay remuneración en acciones ni valores dilutivos [7, 20]. El tipo efectivo es estable (30,0 % en FY2025 frente a un legal del 30,5 %) [1]. El beneficio antes de impuestos depende algo de partidas financieras: las diferencias de cambio pasaron de −4.221 a +16.270 M JPY en un año, y explican parte del salto del resultado financiero a 39.996 M JPY [1]. Los tres indicadores no avisan de nada: un Altman Z de 62,25 (zona segura, sin significado con un 95 % de patrimonio sobre activo), un Piotroski F de 6 (fallan la conversión en caja de FY2025, el margen bruto y la rotación) y un Beneish M de −2,32, por debajo del umbral de manipulación. Dos detalles a vigilar: 32.124 M JPY de «otros» en inversión sin explicar en FY2025 y la subida del 18,5 % de las existencias en el 1T26 [1, 9].</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desde 1987</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años con la misma firma (Tohmatsu) [20]; rotan los socios, no la firma.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latentes en la cartera de bonos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22.377 M JPY brutos a 20-mar-2026, contra patrimonio; el 0,8 % de la liquidez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en el beneficio antes de impuestos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+16.270 M JPY en el FY2025 (2,6 % del BAI) frente a -4.221 M JPY en el FY2024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 inversión sin desglose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32.124 M JPY de «otros» en inversión en el FY2025, sin explicar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existencias en el 1T26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85.273 a 101.073 M JPY en un trimestre (+18,5 %) con ventas récord; vigilar si es preparación de demanda o acumulación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fuera de balance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JGAAP sin NIIF 16 hasta marzo de 2028; con poca planta propia, el efecto en el EBITDA es menor que en un minorista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440.917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87,6 % · </w:t>
      </w:r>
      <w:r>
        <w:rPr>
          <w:b/>
          <w:bCs/>
        </w:rPr>
        <w:t xml:space="preserve">WACC</w:t>
      </w:r>
      <w:r>
        <w:t xml:space="preserve">: 8,5 %.</w:t>
      </w:r>
    </w:p>
    <w:p>
      <w:pPr>
        <w:spacing w:after="100"/>
      </w:pPr>
      <w:r>
        <w:t xml:space="preserve">Keyence crea valor con holgura: el ROIC fue del 94,6 % en FY2025 frente a un WACC del 8,50 %, y no ha bajado del 94 % en diez años (máximo del 140,2 % en FY2017). El ROIC se mide sin la caja: el capital investido son 440.917 M JPY, sobre todo circulante comercial (38,6 % de las ventas por los cobros a clientes), porque la fabricación está subcontratada y el capex es del 1-2 % de las ventas [1]. La caída desde FY2017 tiene dos causas: el margen operativo pierde 4,6 puntos (de 55,6 % a 51,0 %) por la contratación comercial fuera de Japón y el circulante pasa del 34,9 % al 38,6 % de las ventas [1]. El ROIC incremental de FY2016-FY2025 es del 87,6 %: el crecimiento reciente es casi tan rentable como el negocio entero. El ROE, en cambio, es solo del 13,5 %, porque el 81 % del activo es liquidez que renta alrededor de un 0,6 % [1]. Los comparables quedan lejos con su propia definición: Mettler-Toledo 42,3 %, Rockwell 21,4 %, Fanuc 12,8 % y Omron 5,4 % [75, 77, 79, 80].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-2.995.278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financiera. Liquidez a 20-mar-2026 de 2.978.396 M JPY (81 % del activo): efectivo 451.269, depósitos a plazo 145.706, valores negociables a corto 896.913 (bonos del Estado 62.454, bonos corporativos 278.458 y certificados de depósito 556.000), valores de inversión a largo 1.464.288 (bonos del Estado 537.638, corporativos 585.196, certificados de depósito 335.000 y acciones 6.453) y depósitos a largo 20.220 [1]. Aparte, participaciones en asociadas por 50.015 M JPY [1]. A 20-jun-2026: efectivo y depósitos 564.751, valores a corto 861.843 y valores de inversión 1.598.277 (incluye asociadas)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ni planes de pensiones de prestación definida (solo aportación definida y pagos anticipados de jubilación, con un gasto de 3.296 M JPY en el FY2025) [1], ni pagos aplazados de compras. El pasivo total es de 199.182 M JPY y casi todo es de explotación: impuestos a pagar (102.331), bonus devengados (22.271), proveedores (10.890) y otros (52.338) [1]. Hay arrendamientos operativos fuera de balance por no aplicar NIIF 16; la empresa aún está midiendo el efecto de la norma ASBJ n.º 34, que aplicará desde marzo de 2028 [1]. La cartera de bonos tiene pérdidas latentes brutas de 22.377 M JPY (11.020 en deuda pública y 11.357 en corporativa) frente a 5.123 M JPY de plusvalías, por la subida de tipos en Japón; van contra patrimonio [1]. No hay litigios ni garantías relevantes declarados.</w:t>
      </w:r>
    </w:p>
    <w:p>
      <w:pPr>
        <w:pStyle w:val="Heading1"/>
      </w:pPr>
      <w:r>
        <w:t xml:space="preserve">12. Asignación de capital</w:t>
      </w:r>
    </w:p>
    <w:p>
      <w:pPr>
        <w:pStyle w:val="Confianza"/>
        <w:spacing w:after="100"/>
      </w:pPr>
      <w:r>
        <w:t xml:space="preserve">Confianza: Alta</w:t>
      </w:r>
    </w:p>
    <w:p>
      <w:pPr>
        <w:spacing w:after="100"/>
      </w:pPr>
      <w:r>
        <w:t xml:space="preserve">Desde abril de 2026, la política de capital es explícita: primero, inversión en producto, red comercial, logística y fabricación «sin un presupuesto prefijado»; después, M&amp;A «sin limitaciones de momento ni de tamaño»; después, capital humano; y por último, un dividendo «estable y continuo» con recompras «flexibles» [16, 90]. El dividendo pasó de 350 a 550 JPY (payout del 30 %) y la empresa prevé otros 550 JPY para FY2026e [7]. La junta de 2026 aprobó que el consejo pueda recomprar acciones sin pasar por la junta [49, 51]. En diez años no ha hecho recompras ni compras relevantes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402.309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Keyence ha crecido sin compras: no hay cambios de perímetro relevantes ni fondo de comercio en el balance [1, 7], y su única participación significativa son asociadas por 50.015 M JPY, sin detalle en el informe anual [1]. Como asignadora de capital tiene dos caras. En el negocio, invierte poco y con mucho retorno: 131.788 M JPY de capex en diez años para generar 2,75 billones de JPY de flujo operativo [1, 2, 3, 4, 5, 6]. Con el excedente, en cambio, acumula: la liquidez llega a 2,98 billones de JPY, el 86 % del patrimonio, y renta poco (intereses y dividendos de 16.368 M JPY en el FY2025, en torno al 0,6 %) [1]. La subida del dividendo a 550 JPY y el anuncio de recompras y M&amp;A «sin límites» en abril de 2026 [7, 16] son el primer cambio de discurso; sin recompras ejecutadas, aún no es un cambio de hechos. El número de acciones está plano (242,5 millones en circulación) desde hace diez años: no hay dilución [1,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Tetsuya Nakano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(Representative Director); preside el consejo y el comité de nombramientos y retribuciones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2004; director de la división de sistemas de control (2020), consejero desde junio de 2023 y director de la división internacional desde diciembre de 2023 [44]. Presidente desde el 22-dic-2025, con 44 años, por acuerdo del consejo de 29-oct-2025 [54]. No declara acciones de la compañía [20, 44]. Lleva menos de un año en el cargo: aún no hay resultados medibles atribuibles a él.</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Hiroaki Yamamoto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Información de Gestión (経営情報室長) y de Apoyo al Negocio; responsable de la información financiera (Keyence no tiene un CFO con ese título)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1997; director de planificación corporativa y de apoyo al negocio desde marzo de 2021 y consejero desde junio de 2021 [44]. Firma como persona de contacto los hechos relevantes financieros [48] y es miembro del comité de nombramientos y retribuciones [20]. No declara acciones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 Nakata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asesor especial (特別顧問); presidente y primer ejecutivo de diciembre de 2019 a diciembre de 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1997; director de la división de sensores (2018), consejero en 2019 y presidente desde diciembre de 2019 hasta el 22-dic-2025 [44, 54]. En su mandato las ventas pasaron de 755.174 M JPY (FY2021) a 1.169.289 M JPY (FY2025) [3, 48], con un margen operativo del 51,0 % en FY2025 [48]. Posee 500 acciones [44]. Único consejero con más de 100 M JPY de retribución en FY2025: 182 M JPY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Takemitsu Takizaki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de honor (名誉会長), no consejero desde el 12-jun-2026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Fundador</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la predecesora de Keyence (Lead Electric) [20]. Fue consejero y presidente de honor hasta la junta del 12-jun-2026, cuando dejó el consejo por expiración del mandato y quedó como presidente de honor sin puesto de consejero [47]. Controla el 18,22 % del capital sin autocartera: 3,15 % directo y 15,07 % a través de T.T Corporation (株式会社ティ・ティ), su coposeedor declarado [20, 55]. Ha donado 11,1 M de acciones (4,57 %) a la Fundación Keyence [20, 55, 57].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Shoji Yamaguchi (山口昭司)</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Promoción del Desarrollo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Keyence desde 1994; dirige la promoción del desarrollo de producto desde 2016 y es consejero desde junio de 2017 [44, 46]. No declara acciones [20]. La convocatoria en inglés transcribe su nombre como «Akiji» y la web como «Shoji» [44,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Kazuhiko Terada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director de la división de TIC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Keyence desde 1999; director de TIC desde 2016 y consejero desde junio de 2025 [44]. No declara acciones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no publica previsiones de ventas ni de beneficio; solo del dividendo: 350 JPY por acción (abr-2025)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550 JPY: subida anunciada con el 2T (oct-2025) y pagada [7,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Keyence </w:t>
      </w:r>
      <w:r>
        <w:rPr>
          <w:b/>
        </w:rPr>
        <w:t xml:space="preserve">no publica previsiones de ventas ni de beneficio</w:t>
      </w:r>
      <w:r>
        <w:t xml:space="preserve">: lo dice la propia empresa al explicar la diferencia con el ejercicio anterior [48], y el Kessan Tanshin solo adelanta el dividendo (550 JPY por acción para el ejercicio que cierra en marzo de 2027) [7]. No hay, por tanto, historial de guía que contrastar; la credibilidad se juzga por lo entregado: ventas de 1.169.289 M JPY y margen operativo del 51,0 % en FY2025 [48].</w:t>
      </w:r>
    </w:p>
    <w:p>
      <w:pPr>
        <w:spacing w:after="100"/>
      </w:pPr>
      <w:r>
        <w:t xml:space="preserve">El equipo está en plena transición. En siete meses cambió el primer ejecutivo (Yu Nakata por Tetsuya Nakano, de 44 años, en diciembre de 2025) [54] y el fundador dejó el consejo (junio de 2026) [47]. La sucesión es interna, de directivos de la casa, pero ningún consejero interno tiene acciones salvo Nakata, con 500 [20]. El fundador y su sociedad patrimonial conservan el 18,2 % [20].</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Tetsuya Nakano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preside 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Shoji Yamaguchi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Promoción del Desarrollo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Hiroaki Yamamoto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Información de Gestión y de Apoyo al Negocio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Kazuhiko Terada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director de TIC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 Nakata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asesor especial (primer ejecutivo de 2019 a 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desde la junta de 2026 (fue miembro del comité de nombramientos y retribuciones en FY2025)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Seiichi Taniguchi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(auditor de cuentas, socio de Minori Audit)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Kumiko Suenaga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(abogada, Oh-Ebashi LPC &amp; Partners)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Michifumi Yoshioka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(catedrático de informática, Universidad Metropolitana de Osaka)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Ryoko Satomi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 (auditora de cuentas y asesora fiscal); 100 acciones según la corrección de la convocatoria [45]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T.T Corporation (株式会社ティ・ティ), sociedad patrimonial del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(vehículo)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36,57 M de acciones en 2022 y en 2026 [20,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Takemitsu Takizaki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7,65 M de acciones; donó 3,65 M en 2020 y 7,45 M en 2022 a la Fundación Keyence [20, 55,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Fundación Keyence (公益財団法人キーエンス財団)</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interés público (acciones donadas por 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 M de acciones, sin cambios desde 2022 [20,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(fondos de terceros)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(fondos de terceros)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BlackRock (último informe de participación significativa)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febrero de 2023; Keyence no puede confirmar la posición actual y lo deja fuera de su lista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Company 505001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Bank of New York Mellon 140042</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BNYM as Agent/Clients Non Treaty JASDEC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Government of Norway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Bank and Trust Company 505103</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682.548 acciones a 20-mar-2026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consejeros internos cobran un </w:t>
      </w:r>
      <w:r>
        <w:rPr>
          <w:b/>
        </w:rPr>
        <w:t xml:space="preserve">sueldo mensual fijo</w:t>
      </w:r>
      <w:r>
        <w:t xml:space="preserve">. Se calcula multiplicando la retribución del año anterior de un jefe de organización de la plantilla por un coeficiente con techo de 3,0. Esa retribución de referencia depende del beneficio operativo: entre el 60 % y el 75 % va ligado a resultados [20]. No hay bonus propio, ni acciones, ni opciones, ni indemnización por cese. En FY2025 los 7 consejeros internos cobraron 295 M JPY, todo fijo, y los 7 externos (consejeros y miembros del Audit &amp; Supervisory Board), 39 M [20]. El primer ejecutivo saliente, Yu Nakata, cobró 182 M JPY, unas 8,4 veces el salario medio de la matriz (21,78 M JPY) [20]. El presidente reparte la retribución individual por delegación del consejo, dentro del tope de 500 M JPY aprobado en 2022 [20]. Dos salvedades. Las cifras excluyen el sueldo como empleado de los consejeros que también son empleados [20]. Y en Japón </w:t>
      </w:r>
      <w:r>
        <w:rPr>
          <w:b/>
        </w:rPr>
        <w:t xml:space="preserve">no se vota la retribución</w:t>
      </w:r>
      <w:r>
        <w:t xml:space="preserve"> cada año: en 2024-2026 no hubo ninguna propuesta de retribución [51, 52, 53]. Lo más parecido es el voto a la reelección del primer ejecutivo: un 82,73 % a favor de Nakata en 2024, un 77,06 % en 2025 (22,5 % en contra) y un 86,73 % a favor de Nakano en 2026, el más bajo de los nueve consejeros [51, 52, 53].</w:t>
      </w:r>
    </w:p>
    <w:p>
      <w:pPr>
        <w:pStyle w:val="Heading2"/>
      </w:pPr>
      <w:r>
        <w:t xml:space="preserve">Operaciones vinculadas, estructura de control y defensas</w:t>
      </w:r>
    </w:p>
    <w:p>
      <w:pPr>
        <w:spacing w:after="100"/>
      </w:pPr>
      <w:r>
        <w:t xml:space="preserve">El fundador Takemitsu Takizaki y su sociedad patrimonial T.T Corporation, coposeedores declarados, suman el </w:t>
      </w:r>
      <w:r>
        <w:rPr>
          <w:b/>
        </w:rPr>
        <w:t xml:space="preserve">18,2 % del capital</w:t>
      </w:r>
      <w:r>
        <w:t xml:space="preserve">. La Fundación Keyence, a la que él donó acciones, añade un 4,6 % [20, 55]. Eso no da el control de la junta: en 2026 se emitieron unos 2,22 M de votos, y el bloque del fundador (unos 0,44 M) pesa un 20 % [20, 51]. Tampoco hay pruebas de que el fundador nombre al primer ejecutivo: lo propone un comité de nombramientos con mayoría independiente, aunque lo preside el propio presidente [20, 44]. Takizaki dejó el consejo en junio de 2026 [47]. Hay una sola clase de acciones, no hay medidas antiopa y no hay operaciones con partes vinculadas [20]. La junta de 2026 aprobó (94,96 %) que el consejo pueda recomprar acciones sin pasar por la junta [49, 51]. </w:t>
      </w:r>
      <w:r>
        <w:rPr>
          <w:b/>
        </w:rPr>
        <w:t xml:space="preserve">Estimación propia:</w:t>
      </w:r>
      <w:r>
        <w:t xml:space="preserve"> suponiendo que el bloque del fundador votó a favor, el voto en contra del capital libre presente fue del 28,2 % en la reelección de Nakata en 2025 y del 16,1 % en la de Nakano en 2026. El Corporate Governance Report de abril de 2026 da la misma lista de accionistas [56]. El consejo dice que estudiará «con prudencia» rebajar la unidad mínima de inversión, sin calendario [50].</w:t>
      </w:r>
    </w:p>
    <w:p>
      <w:pPr>
        <w:pStyle w:val="Heading2"/>
      </w:pPr>
      <w:r>
        <w:t xml:space="preserve">Señales de alerta</w:t>
      </w:r>
    </w:p>
    <w:p>
      <w:pPr>
        <w:pStyle w:val="ListParagraph"/>
        <w:numPr>
          <w:ilvl w:val="0"/>
          <w:numId w:val="2"/>
        </w:numPr>
        <w:spacing w:after="60"/>
      </w:pPr>
      <w:r>
        <w:t xml:space="preserve">Doble relevo en siete meses: Nakano sustituyó a Nakata como primer ejecutivo el 22-dic-2025, con menos de dos meses de preaviso [54], y el fundador dejó el consejo el 12-jun-2026 [47].</w:t>
      </w:r>
    </w:p>
    <w:p>
      <w:pPr>
        <w:pStyle w:val="ListParagraph"/>
        <w:numPr>
          <w:ilvl w:val="0"/>
          <w:numId w:val="2"/>
        </w:numPr>
        <w:spacing w:after="60"/>
      </w:pPr>
      <w:r>
        <w:t xml:space="preserve">Voto bajo y persistente al primer ejecutivo: 82,73 % a favor de Nakata en 2024 y 77,06 % en 2025; 86,73 % para Nakano en 2026, el menor del consejo [51, 52, 53]. El reparto del beneficio también encontró oposición: el dividendo tuvo un 82,61 % a favor en 2024 y un 81,61 % en 2025 [52, 53], y subió al 91,87 % en 2026, después de que el dividendo por acción pasara de 350 a 550 JPY (30 % del beneficio) [7, 51].</w:t>
      </w:r>
    </w:p>
    <w:p>
      <w:pPr>
        <w:pStyle w:val="ListParagraph"/>
        <w:numPr>
          <w:ilvl w:val="0"/>
          <w:numId w:val="2"/>
        </w:numPr>
        <w:spacing w:after="60"/>
      </w:pPr>
      <w:r>
        <w:t xml:space="preserve">El auditor no ha rotado desde 1987 (Deloitte Tohmatsu). En FY2025 su red cobró 134 M JPY por servicios ajenos a la auditoría, sobre todo fiscales, frente a 50 M por la auditoría [20].</w:t>
      </w:r>
    </w:p>
    <w:p>
      <w:pPr>
        <w:pStyle w:val="ListParagraph"/>
        <w:numPr>
          <w:ilvl w:val="0"/>
          <w:numId w:val="2"/>
        </w:numPr>
        <w:spacing w:after="60"/>
      </w:pPr>
      <w:r>
        <w:t xml:space="preserve">La retribución publicada no incluye el sueldo como empleado de los consejeros que también lo son: el coste real de los consejeros internos supera los 295 M declarados [20].</w:t>
      </w:r>
    </w:p>
    <w:p>
      <w:pPr>
        <w:pStyle w:val="ListParagraph"/>
        <w:numPr>
          <w:ilvl w:val="0"/>
          <w:numId w:val="2"/>
        </w:numPr>
        <w:spacing w:after="60"/>
      </w:pPr>
      <w:r>
        <w:t xml:space="preserve">Presidente del consejo y primer ejecutivo son la misma persona, que además preside el comité de nombramientos y retribuciones y reparte la retribución individual por delegación del consejo [20].</w:t>
      </w:r>
    </w:p>
    <w:p>
      <w:pPr>
        <w:pStyle w:val="ListParagraph"/>
        <w:numPr>
          <w:ilvl w:val="0"/>
          <w:numId w:val="2"/>
        </w:numPr>
        <w:spacing w:after="60"/>
      </w:pPr>
      <w:r>
        <w:t xml:space="preserve">Salvo Nakata (500 acciones), ningún consejero interno tiene acciones de la compañía: el capital no alinea a la dirección con el accionista [20, 44].</w:t>
      </w:r>
    </w:p>
    <w:p>
      <w:pPr>
        <w:pStyle w:val="ListParagraph"/>
        <w:numPr>
          <w:ilvl w:val="0"/>
          <w:numId w:val="2"/>
        </w:numPr>
        <w:spacing w:after="60"/>
      </w:pPr>
      <w:r>
        <w:t xml:space="preserve">Keyence paga a la universidad de un consejero independiente (Yoshioka) menos de 10 M JPY al año por investigación; la empresa lo considera irrelevante [44].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Keyence no publica previsiones de ventas ni de beneficio: el Kessan Tanshin solo da la previsión de dividendo. Para el ejercicio que cierra el 20-mar-2027 mantiene 275 JPY a mitad de año y 275 JPY al cierre, 550 JPY en total, igual que el anterior, sin cambios desde la última comunicación (28-jul-2026) [9]. El primer trimestre (21-mar a 20-jun-2026) trajo ventas de 346.621 M JPY (+32,8 %) y beneficio operativo de 187.076 M JPY (+44,7 %, margen del 54,0 %) [9]. Sin plan a medio plazo numérico: el mercado se guía solo por el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1.450.153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794.589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774.658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consulta del 7-oct-2026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1.626.631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868.007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738,60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(15 analistas), consulta del 7-oct-2026 [59]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1.793.936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980.493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959.276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2.896,00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(15 analistas), consulta del 7-oct-2026 [59]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1.426.533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1.450.153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777.460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794.589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1.626.631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888.458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1.725.962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1.793.936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932.019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980.493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2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97.866,67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77.000,00 – 120.000,00</w:t>
            </w:r>
          </w:p>
        </w:tc>
      </w:tr>
    </w:tbl>
    <w:p>
      <w:pPr>
        <w:spacing w:after="160" w:before="0"/>
      </w:pPr>
    </w:p>
    <w:p>
      <w:pPr>
        <w:pStyle w:val="Heading2"/>
      </w:pPr>
      <w:r>
        <w:t xml:space="preserve">Revisiones de estimaciones</w:t>
      </w:r>
    </w:p>
    <w:p>
      <w:pPr>
        <w:spacing w:after="100"/>
      </w:pPr>
      <w:r>
        <w:t xml:space="preserve">Mapeo de periodos: MarketScreener etiqueta por año de cierre («2027» = ejercicio abr-2026 a mar-2027); aquí se usa la etiqueta de Keyence por año de inicio, así que su «2027» es FY2026e, «2028» FY2027e y «2029» FY2028e [59]. El consenso pide +24,0 % de ventas y +30,0 % de EBIT en FY2026e, tras un FY2025 real de 1.169.289 M JPY de ventas y 595.759 M JPY de EBIT [59]; el 1T ya creció un 32,8 % [9]. La serie de revisiones a 3 y 12 meses solo está en gráficos en MarketScreener y no se puede leer como cifra (hueco). Señales cualitativas: Daiwa subió a «Outperform» con precio objetivo de 95.000 JPY el 4-ago-2026, tras el 1T; Jefferies había bajado su objetivo a 69.900 JPY el 17-feb-2026 [60]. El precio objetivo medio (97.867 JPY) está un 20,1 % por encima del cierre [60]. Contraste: Minkabu da el mismo objetivo medio (97.866 JPY) con 10 «compra fuerte», 3 «compra», 2 «neutral» y ninguna venta [62]; ambas parecen beber del mismo panel de 15 analistas, así que el cruce confirma la lectura, no la independiza. Rareza: el consenso de dividendo (641,4 JPY) supera los 550 JPY que la empresa prevé [9, 59].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rentabilidad total, Keyence sube un 45,0 % en 2026 frente al 25,4 % del TOPIX y al 44,0 % del índice sectorial de aparatos eléctricos y de precisión [58]. El salto es de este año: a 3 y 5 años anualiza un 14,8 % y un 6,2 %, menos de la mitad que el TOPIX (25,6 % y 19,5 %) [58]. Entre 2022 y 2025 perdió terreno tres de cuatro años: −28,5 % en 2022 con la subida de tipos y el ciclo de la automatización, y −11,6 % en 2025 cuando el TOPIX ganó un 25,6 % [58]. El giro coincide con la vuelta del crecimiento: el 1T del ejercicio en curso (publicado el 28-jul-2026) llevó las ventas un 32,8 % arriba y el beneficio operativo un 44,7 % [9], y Daiwa subió la recomendación el 4-ago [60]. Cotiza a 81.490 JPY, un 7 % por debajo del máximo de 52 semanas (87.920) y un 58 % sobre el mínimo (51.510) [58]. Beta de 1,07 frente al Nikkei y volatilidad del 40,3 % a un año [58].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 81.490 JPY, Keyence cotiza a 40,2x el beneficio de los últimos doce meses, justo en su media de diez años (40,3x, percentil 50; mínimo 29,9x y máximo 61,8x), y a 24,8x el EBITDA, algo por encima de su media (23,5x, percentil 60). El mercado le paga lo de siempre. Lo que ha cambiado es el tipo de interés: el JGB a 10 años rinde un 3,103 % [65], cuando en la mayor parte de esos diez años rondaba el 0 %. Pagar el mismo múltiplo con tres puntos más de tasa libre equivale a aceptar una prima de riesgo mucho menor, y esa es la tesis del informe. La subida del 48,5 % desde el cierre del ejercicio (54.860 JPY en mar-2026) es sobre todo vuelta del múltiplo a su media tras el mínimo de 2025, no solo beneficio [58].</w:t>
      </w:r>
    </w:p>
    <w:p>
      <w:pPr>
        <w:pStyle w:val="Heading1"/>
      </w:pPr>
      <w:r>
        <w:t xml:space="preserve">18. Comparables cotizados</w:t>
      </w:r>
    </w:p>
    <w:p>
      <w:pPr>
        <w:pStyle w:val="Confianza"/>
        <w:spacing w:after="100"/>
      </w:pPr>
      <w:r>
        <w:t xml:space="preserve">Confianza: Media</w:t>
      </w:r>
    </w:p>
    <w:p>
      <w:pPr>
        <w:spacing w:after="100"/>
      </w:pPr>
      <w:r>
        <w:t xml:space="preserve">Siete cotizadas de automatización industrial, sensores, visión artificial y metrología: Cognex (visión y lectores de códigos, el rival más directo), Omron (sensores y control), SMC (neumática con margen alto y caja neta, el par japonés más parecido en balance), Fanuc (CNC y robots), Hexagon (metrología), Mettler-Toledo (instrumentos de precisión de alto margen) y Rockwell (control y automatización). Sick no cotiza y se excluye; Basler es demasiado pequeña y Teradyne es sobre todo prueba de semiconductores. Ninguna iguala el margen de Keyence ni su venta directa sin fábrica.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Keyence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19.763.362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1.764.531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1.275.375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4.643.504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Fanuc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5.751.986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4.373.652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4.856.184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Rockwell Automation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7.913.001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 / 17,6x / 22,6x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73.971,03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91.360,64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671.661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 / 19,9x / 24,5x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55.409,13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67.871,66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80.611,13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 / 29,4x / 31,5x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59.242,41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72.875,60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78.204,94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1.254.834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 / 5,8x / 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37.853,69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42.924,25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48.745,04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26,4 + -0,84 × crecimiento; R² = 0,26. El crecimiento explica poco los múltiplos de estos comparables (R² &lt; 0,3): la regresión no se usa en la valoración.</w:t>
      </w:r>
    </w:p>
    <w:p>
      <w:pPr>
        <w:spacing w:after="100"/>
      </w:pPr>
      <w:r>
        <w:t xml:space="preserve">Keyence cotiza a 19,8x el EBITDA de los próximos doce meses y 32,9x el beneficio, frente a una mediana de 17,6x y 29,4x de siete comparables, una prima de ≈ 12 % [67, 68, 69, 70, 71, 72, 73]. Es poca prima para un margen EBITDA del 52 % frente al 12-37 % del grupo y un ROIC del 94,6 % sin caja: frente a sus pares, Keyence no está cara. Los múltiplos del grupo, en cambio, sí lo están en términos absolutos: Cognex 27,2x, Mettler-Toledo 23,4x y Rockwell 21,8x, con crecimientos del 5-12 %. La mediana da 73.423,32 JPY por acción (−9,9 %). Dos advertencias: la muestra es frágil (la mediana va de 16,5x a 19,7x según qué empresa se quite) y el crecimiento no explica los múltiplos (R² de 0,26), así que la regresión no se usa. Sick no cotiza y se excluye. Uso la mediana del EV/EBITDA y el PER de los próximos doce meses, con un peso del 25 %.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 Vision (visión artificial,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Atlas Copco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194.896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50 EUR/acción; valor empresa de 1.094 M EUR con deuda neta incluida; ventas FY2018/19 de 154 M EUR y EBIT de 34 M (32x EV/EBIT); prima del 43 % sobre el cierre del 7-feb-2020 y del 29 % sobre la media de tres meses [84]. No publica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FLIR Systems (cámaras térmicas y sensores)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Teledyne Technologies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1.264.708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valorada en ≈ 8.000 M USD (56 USD/acción en efectivo y acciones) [82]; estimación propia: ese importe ya equivale al valor empresa (deuda neta de 441 M USD a dic-2020). Ventas 2020: 1.923,7 M USD; EBITDA contable 412,0 M (beneficio operativo 317,2 + amortizaciones 94,7) [86]. Prima del 40 % sobre la media de 30 sesiones [82].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Instruments (NI, prueba y medida)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1.359.820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USD/acción, 8.200 M USD por las acciones [81]; estimación propia del valor empresa: + deuda 541,6 M − caja e inversiones a corto 140,0 M a dic-2022 = 8.601,6 M USD [87]. Ventas 2022: 1.657,0 M USD; EBITDA contable 282,8 M (192,1 + 90,7) [87]. Prima del 49 % sobre el cierre previo al anuncio de la revisión estratégica (12-ene-2023) [81].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 (software de simulación)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1.580.886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USD/acción, valor empresa ≈ 10.000 M USD y prima del 19 % sobre el cierre no afectado del 21-oct-2024 [83]. EV/ventas sobre las ventas de 2023 (612,7 M USD) [89]; con las de 2024 (665,8 M) baja a 15,0x. El EBITDA contable (39 M USD en 2023) no es significativo por la remuneración en acciones: múltiplo omitido.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AspenTech (software de optimización de procesos), 43 %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2.655.888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265 USD/acción por el 43 % que no tenía; valora el 100 % en 16.800 M USD de valor empresa [85]. Ventas del ejercicio a jun-2024: 1.127,5 M USD; EBITDA contable 403,5 M (pérdida operativa de 89,5 + amortizaciones de 493,0, casi todas de intangibles de la operación de 2022) [88]. Compra de minoritarios por un accionista de control: la prima no es comparable con una OPA y no se usa.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30,4x (24,9x – 36,0x)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96.950,89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81.718,92 – 112.459,82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cinco operaciones con múltiplo publicado o recalculable dan una mediana de 7,1x EV/ventas y, en las tres con EBITDA significativo, 19,4x-41,6x EV/EBITDA contable [81, 82, 83, 84, 85, 86, 87, 88, 89]. Los múltiplos de software (Altair, AspenTech, 15-16x ventas) no son trasladables a hardware; los de hardware y medida (FLIR, NI, ISRA) van de 4,2x a 7,1x ventas. Keyence cotiza por encima de todos en EV/ventas (≈ 13x LTM, estimación propia) porque su margen EBITDA (52 %) duplica el de esas compañías: en EV/EBITDA su ≈ 24x LTM queda entre FLIR (19,4x) y NI (30,4x). Las primas pagadas van del 19 % al 49 %. Una opa sobre Keyence es poco realista: con ≈ 16,7 billones de JPY de valor empresa (≈ 105.000 M USD al cambio de hoy), supera con mucho a cualquier operación del sector. Valores empresa convertidos a JPY al tipo del BCE del 6-oct-2026, no al de la fecha de cada operación (solo para dar escala; los múltiplos no cambian) [66]. Faltan Zebra-Matrox (875 M USD, sin múltiplo publicado) y Rockwell-Clearpath (precio no publicado).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+22 % (1.426.533 M JPY), un 1,6 % por debajo del consenso (+24 %) [59]: 26.100 M JPY del 1T fueron divisa [15]. FY2027e +11 % y FY2028e +9 %, también algo por debajo del consenso. FY2029e −5 %: un giro del ciclo como el de FY2019 (−6,0 %) [4]. Luego 10 %, 9 %, 8 %, 7 %, 6,5 % y 6 %: con la etapa de transición, el último año ya no tiene que llegar al terminal, y el 6 % queda por debajo del 8,3 % previsto para la visión artificial [36]. La media de diez años es del 8,4 %, frente al 12,3 % de FY2016-FY2025, que incluyó ≈ 2,5 puntos anuales de yen débil (estimación propia) [1, 16].</w:t>
      </w:r>
    </w:p>
    <w:p>
      <w:pPr>
        <w:keepNext/>
        <w:spacing w:after="100"/>
      </w:pPr>
      <w:r>
        <w:rPr>
          <w:b/>
          <w:bCs/>
        </w:rPr>
        <w:t xml:space="preserve">Márgenes.</w:t>
      </w:r>
    </w:p>
    <w:p>
      <w:pPr>
        <w:spacing w:after="100"/>
      </w:pPr>
      <w:r>
        <w:t xml:space="preserve">Margen EBITDA del 54,5 % en FY2026e-FY2027e (consenso 54,8 % y 54,6 %; el 1T dio un 55,3 %) [9, 59], 54 % en FY2028e, 51 % en el año de corrección (FY2019 bajó 3,4 puntos, a 51,8 %) y 53 % a largo plazo. El 53 % está entre el 52,4 % de FY2025 y la media de diez años (54,0 %), y por debajo de los máximos (56,5 %) porque los gastos de venta y administración han subido del 24,5 % al 29,3 % de las ventas por la contratación de ingenieros de venta fuera de Japón, y esa inversión no se detiene [1]. El margen bruto del 83 % no se toca.</w:t>
      </w:r>
    </w:p>
    <w:p>
      <w:pPr>
        <w:keepNext/>
        <w:spacing w:after="100"/>
      </w:pPr>
      <w:r>
        <w:rPr>
          <w:b/>
          <w:bCs/>
        </w:rPr>
        <w:t xml:space="preserve">Inversión y circulante.</w:t>
      </w:r>
    </w:p>
    <w:p>
      <w:pPr>
        <w:spacing w:after="100"/>
      </w:pPr>
      <w:r>
        <w:t xml:space="preserve">Capex del 3,0 % de las ventas en FY2026e por el centro logístico de Takatsuki (cuatro veces el actual; fin de obra en nov-2026) [16], 2,5 % en FY2027e y 2,0 % a largo plazo, por encima del 1,8 % de media de diez años y de la amortización (1,8 %): en estado estacionario no se desinvierte [1]. Circulante comercial del 38,5 % de las ventas en FY2026e (38,6 % en FY2025) que converge al 37,5 %, la media de FY2020-FY2025 (36,1-39,6 %). Es la partida que más caja consume: cada 100 JPY de ventas nuevas inmovilizan ≈ 38 JPY de cobros y existencias. Tipo impositivo del 30 %, el de FY2025 [1].</w:t>
      </w:r>
    </w:p>
    <w:p>
      <w:pPr>
        <w:keepNext/>
        <w:spacing w:after="100"/>
      </w:pPr>
      <w:r>
        <w:rPr>
          <w:b/>
          <w:bCs/>
        </w:rPr>
        <w:t xml:space="preserve">Coste del capital.</w:t>
      </w:r>
    </w:p>
    <w:p>
      <w:pPr>
        <w:spacing w:after="100"/>
      </w:pPr>
      <w:r>
        <w:t xml:space="preserve">Todo en JPY. Tasa libre: JGB a 10 años al 3,103 % a 6-oct-2026 (Ministerio de Finanzas) [65], contrastado con Trading Economics (3,11 % el 7-oct) [95]. Beta de 1,07 a cinco años mensual frente al Nikkei 225, ajustada de Blume a 1,05 [58, 64]. Prima de mercado del 5,14 %, la de Damodaran para Japón (madura más 0,91 puntos de riesgo país) [93]. Sin deuda, el WACC es el coste del capital: 8,50 %. Con la prima implícita del S&amp;P 500 de octubre (4,20 % [96]), sería del 7,51 % y el DCF daría 74.341,75 JPY: la regla relativa pasa a Mantener.</w:t>
      </w:r>
    </w:p>
    <w:p>
      <w:pPr>
        <w:keepNext/>
        <w:spacing w:after="100"/>
      </w:pPr>
      <w:r>
        <w:rPr>
          <w:b/>
          <w:bCs/>
        </w:rPr>
        <w:t xml:space="preserve">Valor terminal.</w:t>
      </w:r>
    </w:p>
    <w:p>
      <w:pPr>
        <w:spacing w:after="100"/>
      </w:pPr>
      <w:r>
        <w:t xml:space="preserve">Gordon con un 2,5 % nominal en JPY. Cumple la regla del prompt: está entre la inflación esperada (el objetivo del 2 % del Banco de Japón, que el JGB al 3,1 % ya descuenta) y la tasa libre menos medio punto (2,6 %); el 1-1,5 % de antes sí sería incoherente con ese bono. Se aplica en FY2045e, al final de la transición. El múltiplo implícito es de 11,2x el EBITDA, menos de la mitad de los 24,8x de hoy. Un múltiplo de salida de 20x, como el de Mettler-Toledo y Rockwell (22-23x NTM) [72, 73], equivaldría a crecer un 5,05 % a perpetuidad en yenes; por eso no lo usamos.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410.469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932.019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462.181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648.813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432.153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371.640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2.564.702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393.938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859.620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413.148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10 años el DCF da 63.376,65 por acción; sin ella (crecimiento terminal desde FY2035e), 57.852,47.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2.709.608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911.681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403.865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2.853.217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56.399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963.699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393.486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2.994.451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1.015.308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382.103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3.132.196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61.182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1.066.122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369.732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3.265.315</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63.402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1.115.744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356.647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3.392.662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65.478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1.163.764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342.874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3.513.101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67.393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1.209.774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328.525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3.625.521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1.253.362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313.645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3.728.848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70.662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1.294.129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298.492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3.822.069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71.982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1.331.687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283.108</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ROIC (94,6 %) multiplica por once el WACC (8,50 %): crecer crea valor. El recorrido se ve en el informe: dos tercios de las ventas ya son exteriores y crecen más del 15 % en moneda local tres años seguidos (+24 % en el 1T26) [15]; la productividad por ingeniero fuera de Japón es la mitad de la japonesa [24], y la visión artificial, de 15.830 M USD, crecerá un 8,3 % anual hasta 2030 [36]. La ventaja se refuerza con la escala: los ingenieros recogen problemas en cientos de miles de plantas y eso alimenta el desarrollo [2]. Por eso FY2035e crece un 6 %, por debajo del mercado, y la transición dura diez años hasta el 2,5 %.</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22.749.646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40.513.933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4.160.300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(10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4.643.122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12.275.901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2.995.278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15.370.422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63.376,65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68.547,61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71.263,03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74.515,94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78.485,45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83.440,20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63.725,32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65.881,52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71.471,90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75.189,94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65.759,86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68.614,72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56.089,19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57.501,88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59.128,38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61.022,10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63.255,87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53.020,82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54.182,54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55.507,15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57.032,21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58.807,78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52.679,92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56.751,36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61.295,09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66.367,50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72.030,43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67.521,18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73.310,22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54.378,33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68.674,87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74.590,00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55.227,53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59.570,44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64.417,43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69.828,56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75.869,79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56.076,74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60.510,13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65.458,20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70.982,24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77.149,58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575.553 M (8 % del NOPAT)</w:t>
            </w:r>
          </w:p>
        </w:tc>
      </w:tr>
    </w:tbl>
    <w:p>
      <w:pPr>
        <w:spacing w:after="160" w:before="0"/>
      </w:pPr>
    </w:p>
    <w:p>
      <w:pPr>
        <w:spacing w:after="100"/>
      </w:pPr>
      <w:r>
        <w:t xml:space="preserve">La proyección apenas necesita inversión neta de la amortización (reinversión acumulada de 575.553 M, el 8 % del NOPAT, con un capex bruto medio del 2,2 % de las ventas). En un negocio de activos ligeros, el crecimiento medio del 8,3 %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el 1T26 creció un 22,8 % sin divisa (extranjero +24,0 % en moneda local, Japón +19,9 %) [15], y el resto del año se compara con una base más exigente. Otros: divisa; en el 1T fueron 26.100 M JPY, unos 10 puntos [15], y con el yen a ≈ 158 pesa menos el resto del año. Precio: estimación propia de ≈ 1 punto; Keyence no publica subidas de tarifa, pero el margen bruto se ha mantenido entre el 80,8 % y el 85,0 % con la inflación de costes [1,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expansión fuera de Japón (dos tercios de las ventas, más del 15 % en moneda local tres años seguidos) con más ingenieros de venta (plantilla +4,3 % en FY2025) [1, 20]. Sin divisa. El consenso pide algo más [59].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 línea con el mercado de visión artificial (+8,3 % anual) [36]; productos nuevos (≈ 70 % «primero del mundo» o del sector) para sostener el precio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Giro del ciclo de inversión industrial calibrado con FY2019 (−6,0 %) [4]; en esa caída el margen bruto no bajó del 81 %, señal de que el ajuste es de volumen, no de precio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tras el ciclo, como FY2021 tras FY2019-FY2020, pero mucho más moderada (+10 % frente a +40,3 %) [4].</w:t>
            </w:r>
          </w:p>
        </w:tc>
      </w:tr>
    </w:tbl>
    <w:p>
      <w:pPr>
        <w:spacing w:after="160" w:before="0"/>
      </w:pPr>
    </w:p>
    <w:p>
      <w:pPr>
        <w:spacing w:after="100"/>
      </w:pPr>
      <w:r>
        <w:t xml:space="preserve">Sí. El foso es amplio: venta directa con ingenieros propios, ≈ 70 % de productos nuevos «primero del mundo» y un margen bruto del 81-85 % durante diez años, prueba del poder de precios [1, 2]. A lo largo del ciclo (FY2019-FY2020 incluidos) creció un 12,3 % anual, ≈ 9,8 % sin divisa, sin compras ni deuda [1, 4]. Las pruebas: el capital nuevo rinde un 87,2 %, igual que el incremental histórico (87,6 %); la reinversión (8 % del NOPAT) financia ≈ 7,8 % al ROIC actual y el punto de precio llega al 8,4 % proyectado; y ese 8,4 % es el ritmo del mercado de visión (+8,3 %) [36], así que la cuota no sube.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 (base: 8,4 %)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70,4 % (base: 53,0 %)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8,5 %)</w:t>
            </w:r>
          </w:p>
        </w:tc>
      </w:tr>
    </w:tbl>
    <w:p>
      <w:pPr>
        <w:spacing w:after="160" w:before="0"/>
      </w:pPr>
    </w:p>
    <w:p>
      <w:pPr>
        <w:spacing w:after="100"/>
      </w:pPr>
      <w:r>
        <w:t xml:space="preserve">El DCF en tres etapas da 63.376,65 JPY por acción, un 22,2 % por debajo del precio, con un rango de 57.501,88 a 71.471,90 JPY al mover WACC y crecimiento terminal medio punto. Sin la transición de diez años daría 57.852,47 JPY: la etapa aporta un 9,5 % y pesa un 28 % del valor empresa; el terminal, un 38 %. Con la prima implícita del mercado (4,20 % [96]), el WACC baja al 7,51 % y el DCF sube a 74.341,75 JPY. El DCF inverso: para justificar 81.490 JPY con nuestros márgenes, las ventas tendrían que crecer un 11,4 % al año de media en FY2026e-FY2035e, frente al 8,4 % del caso base y al 12,3 % de los últimos diez años, con un yen débil. Con nuestro crecimiento, haría falta un margen EBITDA del 70,4 %: imposible. El precio descuenta una rentabilidad anual del 7,0 %, por debajo del 8,50 % que exigimos y del 7,5 % que hoy pide el mercado a una acción de beta 1,05. Es exigente frente a la historia y a la tasa libre, no frente al consenso a tres años.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42.817,25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bienes de equipo gira tras un FY2026e de +22 %: en FY2027e las ventas caen un 8 % y el margen EBITDA baja al 49,5 %, algo peor que en FY2019 (−6,0 % y −3,4 puntos), porque el pico de partida es más alto y el yen se aprecia a la vez [4, 15]. China (16,0 % de las ventas) pierde cuota frente a Hikrobot y los proveedores locales [1, 42]. Después, el crecimiento queda dos puntos por debajo del base cada año, el margen 2,5 puntos más bajo, el WACC medio punto más alto y el terminal en el 2,0 %.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siguen al consenso hasta FY2028e con un descuento del 1,6-3,8 % (+22 %, +11 %, +9 %), con el margen EBITDA en el 54-54,5 % [59]. En FY2029e llega la corrección del ciclo (−5 %, margen del 51 %), calibrada con FY2019 [4]; luego el crecimiento vuelve al 10 % por la expansión fuera de Japón, baja al 6 % en FY2035e y, en la etapa de transición, al 2,5 % en FY2045e, con el margen en el 53 %.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94.786,53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cierra la brecha de productividad fuera de Japón, que hoy es la mitad de la japonesa por persona [24]: tres puntos más de crecimiento cada año que en el base (10,9 % de media en diez años, cerca del 12,3 % de FY2016-FY2025), un punto más de margen gracias a la escala comercial, medio punto menos de WACC y un terminal del 3,0 %, coherente con un JGB al 3,1 % [65].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JPY) · precio actual 81.4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66.089,27 JPY (-18,9 %).</w:t>
      </w:r>
    </w:p>
    <w:p>
      <w:pPr>
        <w:spacing w:after="100"/>
      </w:pPr>
      <w:r>
        <w:t xml:space="preserve">La asimetría es desfavorable con nuestro WACC: el alcista (94.786,53 JPY) gana un 16,3 %, el base pierde un 22,2 % y el bajista (42.817,25 JPY) un 47,5 % (0,34 veces). Con la prima implícita del mercado mejora a 1,09 veces (alcista de 118.155,35 JPY y bajista de 47.958,13 JPY). El bajista no es cosmético: FY2019-FY2020 encadenaron dos años de caída (−6,0 % y −2,5 %) y la acción perdió un 28,5 % en 2022 [4, 58]; 42.817,25 JPY combinarían el ciclo con una caída del múltiplo por debajo del mínimo de diez años (29,9x). El perfil del bajista concentra la caída en FY2027e y no la convierte en una pérdida de nivel permanente.</w:t>
      </w:r>
    </w:p>
    <w:p>
      <w:pPr>
        <w:pStyle w:val="Heading1"/>
      </w:pPr>
      <w:r>
        <w:t xml:space="preserve">22. Suma de partes</w:t>
      </w:r>
    </w:p>
    <w:p>
      <w:pPr>
        <w:pStyle w:val="Confianza"/>
        <w:spacing w:after="100"/>
      </w:pPr>
      <w:r>
        <w:t xml:space="preserve">Confianza: Alta</w:t>
      </w:r>
    </w:p>
    <w:p>
      <w:pPr>
        <w:spacing w:after="100"/>
      </w:pPr>
      <w:r>
        <w:t xml:space="preserve">No aplica. Keyence tiene un solo segmento (equipos electrónicos de automatización) y una familia de producto con más del 90 % de las ventas; vende sensores, visión, medición y microscopios a los mismos clientes, con la misma red comercial y los mismos márgenes [1]. La liquidez y los valores (2.995.278 M JPY) y las asociadas (99.243 M JPY a valor de cotización) ya están en el puente [1, 9].</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JPY) · precio actual 81.49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51.510,00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81.490,00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97.866,67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73.971,03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91.360,64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72.875,60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78.204,94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81.718,92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112.459,82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57.501,88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71.471,90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42.817,25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66.089,27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94.786,53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74.341,75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81.783,90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81.082,55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81.490,00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81.897,45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63.376,65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73.423,32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66.089,27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66.566,47 JPY (-18,3 % sobre 81.490,00).</w:t>
      </w:r>
    </w:p>
    <w:p>
      <w:pPr>
        <w:spacing w:after="100"/>
      </w:pPr>
      <w:r>
        <w:t xml:space="preserve">El DCF pesa un 50 % porque es el único método que separa lo que vale el negocio de lo que el mercado paga por el sector. Los escenarios pesan un 25 % para recoger el ciclo y los comparables un 25 %: Keyence no tiene un par de verdad (margen del 52 % frente al 12-37 %) y la muestra es frágil. Las transacciones no pesan: nadie puede comprar ≈ 16,7 billones de JPY de valor empresa, y sus múltiplos (96.950,89 JPY por acción) llevan prima de control. La dispersión es grande, de 42.817,25 JPY (bajista) a 96.950,89 JPY. El valor objetivo es de 66.566,47 JPY (−18,3 %); con la prima implícita del mercado (4,20 % [96]), 75.201,52 JPY (−7,7 %). Puente a 20-jun-2026: sin deuda, 2.995.278 M JPY de efectivo, depósitos y valores, y 99.243 M JPY de asociadas a valor de cotización [1, 9].</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2.028,65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59.033,72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(33.1x) × 1.1 (tope: la mediana de 5 años, 40.2x,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96.374,82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2.912,79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117.094,16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w:t>
            </w:r>
          </w:p>
        </w:tc>
      </w:tr>
    </w:tbl>
    <w:p>
      <w:pPr>
        <w:spacing w:after="160" w:before="0"/>
      </w:pPr>
    </w:p>
    <w:p>
      <w:pPr>
        <w:spacing w:after="100"/>
      </w:pPr>
      <w:r>
        <w:rPr>
          <w:b/>
          <w:bCs/>
        </w:rPr>
        <w:t xml:space="preserve">Objetivo a 12 meses (ponderado):</w:t>
      </w:r>
      <w:r>
        <w:t xml:space="preserve"> 92.219,38 JPY · rentabilidad +13,8 % (base +18,9 %) · señal Mantener.</w:t>
      </w:r>
    </w:p>
    <w:p>
      <w:pPr>
        <w:spacing w:after="100"/>
      </w:pPr>
      <w:r>
        <w:t xml:space="preserve">Para comparar, con la regla v2 (historia al cierre, mismo precio): 29,9x / 33,1x / 40,0x, 8,8 % Mantener; con el tope anterior del base (×1,3, 14-oct mediodía): 14,1 % Mantener. Decide la regla vigente (v3 con tope ×1,1; METODO-VIGENTE.md).</w:t>
      </w:r>
    </w:p>
    <w:p>
      <w:pPr>
        <w:keepNext/>
        <w:spacing w:after="100"/>
      </w:pPr>
      <w:r>
        <w:rPr>
          <w:b/>
          <w:bCs/>
        </w:rPr>
        <w:t xml:space="preserve">Frente al consenso (solo contraste).</w:t>
      </w:r>
    </w:p>
    <w:p>
      <w:pPr>
        <w:spacing w:after="100"/>
      </w:pPr>
      <w:r>
        <w:t xml:space="preserve">Nuestro BPA base de FY2028e (2647,66) se separa un -8,6 % del consenso (2896,00) y nuestro precio base (87.637,55) un -10,5 % del objetivo medio de los analistas (97.866,67).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66.566,47 (-18,3 %) frente al objetivo a 12 meses ponderado 88.110,84 (+8,8 % con dividendo; base +8,2 %).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(jun-sep 2026), fecha confirmada por Kabutan [63]; el del año anterior salió el 29-oct-2025 [91]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2T FY2025 (284.224 M JPY) es una base fácil y el yen sigue débil: un crecimiento por encima del 25 % confirmaría el consenso; por debajo del 20 % empezaría la revisión a la baja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29/30-oct-2026 y 17/18-dic-2026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Reuniones del Banco de Japón [92]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subida de tipos fortalecería el yen: cada yen frente al dólar mueve ≈ 1.100 M JPY de resultado operativo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obra del centro logístico de Takatsuki (cuatro veces el actual); operativo en nov-2027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del capex en FY2026e; capacidad de envío para la siguiente década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recompra de acciones o compra relevante, ya sin pasar por la junta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del 5 % (≈ 1 billón de JPY) usaría un tercio de la caja; una compra grande y cara sería el riesgo contrario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comparación exigente (3T25 +11,4 %) y sin apoyo de divisa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propuesta de dividendo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dividendo por encima de 550 JPY o una política de payout explícita (el consenso espera 641 JPY) [59]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Mensual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manufactureros de EE. UU., China y la zona euro; pedidos de máquina-herramienta de JMTBA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Indicadores adelantados del ciclo de inversión; los pedidos japoneses subieron un 8,0 % en 2025 tras dos años de caídas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Que el precio no converja: el mercado sigue pagando 40x por Keyence aunque el JGB rinda un 3 %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 (contra la tesis)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para el precio objetivo de consenso (97.866,67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es el riesgo central de una recomendación de venta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los próximos doce meses por encima de 35x tras el 2T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Giro del ciclo de inversión industrial en FY2027-FY2028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 sobre el base (bajista: 42.817,25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 costes variables (fabricación subcontratada) y una base de clientes muy diversificada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exterior en moneda local por debajo del +8 %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a −7 % del resultado operativo con un yen un 10 % más fuerte frente al dólar, el euro y el yuan (estimación propia con la sensibilidad publicada) [15]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I+D y fabricación en Japón: la divisa afecta sobre todo a la conversión, no a la competitividad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USD/JPY por debajo de 140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competencia local y geopolítica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 y 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China (16,0 % de las ventas) deja de crecer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de China ya bajó del 17,0 % de FY2021; India, Sudeste Asiático y Américas crecen más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China por debajo del 14 % o ventas de Hikrobot por encima de 10.000 M CNY [42]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del margen por la expansión comercial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por cada punto de margen EBITDA (sensibilidad: 56.410,44 JPY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estable del 83 %; los vendedores nuevos maduran en dos o tres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de venta y administración por encima del 30 %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del capital: una compra grande y cara con la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billón de JPY pagado a 30x EBITDA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años sin compras relevantes y un ROIC del 94,6 % como listón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fuera de la automatización de fábrica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y cultura tras la salida del fundador del consejo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(prima de calidad del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fundador sigue como presidente de honor y primer accionista (18,22 % con su sociedad)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Rotación de directivos o voto en contra del primer ejecutivo por encima del 25 % [52]</w:t>
            </w:r>
          </w:p>
        </w:tc>
      </w:tr>
    </w:tbl>
    <w:p>
      <w:pPr>
        <w:spacing w:after="160" w:before="0"/>
      </w:pPr>
    </w:p>
    <w:p>
      <w:pPr>
        <w:pStyle w:val="Heading2"/>
      </w:pPr>
      <w:r>
        <w:t xml:space="preserve">Pre-mortem</w:t>
      </w:r>
    </w:p>
    <w:p>
      <w:pPr>
        <w:spacing w:after="100"/>
      </w:pPr>
      <w:r>
        <w:t xml:space="preserve">Octubre de 2029. No comprar Keyence a 81.490 JPY fue un error: cotiza a 115.000 JPY. Qué pasó. Primero, el ciclo no giró: la automatización de fábricas en EE. UU. y la India, empujada por la relocalización y la falta de mano de obra, mantuvo el crecimiento exterior por encima del 15 % en moneda local tres años seguidos, como en el 1T26 (+24 %) [15]. Las ventas llegaron a 1,9 billones de JPY en FY2028, un 10 % por encima de nuestro base. Segundo, el margen volvió al 56 %, como en FY2017 y FY2021, porque los ingenieros de venta contratados en 2022-2025 maduraron [1]. Tercero, la empresa usó por fin la caja: recompró un 5 % del capital y subió el payout al 40 %. Y cuarto, el mercado nunca exigió el 8,5 %: siguió pagando 40 veces el beneficio, aunque el JGB rindiera un 3 %. Las señales que lo habrían anticipado: el crecimiento en moneda local del 2T y 3T FY2026 por encima del 20 %, el margen operativo por encima del 55 % y el primer anuncio de recompra.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pesan en las cifras. </w:t>
      </w:r>
      <w:r>
        <w:rPr>
          <w:b/>
        </w:rPr>
        <w:t xml:space="preserve">Capital humano</w:t>
      </w:r>
      <w:r>
        <w:t xml:space="preserve">, porque el foso es la red de ventas: la matriz tiene 3.306 empleados con 35,0 años de edad media, 11,3 años de antigüedad y un salario medio de 21,78 M JPY [25], un coste alto que a la vez es barrera de entrada. Los hombres tomaron baja por paternidad en un 84,7 %, pero las mujeres cobran de media el 43,2 % que los hombres, por la composición de la plantilla [25]. </w:t>
      </w:r>
      <w:r>
        <w:rPr>
          <w:b/>
        </w:rPr>
        <w:t xml:space="preserve">Clima</w:t>
      </w:r>
      <w:r>
        <w:t xml:space="preserve">: las emisiones propias son mínimas (alcances 1 y 2, 3.528 t de CO₂ en el ejercicio a marzo de 2026) frente a 1.315.823 t del alcance 3, el 99,7 % del total [43]. El objetivo es reducir los alcances 1 y 2 un 43 % en el ejercicio 2030 respecto al de 2016 y llegar a la neutralidad en 2050 [43]. **Calidad en la cadena *fabless***: un fallo grave en una fábrica subcontratada puede obligar a una retirada masiva [1].</w:t>
      </w:r>
    </w:p>
    <w:p>
      <w:pPr>
        <w:pStyle w:val="Heading2"/>
      </w:pPr>
      <w:r>
        <w:t xml:space="preserve">Controversias</w:t>
      </w:r>
    </w:p>
    <w:p>
      <w:pPr>
        <w:spacing w:after="100"/>
      </w:pPr>
      <w:r>
        <w:t xml:space="preserve">El informe anual y el informe de valores del ejercicio a marzo de 2026 no recogen litigios, sanciones ni investigaciones relevantes, y la empresa no declara asuntos laborales notables con su sindicato [1, 25]. Tampoco hemos encontrado sanciones laborales documentadas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+24,0 % exterior en moneda local del 1T26 viene de semiconductores y electrónica, y cuánto de pedidos adelantados por aranceles?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base supone +22 % en FY2026e y una corrección en FY2029e; si el 1T es un pico de reposición, el giro llega antes.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liquidez considera la empresa necesario y por qué mantiene 3 billones de JPY rentando en torno al 0,6 % con el JGB al 3,1 %?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es el 15 % de la capitalización; una recompra del 5 % cambiaría el BPA y la tesis de asignación de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M&amp;A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y qué múltiplos está dispuesta a pagar con la nueva política de M&amp;A «sin límite de tamaño»?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años de crecimiento orgánico con un ROIC del 94,6 %: cualquier compra a precios del sector diluye la rentabilidad.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Productividad exterior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ingenieros de venta se han contratado fuera de Japón en FY2025 y en el 1T26, y cuánto tardan en alcanzar la productividad japonesa?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dice que la productividad exterior es la mitad de la japonesa: es el motor del caso alcista y de la caída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evolucionado los precios y la cuota en China frente a Hikrobot y los proveedores locales de visión?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16,0 % de las ventas y el único mercado con competidores locales de escala.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política de payout hay detrás de los 550 JPY y por qué no se prevé subirlos en FY2026e si el beneficio crece un 25-30 %?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641 JPY: la diferencia dice si el salto de 2026 fue un cambio de política o un gesto aislado.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papel tendrá el fundador como presidente de honor fuera del consejo, y cómo vota T.T Corporation en la junta?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 bloque es el 18,22 % del capital y ≈ 20 % de los votos emitidos; el voto al primer ejecutivo bajó al 77,1 % en 2025.</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y 2 explicados. Fuentes: 96 (60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38,5 % frente a 38,6 % real: genera una variación de circulante de 97.377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94,6 % frente a WACC 8,5 %: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0,26: el crecimiento no explica los múltiplos de estos comparables; no uses el valor de la regresión. Explicación: R² de 0,26: el crecimiento no explica los múltiplos de estos siete comparables (Mettler y Rockwell crecen un 5-6 % y cotizan a 22-23x).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16,5x a 19,7x según qué comparable se quite (70.145,31 a 81.274,67 por acción): la muestra es frágil; explícalo y no le des mucho peso. Explicación: La mediana del EV/EBITDA NTM va de 16,5x a 19,7x según qué comparable se quite: ninguno se parece de verdad a Keyence (margen EBITDA del 52 % frente al 12-37 %). Por eso los comparables pesan un 25 % y el comentario lo dice.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96 fuentes (60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Biblioteca de inversores de Keyence (results.jsp): solo kessan tanshin y diapositivas, sin transcripción ni resumen de preguntas; 2) búsqueda web de transcripciones o resúmenes de las conferencias de abril y julio de 2026: no aparecen; 3) prensa y agregadores (Simply Wall St): solo cifras frente al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se basa en las diapositivas y el tanshin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2T24-4T24 y 2T25-4T25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Keyence no publica previsiones de resultados; 2) búsqueda de notas de resultados frente al consenso: solo aparecen el 1T25 y el 1T26 (Simply Wall St); 3) no hay otra fuente gratuita con el consenso previo de cada trimestre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solo dan el crecimiento en moneda local del extranjero, no el total; 2) tanshin: no lo da; 3) derivado para el 1T26 con el efecto divisa publicado (+26.100 M JPY en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(solo 1T26: +22,8 %)</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del 1T26: no incluye estado de flujos; 2) presentación del 1T26: solo capex y amortización; 3) no se puede derivar el flujo operativo trimestral sin el estado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por producto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13 del informe anual: un solo segmento y una familia de producto con más del 90 % de las ventas, sin desglose; 2) Securities Report: mismo criterio; 3) presentaciones: desglose por industria cliente en tramos del 5 %, no por producto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como segmentos las cuatro geografías que publica la nota 13 (Japón, EE. UU., China y resto)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intangibles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en inglés: los intangibles van dentro de «otros» de inversiones; 2) tanshin: tampoco los separa; 3) no se buscó en el Securities Report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detalle de «otros» de inversión del FY2025 (32.124 M JPY)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del informe anual: «Other - net» sin nota; 2) tanshin del FY2025: igual; 3) no se revisó el estado de flujos detallado del Securities Report en japonés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comenta como señal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de personal totales del grupo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no los desglosa; 2) Securities Report: plantilla y sueldo medio de la matriz, no gasto total del grupo; 3) no se buscó en el detalle de gastos de venta del yuho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y tcac_historico_pct del mercado de visión artificial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MarketsandMarkets, resumen público de la edición 2025: solo 2025, 2030e y tres regiones de 2024; 2) VDMA (serie alemana): notas originales en Business Wire con 403 y artículos de prensa solo con 2025; 3) ediciones anteriores de MarketsandMarkets (2020, 2022, 2023) solo en agregadores de terceros, no verificables y con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Resúmenes públicos de MarketsandMarkets y Grand View: nombran a los líderes sin cuotas; 2) Cognex 10-K 2025: dice que el mercado está fragmentado, sin cuotas; 3) cálculo propio: imposible porque KEYENCE no desglosa ventas de 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KEYENCE y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2026: un solo segmento, sin ventas por línea; 2) web de inversores (Business Model, Growth Strategy): sin cuota; 3) informes de mercado: solo listas de líderes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KEYENCE en 2009 (ejercicios a marzo de 2009 y 2010)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AnnualReport_2010_en.pdf y AnnualReport_2011_en.pdf en keyence.co.jp: 404; 2) informe de valores antiguo en EDINET (S1005XKK): texto ilegible por la codificación de fuentes y cubre los ejercicios 2011-2015; 3) búsqueda en japonés: solo cifras en resúmenes y sitios de terceros sin documento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KEYENCE: la calificación se carga con JavaScript y no aparece en el HTML; 2) Yahoo Finance, pestaña de sostenibilidad: sin datos ESG; 3) web de sostenibilidad de KEYENCE (sostenibilidad y medio ambiente): no publica calificaciones externas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Hikrobot y cuentas de Luster y OPT Machine Vision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Hikvision en securityworldmarket: 403; 2) 36Kr: solo ingresos de Hikrobot; 3) no hubo tiempo para los informes anuales en chino de Luster (688400) y OPT (688686)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 voto_remuneracion_contra_pct / 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臨時報告書 de las juntas de 2024, 2025 y 2026 en EDINET: ninguna propuesta de retribución; 2) convocatoria de 2026: propuestas de dividendo, estatutos, consejeros y auditor suplente, sin retribución; 3) yuho: el último voto de retribución fue en la junta de 2022 (tope de 500 M JPY), fuera de las tres últimas juntas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en Japón no se vota la retribución cada año; como sustituto, el texto da el voto a la reelección del primer ejecutivo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consejeros y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EDINET: solo hay informes de participaciones ≥ 5 % (el último del fundador es de marzo de 2022) y la API exige clave; 2) yuho y convocatoria: acciones de cada consejero (ninguna salvo Nakata, con 500, y Satomi, con 100), sin variaciones que indiquen operaciones; 3) Japón no tiene un registro público en línea como el Form 4 (los informes de compraventa de directivos se consultan en la Oficina Financiera regional)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insiders_sin_operaciones = false porque no se ha podido comprobar en un registro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variacion de las participaciones de custodios y fondos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yuho FY2025: solo la foto a 20-mar-2026; 2) Corporate Governance Report: mismas cifras (el texto japonés sale ilegible por la codificación de la fuente); 3) EDINET: la búsqueda de informes de participaciones significativas no está disponible sin la API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(n.d.)</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consensus-revisions: solo gráficos, sin cifras en el HTML; 2) Minkabu y Kabutan: dan objetivo y recomendaciones, no la evolución de las estimaciones; 3) Investing (consensus-estimates) devuelve 403 sin navegador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las revisiones de recomendación y de precio objetivo publicadas)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 (total declarado)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posiciones cortas de la JPX (umbral público del 0,5 %), vía el subagente D: sin dato agregado; 2) karauri.net, que recopila las declaraciones de la JPX: «no se encontró información de cortos institucionales» sobre Keyence [94], es decir, ningún tenedor por encima del umbral; 3) Stock Analysis y Yahoo solo publican el interés corto de valores de EE. UU.</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(ningún corto declarado por encima del 0,5 %; el total no se publica)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2026 (ejercicio cerrado el 20-mar-2026,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https://www.keyence.co.jp/pdf/AnnualReport_2026_en.pdf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(FY2024 y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https://www.keyence.co.jp/pdf/AnnualReport_2025_en.pdf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(FY2022 y FY2021)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(FY2020 y FY2019)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https://www.keyence.co.jp/pdf/AnnualReport_2021_en.pdf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 (FY2018 y FY2017)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https://www.keyence.co.jp/pdf/AnnualReport_2019_en.pdf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 (FY2016 y FY2015)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https://www.keyence.co.jp/pdf/AnnualReport_2017_en.pdf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Summary of Consolidated Financial Results for the Year Ended March 20, 2026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https://www.keyence.co.jp/pdf/SummaryOfConsolidatedFinancialResultsForTheYearEndedMarch_20_2026(JP_GAAP).pdf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Year Ended March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https://www.keyence.co.jp/pdf/ConsolidatedFinancialResultsForTheYearEndedMarch_20_2025(JP_GAAP).pdf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1st Quarter Ended June 20, 2026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https://www.keyence.co.jp/pdf/ConsolidatedFinancialResultsForThe1stQuarterEndedJune_20_2026(JP_GAAP).pdf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3rd Quarter Ended December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https://www.keyence.co.jp/pdf/ConsolidatedFinancialResultsForThe3rdQuarterEndedDecember_20_2025(JP_GAAP).pdf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2nd Quarter Ended September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https://www.keyence.co.jp/pdf/FinancialResultsForThe2ndQuarterEndedSeptember_20_2025(JP_GAAP).pdf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1st Quarter Ended June 20, 2025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https://www.keyence.co.jp/pdf/ConsolidatedFinancialResultsForThe1stQuarterEndedJune_20_2025(JP_GAAP).pdf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3rd Quarter Ended December 20, 2024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https://www.keyence.co.jp/pdf/ConsolidatedFinancialResultsForThe3rdQuarterEndedDecember_20_2024(JP_GAAP).pdf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2nd Quarter Ended September 20, 2024 (JGAAP)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https://www.keyence.co.jp/pdf/ConsolidatedFinancialResultsForThe2ndQuarterEndedSeptember20_2024(JP_GAAP).pdf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of FY2026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https://www.keyence.co.jp/pdf/FinancialResults_202607_en.pdf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https://www.keyence.co.jp/pdf/FinancialResults_202604_en.pdf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https://www.keyence.co.jp/pdf/FinancialResults_202504_en.pdf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of FY2024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https://www.keyence.co.jp/pdf/FinancialResults_202501_en.pdf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of FY2024 Financial Results Materials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https://www.keyence.co.jp/pdf/FinancialResults_202410_en.pdf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有価証券報告書 (Securities Report) FY2025, 第57期</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https://www.keyence.co.jp/pdf/AnnualSecuritiesReport_202606_ja.pdf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Just Beat EPS By 24%: Here's What Analysts Think Will Happen Next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https://simplywall.st/stocks/jp/tech/tse-6861/keyence-shares/news/keyence-corporation-just-beat-eps-by-24-heres-what-analysts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First Quarter 2026 Earnings: EPS Misses Expectations (1T del FY2025 de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https://simplywall.st/stocks/jp/tech/tse-6861/keyence-shares/news/keyence-first-quarter-2026-earnings-eps-misses-expectations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Model and Strengths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https://www.keyence.co.jp/investor/en/business-model/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Growth Strategy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https://www.keyence.co.jp/investor/en/strategy.jsp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Yukashoken hokokusho (Securities Report) del ejercicio a 20-mar-2026: Enkaku (historia) y plantilla, texto en EDINET DB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 EDINET DB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https://edinetdb.jp/company/E01967/text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(ejercicio cerrado el 20-mar-2024)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https://www.keyence.co.jp/pdf/AnnualReport_2024_en.pdf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https://www.sec.gov/Archives/edgar/data/851205/000085120526000012/cgnx-20251231.htm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companyfacts XBRL (ingresos y resultado operativo 2018-2025)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https://data.sec.gov/api/xbrl/companyfacts/CIK0000851205.json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companyfacts XBRL (ejercicio a 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https://data.sec.gov/api/xbrl/companyfacts/CIK0001024478.json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companyfacts XBRL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https://data.sec.gov/api/xbrl/companyfacts/CIK0001037646.json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 Consolidated Financial Results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https://www.omron.com/global/en/assets/file/ir/irlib/20260513_financial_results.pdf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Consolidated Financial Results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Corporation, cuenta de resultados anual (ejercicio a 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Year-End Report 1 January - 31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https://mb.cision.com/Main/387/4300053/3907199.pdf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SICK achieves more sales in the 2025 fiscal year (nota de prensa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SICK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https://www.sick.com/ae/en/sick-achieves-more-sales-in-the-2025-fiscal-year-/w/press-2026-fiscal-year-2025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Machine Vision Market - Global Forecast to 2030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https://www.marketsandmarkets.com/Market-Reports/industrial-machine-vision-market-234246734.html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Machine Vision Market Size, Share &amp; Trends, 2026-2033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https://www.grandviewresearch.com/industry-analysis/machine-vision-market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Sensors Market - Global Forecast to 2029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https://www.marketsandmarkets.com/PressReleases/industrial-sensor.asp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Industrial Automation Revenues to Drop by 10% in 2025 (previsión de VDMA Robotics + Automation)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Vision Systems Design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https://www.vision-systems.com/factory/article/55294280/german-industrial-automation-revenues-to-drop-by-10-in-2025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JMTBA Notes 2026-01: Monthly Machine Tool Orders (December 2025) y total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Builders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https://www.jmtba.or.jp/english/wjmtbap/wp-content/uploads/2026/02/JMTBA-NOTES-2026-01.pdf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Hikrobot's 2025 Annual Revenue Exceeds 6.4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https://eu.36kr.com/en/p/3782137908403457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medio ambiente (datos de emisiones de alcances 1-3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https://www.keyence.co.jp/sustainability/environment/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57th Annual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https://www.keyence.co.jp/pdf/57thGeneralmeetingConvocation_202605_en.pdf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Partial Corrections to the Notice of Convocation of the 57th AGM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https://www.keyence.co.jp/pdf/57thGeneralmeetingConvocation_202605_en_Revised.pdf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(consejeros y Audit &amp; Supervisory Board, 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https://www.keyence.co.jp/investor/en/compliance/officers.jsp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取締役の異動に関するお知らせ (salida del fundador Takemitsu Takizaki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https://www.keyence.co.jp/pdf/PressRelease_20260424_01.pdf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2026年3月期の連結業績と前期の連結業績との差異に関するお知らせ</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https://www.keyence.co.jp/pdf/PressRelease_20260424_02.pdf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定款の一部変更に関するお知らせ (recompra por acuerdo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https://www.keyence.co.jp/pdf/PressRelease_20260424_03.pdf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投資単位の引下げに関する考え方及び方針等について</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https://www.keyence.co.jp/pdf/PressRelease_20260618.pdf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 de votaciones de la junta del 12-jun-2026)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https://disclosure2dl.edinet-fsa.go.jp/searchdocument/pdf/S100YBHM.pdf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 de votaciones de la junta del 13-jun-2025)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https://disclosure2dl.edinet-fsa.go.jp/searchdocument/pdf/S100VYGE.pdf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(resultado de votaciones de la junta del 14-jun-2024)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https://disclosure2dl.edinet-fsa.go.jp/searchdocument/pdf/S100TN3D.pdf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(cambio de representante: Tetsuya Nakano presidente, acuerdo del consejo de 29-oct-2025)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https://disclosure2dl.edinet-fsa.go.jp/searchdocument/pdf/S100X96K.pdf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変更報告書 No.7 (participación significativa de Takemitsu Takizaki y su coposeedor T.T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Takemitsu Takizaki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https://disclosure2dl.edinet-fsa.go.jp/searchdocument/pdf/S100NMLF.pdf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(TSE)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https://www.keyence.co.jp/pdf/CorporateGovernance_20260428_01.pdf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変更報告書 (participación significativa de Takemitsu Takizaki, donación de 3,65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Takemitsu Takizaki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https://disclosure2dl.edinet-fsa.go.jp/searchdocument/pdf/S100ITEZ.pdf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6861.T, ^N225, 1306.T y 1625.T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https://finance.yahoo.com/quote/6861.T/history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Consensus (analysts' opinion, target prices)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Corporation: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キーエンス (6861) 株価予想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Minkabu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https://minkabu.jp/stock/6861/analysis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キーエンス (6861) ficha: 決算発表予定日</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https://kabutan.jp/stock/?code=6861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(TYO:6861)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(October 2026), JGB constant maturity yields (jgbcme.csv)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(últimos 90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https://www.marketscreener.com/quote/stock/COGNEX-CORPORATION-40246780/finances/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https://www.marketscreener.com/quote/stock/OMRON-CORPORATION-6491550/finances/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https://www.marketscreener.com/quote/stock/SMC-CORPORATION-6492069/finances/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https://www.marketscreener.com/quote/stock/FANUC-CORPORATION-6492019/finances/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https://www.marketscreener.com/quote/stock/HEXAGON-AB-6491358/finances/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https://www.marketscreener.com/quote/stock/METTLER-TOLEDO-INTERNATIO-13627/finances/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https://www.marketscreener.com/quote/stock/ROCKWELL-AUTOMATION-INC-14277/finances/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(CGNX)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https://stockanalysis.com/stocks/cgnx/statistics/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OMRON (TYO:6645)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https://stockanalysis.com/quote/tyo/6645/statistics/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(TYO:6273)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(TYO:6954)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https://stockanalysis.com/quote/tyo/6954/statistics/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(STO:HEXA.B)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https://stockanalysis.com/quote/sto/HEXA.B/statistics/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(MTD)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https://stockanalysis.com/stocks/mtd/statistics/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(ROK)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to Advance Global Automation Leadership Through Acquisition of NI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 Emerson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https://www.sec.gov/Archives/edgar/data/935494/000114036123017910/brhc20051360_ex99-1.htm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to Acquire FLIR Systems (8-K,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Teledyne Technologies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https://www.sec.gov/Archives/edgar/data/1094285/000109428521000003/acquisitionannouncementfin.htm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to acquire Altair Engineering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https://news.siemens.com/en-us/siemens-altair/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to partner with global machine vision specialist ISRA VISION AG through public takeover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https://www.atlascopcogroup.com/en/media/press-releases/2020/20200210-isra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to Acquire Remaining Outstanding Shares of AspenTech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https://ir.emerson.com/_assets/_ddd6d0cfbba431a5ed842dba94ef97d5/emerson/news/2025-01-27_Emerson_to_Acquire_Remaining_Outstanding_Shares_16.pdf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FLIR Systems, XBRL company facts (10-K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https://data.sec.gov/api/xbrl/companyfacts/CIK0000354908.json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XBRL company facts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https://data.sec.gov/api/xbrl/companyfacts/CIK0000935494.json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Aspen Technology, XBRL company facts (10-K ejercicio a 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https://data.sec.gov/api/xbrl/companyfacts/CIK0001897982.json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 XBRL company facts (10-K 2023 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https://data.sec.gov/api/xbrl/companyfacts/CIK0001701732.json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Allocation Policy (web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https://www.keyence.co.jp/investor/en/capital-allocation-policy.jsp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Second Quarter of FY2025 Financial Results Materials (fecha de publicación del 2T)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https://www.keyence.co.jp/pdf/FinancialResults_202510_en.pdf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Monetary Policy Meetings: schedule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https://www.boj.or.jp/en/mopo/mpmsche_minu/index.htm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キーエンス (6861) 空売り残高 (posiciones cortas declaradas)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karauri.net (datos de la JPX)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https://karauri.net/6861/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https://tradingeconomics.com/japan/government-bond-yield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86,1 %</w:t>
      </w:r>
      <w:r>
        <w:t xml:space="preserve"> · Secciones con menos del 60 % de campos cubiertos: </w:t>
      </w:r>
      <w:r>
        <w:rPr>
          <w:b/>
          <w:bCs/>
        </w:rPr>
        <w:t xml:space="preserve">capital, sentimiento</w:t>
      </w:r>
      <w:r>
        <w:t xml:space="preserve"> · Generado el 14 oct 2026.</w:t>
      </w:r>
    </w:p>
    <w:p>
      <w:pPr>
        <w:pStyle w:val="Nota"/>
        <w:spacing w:after="100"/>
      </w:pPr>
      <w:r>
        <w:t xml:space="preserve">Una sola línea cotizada (Bolsa de Tokio, Prime: 6861), cuentas y cotización en yenes: no hay conversión de divisa en las cifras de la empresa. Las cuentas son JGAAP, no NIIF: no se aplica la NIIF 16, así que los arrendamientos operativos están fuera de balance y fuera del EBITDA hasta la norma ASBJ n.º 34, que entra en vigor el 21-mar-2028; su importe es menor [1]. El ejercicio cierra el 20 de marzo y la empresa lo nombra por el año de inicio: FY2025 va del 21-mar-2025 al 20-mar-2026 y FY2026e es el ejercicio en curso. MarketScreener, Yahoo y Stock Analysis etiquetan por el año de cierre: su «2027» es nuestro FY2026e, y así se ha mapeado el consenso [59]. Los «trimestres» son de la empresa: 1T26 es abr-jun de 2026. Los precios de cierre de ejercicio de la serie histórica son los del 31 de marzo, no los del día 20 [58]. El precio es el cierre del 6-oct-2026 (81.490 JPY), porque el del 7-oct no estaba publicado al calcular [58]. Keyence es monosegmento: los «segmentos» son las cuatro geografías de su nota de información geográfica [1]. Keyence no publica guía de resultados ni transcripciones de sus conferencias [7]. Los comparables extranjeros están convertidos a JPY al tipo del BCE del 6-oct-2026 [66]. Los textos japoneses de algunos documentos de EDINET salieron ilegibles al extraerlos y se han leído por las cifras y el orden de las propuestas [51].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KEYENCE CORPORATION (6861)</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81.490,00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(57.501,88 – 71.471,90)</c:v>
                </c:pt>
                <c:pt idx="6">
                  <c:v>Escenarios (bajista – alcista) (42.817,25 – 94.786,53)</c:v>
                </c:pt>
                <c:pt idx="7">
                  <c:v>DCF con la prima implícita del mercado (4,2 %)</c:v>
                </c:pt>
                <c:pt idx="8">
                  <c:v>Precio actual (81.490,00)</c:v>
                </c:pt>
              </c:strCache>
            </c:strRef>
          </c:cat>
          <c:val>
            <c:numRef>
              <c:f>Hoja1!$B$2:$B$10</c:f>
              <c:numCache>
                <c:formatCode>#,##0</c:formatCode>
                <c:ptCount val="9"/>
                <c:pt idx="0">
                  <c:v>51510</c:v>
                </c:pt>
                <c:pt idx="1">
                  <c:v>77000</c:v>
                </c:pt>
                <c:pt idx="2">
                  <c:v>59363.76</c:v>
                </c:pt>
                <c:pt idx="3">
                  <c:v>59242.41</c:v>
                </c:pt>
                <c:pt idx="4">
                  <c:v>81718.92</c:v>
                </c:pt>
                <c:pt idx="5">
                  <c:v>57501.88</c:v>
                </c:pt>
                <c:pt idx="6">
                  <c:v>42817.25</c:v>
                </c:pt>
                <c:pt idx="7">
                  <c:v>68281.79</c:v>
                </c:pt>
                <c:pt idx="8">
                  <c:v>81082.55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(57.501,88 – 71.471,90)</c:v>
                </c:pt>
                <c:pt idx="6">
                  <c:v>Escenarios (bajista – alcista) (42.817,25 – 94.786,53)</c:v>
                </c:pt>
                <c:pt idx="7">
                  <c:v>DCF con la prima implícita del mercado (4,2 %)</c:v>
                </c:pt>
                <c:pt idx="8">
                  <c:v>Precio actual (81.490,00)</c:v>
                </c:pt>
              </c:strCache>
            </c:strRef>
          </c:cat>
          <c:val>
            <c:numRef>
              <c:f>Hoja1!$C$2:$C$10</c:f>
              <c:numCache>
                <c:formatCode>#,##0</c:formatCode>
                <c:ptCount val="9"/>
                <c:pt idx="0">
                  <c:v>36410</c:v>
                </c:pt>
                <c:pt idx="1">
                  <c:v>43000</c:v>
                </c:pt>
                <c:pt idx="2">
                  <c:v>31996.879999999997</c:v>
                </c:pt>
                <c:pt idx="3">
                  <c:v>18962.53</c:v>
                </c:pt>
                <c:pt idx="4">
                  <c:v>30740.90000000001</c:v>
                </c:pt>
                <c:pt idx="5">
                  <c:v>13970.019999999997</c:v>
                </c:pt>
                <c:pt idx="6">
                  <c:v>51969.28</c:v>
                </c:pt>
                <c:pt idx="7">
                  <c:v>13502.11</c:v>
                </c:pt>
                <c:pt idx="8">
                  <c:v>814.8999999999942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Japón</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206324</c:v>
                </c:pt>
                <c:pt idx="1">
                  <c:v>246259</c:v>
                </c:pt>
                <c:pt idx="2">
                  <c:v>275117</c:v>
                </c:pt>
                <c:pt idx="3">
                  <c:v>260147</c:v>
                </c:pt>
                <c:pt idx="4">
                  <c:v>236905</c:v>
                </c:pt>
                <c:pt idx="5">
                  <c:v>310180</c:v>
                </c:pt>
                <c:pt idx="6">
                  <c:v>348079</c:v>
                </c:pt>
                <c:pt idx="7">
                  <c:v>344567</c:v>
                </c:pt>
                <c:pt idx="8">
                  <c:v>372753</c:v>
                </c:pt>
                <c:pt idx="9">
                  <c:v>390066</c:v>
                </c:pt>
              </c:numCache>
            </c:numRef>
          </c:val>
        </c:ser>
        <c:ser>
          <c:idx val="1"/>
          <c:order val="1"/>
          <c:tx>
            <c:strRef>
              <c:f>Hoja1!$C$1</c:f>
              <c:strCache>
                <c:ptCount val="1"/>
                <c:pt idx="0">
                  <c:v>Estados Unidos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61515</c:v>
                </c:pt>
                <c:pt idx="1">
                  <c:v>78798</c:v>
                </c:pt>
                <c:pt idx="2">
                  <c:v>86938</c:v>
                </c:pt>
                <c:pt idx="3">
                  <c:v>81561</c:v>
                </c:pt>
                <c:pt idx="4">
                  <c:v>77421</c:v>
                </c:pt>
                <c:pt idx="5">
                  <c:v>110480</c:v>
                </c:pt>
                <c:pt idx="6">
                  <c:v>152190</c:v>
                </c:pt>
                <c:pt idx="7">
                  <c:v>170843</c:v>
                </c:pt>
                <c:pt idx="8">
                  <c:v>197579</c:v>
                </c:pt>
                <c:pt idx="9">
                  <c:v>225751</c:v>
                </c:pt>
              </c:numCache>
            </c:numRef>
          </c:val>
        </c:ser>
        <c:ser>
          <c:idx val="2"/>
          <c:order val="2"/>
          <c:tx>
            <c:strRef>
              <c:f>Hoja1!$D$1</c:f>
              <c:strCache>
                <c:ptCount val="1"/>
                <c:pt idx="0">
                  <c:v>China</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44661</c:v>
                </c:pt>
                <c:pt idx="1">
                  <c:v>64435</c:v>
                </c:pt>
                <c:pt idx="2">
                  <c:v>69700</c:v>
                </c:pt>
                <c:pt idx="3">
                  <c:v>63887</c:v>
                </c:pt>
                <c:pt idx="4">
                  <c:v>86165</c:v>
                </c:pt>
                <c:pt idx="5">
                  <c:v>128511</c:v>
                </c:pt>
                <c:pt idx="6">
                  <c:v>153475</c:v>
                </c:pt>
                <c:pt idx="7">
                  <c:v>142547</c:v>
                </c:pt>
                <c:pt idx="8">
                  <c:v>157891</c:v>
                </c:pt>
                <c:pt idx="9">
                  <c:v>186550</c:v>
                </c:pt>
              </c:numCache>
            </c:numRef>
          </c:val>
        </c:ser>
        <c:ser>
          <c:idx val="3"/>
          <c:order val="3"/>
          <c:tx>
            <c:strRef>
              <c:f>Hoja1!$E$1</c:f>
              <c:strCache>
                <c:ptCount val="1"/>
                <c:pt idx="0">
                  <c:v>Otros países</c:v>
                </c:pt>
              </c:strCache>
            </c:strRef>
          </c:tx>
          <c:spPr>
            <a:solidFill>
              <a:srgbClr val="EDA100"/>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100199</c:v>
                </c:pt>
                <c:pt idx="1">
                  <c:v>137355</c:v>
                </c:pt>
                <c:pt idx="2">
                  <c:v>155340</c:v>
                </c:pt>
                <c:pt idx="3">
                  <c:v>146248</c:v>
                </c:pt>
                <c:pt idx="4">
                  <c:v>137643</c:v>
                </c:pt>
                <c:pt idx="5">
                  <c:v>206003</c:v>
                </c:pt>
                <c:pt idx="6">
                  <c:v>268678</c:v>
                </c:pt>
                <c:pt idx="7">
                  <c:v>309331</c:v>
                </c:pt>
                <c:pt idx="8">
                  <c:v>330920</c:v>
                </c:pt>
                <c:pt idx="9">
                  <c:v>366920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Japón</c:v>
                </c:pt>
                <c:pt idx="1">
                  <c:v>Estados Unidos</c:v>
                </c:pt>
                <c:pt idx="2">
                  <c:v>China</c:v>
                </c:pt>
                <c:pt idx="3">
                  <c:v>Otros países</c:v>
                </c:pt>
              </c:strCache>
            </c:strRef>
          </c:cat>
          <c:val>
            <c:numRef>
              <c:f>Hoja1!$B$2:$B$5</c:f>
              <c:numCache>
                <c:formatCode>General</c:formatCode>
                <c:ptCount val="4"/>
                <c:pt idx="0">
                  <c:v>33.4</c:v>
                </c:pt>
                <c:pt idx="1">
                  <c:v>19.3</c:v>
                </c:pt>
                <c:pt idx="2">
                  <c:v>16</c:v>
                </c:pt>
                <c:pt idx="3">
                  <c:v>31.4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Japón</c:v>
                </c:pt>
                <c:pt idx="1">
                  <c:v>Estados Unidos</c:v>
                </c:pt>
                <c:pt idx="2">
                  <c:v>China</c:v>
                </c:pt>
                <c:pt idx="3">
                  <c:v>Resto del mundo</c:v>
                </c:pt>
              </c:strCache>
            </c:strRef>
          </c:cat>
          <c:val>
            <c:numRef>
              <c:f>Hoja1!$B$2:$B$5</c:f>
              <c:numCache>
                <c:formatCode>0"%"</c:formatCode>
                <c:ptCount val="4"/>
                <c:pt idx="0">
                  <c:v>33.4</c:v>
                </c:pt>
                <c:pt idx="1">
                  <c:v>19.3</c:v>
                </c:pt>
                <c:pt idx="2">
                  <c:v>16</c:v>
                </c:pt>
                <c:pt idx="3">
                  <c:v>31.3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(visión artificial mundial, MarketsandMarkets))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15830</c:v>
                </c:pt>
                <c:pt idx="1">
                  <c:v>23630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Keyence</c:v>
                </c:pt>
                <c:pt idx="1">
                  <c:v>Cognex</c:v>
                </c:pt>
                <c:pt idx="2">
                  <c:v>OMRON (Industrial Automation Business)</c:v>
                </c:pt>
                <c:pt idx="3">
                  <c:v>SMC</c:v>
                </c:pt>
                <c:pt idx="4">
                  <c:v>FANUC</c:v>
                </c:pt>
                <c:pt idx="5">
                  <c:v>Hexagon (Manufacturing Intelligence)</c:v>
                </c:pt>
                <c:pt idx="6">
                  <c:v>SICK</c:v>
                </c:pt>
                <c:pt idx="7">
                  <c:v>Mettler-Toledo</c:v>
                </c:pt>
                <c:pt idx="8">
                  <c:v>Hikrobot</c:v>
                </c:pt>
              </c:strCache>
            </c:strRef>
          </c:cat>
          <c:val>
            <c:numRef>
              <c:f>Hoja1!$B$2:$B$10</c:f>
              <c:numCache>
                <c:formatCode>0.0"%"</c:formatCode>
                <c:ptCount val="9"/>
                <c:pt idx="0">
                  <c:v>51</c:v>
                </c:pt>
                <c:pt idx="1">
                  <c:v>16.4</c:v>
                </c:pt>
                <c:pt idx="2">
                  <c:v>10.4</c:v>
                </c:pt>
                <c:pt idx="3">
                  <c:v>22.6</c:v>
                </c:pt>
                <c:pt idx="4">
                  <c:v>21.4</c:v>
                </c:pt>
                <c:pt idx="5">
                  <c:v>25.7</c:v>
                </c:pt>
                <c:pt idx="6">
                  <c:v>3</c:v>
                </c:pt>
                <c:pt idx="7">
                  <c:v>27.8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412699</c:v>
                </c:pt>
                <c:pt idx="1">
                  <c:v>526847</c:v>
                </c:pt>
                <c:pt idx="2">
                  <c:v>587095</c:v>
                </c:pt>
                <c:pt idx="3">
                  <c:v>551843</c:v>
                </c:pt>
                <c:pt idx="4">
                  <c:v>538134</c:v>
                </c:pt>
                <c:pt idx="5">
                  <c:v>755174</c:v>
                </c:pt>
                <c:pt idx="6">
                  <c:v>922422</c:v>
                </c:pt>
                <c:pt idx="7">
                  <c:v>967288</c:v>
                </c:pt>
                <c:pt idx="8">
                  <c:v>1059145</c:v>
                </c:pt>
                <c:pt idx="9">
                  <c:v>1169289</c:v>
                </c:pt>
                <c:pt idx="10">
                  <c:v>1426533</c:v>
                </c:pt>
                <c:pt idx="11">
                  <c:v>1583451</c:v>
                </c:pt>
                <c:pt idx="12">
                  <c:v>1725962</c:v>
                </c:pt>
                <c:pt idx="13">
                  <c:v>1639664</c:v>
                </c:pt>
                <c:pt idx="14">
                  <c:v>1803630</c:v>
                </c:pt>
                <c:pt idx="15">
                  <c:v>1965957</c:v>
                </c:pt>
                <c:pt idx="16">
                  <c:v>2123233</c:v>
                </c:pt>
                <c:pt idx="17">
                  <c:v>2271860</c:v>
                </c:pt>
                <c:pt idx="18">
                  <c:v>2419530</c:v>
                </c:pt>
                <c:pt idx="19">
                  <c:v>2564702</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222401</c:v>
                </c:pt>
                <c:pt idx="1">
                  <c:v>297467</c:v>
                </c:pt>
                <c:pt idx="2">
                  <c:v>324156</c:v>
                </c:pt>
                <c:pt idx="3">
                  <c:v>285626</c:v>
                </c:pt>
                <c:pt idx="4">
                  <c:v>284313</c:v>
                </c:pt>
                <c:pt idx="5">
                  <c:v>426666</c:v>
                </c:pt>
                <c:pt idx="6">
                  <c:v>510437</c:v>
                </c:pt>
                <c:pt idx="7">
                  <c:v>508781</c:v>
                </c:pt>
                <c:pt idx="8">
                  <c:v>564968</c:v>
                </c:pt>
                <c:pt idx="9">
                  <c:v>612986</c:v>
                </c:pt>
                <c:pt idx="10">
                  <c:v>777460</c:v>
                </c:pt>
                <c:pt idx="11">
                  <c:v>862981</c:v>
                </c:pt>
                <c:pt idx="12">
                  <c:v>932019</c:v>
                </c:pt>
                <c:pt idx="13">
                  <c:v>836228</c:v>
                </c:pt>
                <c:pt idx="14">
                  <c:v>946906</c:v>
                </c:pt>
                <c:pt idx="15">
                  <c:v>1041957</c:v>
                </c:pt>
                <c:pt idx="16">
                  <c:v>1125314</c:v>
                </c:pt>
                <c:pt idx="17">
                  <c:v>1204086</c:v>
                </c:pt>
                <c:pt idx="18">
                  <c:v>1282351</c:v>
                </c:pt>
                <c:pt idx="19">
                  <c:v>1359292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80.8</c:v>
                </c:pt>
                <c:pt idx="1">
                  <c:v>82.1</c:v>
                </c:pt>
                <c:pt idx="2">
                  <c:v>82.3</c:v>
                </c:pt>
                <c:pt idx="3">
                  <c:v>81.8</c:v>
                </c:pt>
                <c:pt idx="4">
                  <c:v>81.9</c:v>
                </c:pt>
                <c:pt idx="5">
                  <c:v>82.3</c:v>
                </c:pt>
                <c:pt idx="6">
                  <c:v>81.8</c:v>
                </c:pt>
                <c:pt idx="7">
                  <c:v>83</c:v>
                </c:pt>
                <c:pt idx="8">
                  <c:v>83.8</c:v>
                </c:pt>
                <c:pt idx="9">
                  <c:v>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53.9</c:v>
                </c:pt>
                <c:pt idx="1">
                  <c:v>56.5</c:v>
                </c:pt>
                <c:pt idx="2">
                  <c:v>55.2</c:v>
                </c:pt>
                <c:pt idx="3">
                  <c:v>51.8</c:v>
                </c:pt>
                <c:pt idx="4">
                  <c:v>52.8</c:v>
                </c:pt>
                <c:pt idx="5">
                  <c:v>56.5</c:v>
                </c:pt>
                <c:pt idx="6">
                  <c:v>55.3</c:v>
                </c:pt>
                <c:pt idx="7">
                  <c:v>52.6</c:v>
                </c:pt>
                <c:pt idx="8">
                  <c:v>53.3</c:v>
                </c:pt>
                <c:pt idx="9">
                  <c:v>52.4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53</c:v>
                </c:pt>
                <c:pt idx="1">
                  <c:v>55.6</c:v>
                </c:pt>
                <c:pt idx="2">
                  <c:v>54.1</c:v>
                </c:pt>
                <c:pt idx="3">
                  <c:v>50.3</c:v>
                </c:pt>
                <c:pt idx="4">
                  <c:v>51.4</c:v>
                </c:pt>
                <c:pt idx="5">
                  <c:v>55.4</c:v>
                </c:pt>
                <c:pt idx="6">
                  <c:v>54.1</c:v>
                </c:pt>
                <c:pt idx="7">
                  <c:v>51.2</c:v>
                </c:pt>
                <c:pt idx="8">
                  <c:v>51.9</c:v>
                </c:pt>
                <c:pt idx="9">
                  <c:v>51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37.1</c:v>
                </c:pt>
                <c:pt idx="1">
                  <c:v>40</c:v>
                </c:pt>
                <c:pt idx="2">
                  <c:v>38.5</c:v>
                </c:pt>
                <c:pt idx="3">
                  <c:v>35.9</c:v>
                </c:pt>
                <c:pt idx="4">
                  <c:v>36.7</c:v>
                </c:pt>
                <c:pt idx="5">
                  <c:v>40.2</c:v>
                </c:pt>
                <c:pt idx="6">
                  <c:v>39.3</c:v>
                </c:pt>
                <c:pt idx="7">
                  <c:v>38.2</c:v>
                </c:pt>
                <c:pt idx="8">
                  <c:v>37.6</c:v>
                </c:pt>
                <c:pt idx="9">
                  <c:v>38.1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2T24</c:v>
                </c:pt>
                <c:pt idx="1">
                  <c:v>3T24</c:v>
                </c:pt>
                <c:pt idx="2">
                  <c:v>4T24</c:v>
                </c:pt>
                <c:pt idx="3">
                  <c:v>1T25</c:v>
                </c:pt>
                <c:pt idx="4">
                  <c:v>2T25</c:v>
                </c:pt>
                <c:pt idx="5">
                  <c:v>3T25</c:v>
                </c:pt>
                <c:pt idx="6">
                  <c:v>4T25</c:v>
                </c:pt>
                <c:pt idx="7">
                  <c:v>1T26</c:v>
                </c:pt>
              </c:strCache>
            </c:strRef>
          </c:cat>
          <c:val>
            <c:numRef>
              <c:f>Hoja1!$B$2:$B$9</c:f>
              <c:numCache>
                <c:formatCode>0.0"%"</c:formatCode>
                <c:ptCount val="8"/>
                <c:pt idx="0">
                  <c:v>10.1</c:v>
                </c:pt>
                <c:pt idx="1">
                  <c:v>7.7</c:v>
                </c:pt>
                <c:pt idx="2">
                  <c:v>9.2</c:v>
                </c:pt>
                <c:pt idx="3">
                  <c:v>5.6</c:v>
                </c:pt>
                <c:pt idx="4">
                  <c:v>5.9</c:v>
                </c:pt>
                <c:pt idx="5">
                  <c:v>11.4</c:v>
                </c:pt>
                <c:pt idx="6">
                  <c:v>17.9</c:v>
                </c:pt>
                <c:pt idx="7">
                  <c:v>32.8</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2T24</c:v>
                </c:pt>
                <c:pt idx="1">
                  <c:v>3T24</c:v>
                </c:pt>
                <c:pt idx="2">
                  <c:v>4T24</c:v>
                </c:pt>
                <c:pt idx="3">
                  <c:v>1T25</c:v>
                </c:pt>
                <c:pt idx="4">
                  <c:v>2T25</c:v>
                </c:pt>
                <c:pt idx="5">
                  <c:v>3T25</c:v>
                </c:pt>
                <c:pt idx="6">
                  <c:v>4T25</c:v>
                </c:pt>
                <c:pt idx="7">
                  <c:v>1T26</c:v>
                </c:pt>
              </c:strCache>
            </c:strRef>
          </c:cat>
          <c:val>
            <c:numRef>
              <c:f>Hoja1!$C$2:$C$9</c:f>
              <c:numCache>
                <c:formatCode>0.0"%"</c:formatCode>
                <c:ptCount val="8"/>
                <c:pt idx="7">
                  <c:v>22.8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113</c:v>
                </c:pt>
                <c:pt idx="1">
                  <c:v>111</c:v>
                </c:pt>
                <c:pt idx="2">
                  <c:v>105</c:v>
                </c:pt>
                <c:pt idx="3">
                  <c:v>107</c:v>
                </c:pt>
                <c:pt idx="4">
                  <c:v>126</c:v>
                </c:pt>
                <c:pt idx="5">
                  <c:v>120</c:v>
                </c:pt>
                <c:pt idx="6">
                  <c:v>117</c:v>
                </c:pt>
                <c:pt idx="7">
                  <c:v>116</c:v>
                </c:pt>
                <c:pt idx="8">
                  <c:v>110</c:v>
                </c:pt>
                <c:pt idx="9">
                  <c:v>118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112</c:v>
                </c:pt>
                <c:pt idx="1">
                  <c:v>135</c:v>
                </c:pt>
                <c:pt idx="2">
                  <c:v>135</c:v>
                </c:pt>
                <c:pt idx="3">
                  <c:v>122</c:v>
                </c:pt>
                <c:pt idx="4">
                  <c:v>131</c:v>
                </c:pt>
                <c:pt idx="5">
                  <c:v>169</c:v>
                </c:pt>
                <c:pt idx="6">
                  <c:v>190</c:v>
                </c:pt>
                <c:pt idx="7">
                  <c:v>172</c:v>
                </c:pt>
                <c:pt idx="8">
                  <c:v>166</c:v>
                </c:pt>
                <c:pt idx="9">
                  <c:v>157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34</c:v>
                </c:pt>
                <c:pt idx="1">
                  <c:v>41</c:v>
                </c:pt>
                <c:pt idx="2">
                  <c:v>22</c:v>
                </c:pt>
                <c:pt idx="3">
                  <c:v>35</c:v>
                </c:pt>
                <c:pt idx="4">
                  <c:v>40</c:v>
                </c:pt>
                <c:pt idx="5">
                  <c:v>43</c:v>
                </c:pt>
                <c:pt idx="6">
                  <c:v>40</c:v>
                </c:pt>
                <c:pt idx="7">
                  <c:v>30</c:v>
                </c:pt>
                <c:pt idx="8">
                  <c:v>32</c:v>
                </c:pt>
                <c:pt idx="9">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138521</c:v>
                </c:pt>
                <c:pt idx="1">
                  <c:v>196164</c:v>
                </c:pt>
                <c:pt idx="2">
                  <c:v>202020</c:v>
                </c:pt>
                <c:pt idx="3">
                  <c:v>195191</c:v>
                </c:pt>
                <c:pt idx="4">
                  <c:v>188294</c:v>
                </c:pt>
                <c:pt idx="5">
                  <c:v>265314</c:v>
                </c:pt>
                <c:pt idx="6">
                  <c:v>263283</c:v>
                </c:pt>
                <c:pt idx="7">
                  <c:v>375424</c:v>
                </c:pt>
                <c:pt idx="8">
                  <c:v>395180</c:v>
                </c:pt>
                <c:pt idx="9">
                  <c:v>402309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153156</c:v>
                </c:pt>
                <c:pt idx="1">
                  <c:v>210595</c:v>
                </c:pt>
                <c:pt idx="2">
                  <c:v>226147</c:v>
                </c:pt>
                <c:pt idx="3">
                  <c:v>198124</c:v>
                </c:pt>
                <c:pt idx="4">
                  <c:v>197289</c:v>
                </c:pt>
                <c:pt idx="5">
                  <c:v>303360</c:v>
                </c:pt>
                <c:pt idx="6">
                  <c:v>362963</c:v>
                </c:pt>
                <c:pt idx="7">
                  <c:v>369642</c:v>
                </c:pt>
                <c:pt idx="8">
                  <c:v>398656</c:v>
                </c:pt>
                <c:pt idx="9">
                  <c:v>445185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110</c:v>
                </c:pt>
                <c:pt idx="1">
                  <c:v>140.2</c:v>
                </c:pt>
                <c:pt idx="2">
                  <c:v>131.7</c:v>
                </c:pt>
                <c:pt idx="3">
                  <c:v>105.6</c:v>
                </c:pt>
                <c:pt idx="4">
                  <c:v>99.8</c:v>
                </c:pt>
                <c:pt idx="5">
                  <c:v>133.9</c:v>
                </c:pt>
                <c:pt idx="6">
                  <c:v>116.2</c:v>
                </c:pt>
                <c:pt idx="7">
                  <c:v>94.7</c:v>
                </c:pt>
                <c:pt idx="8">
                  <c:v>101.6</c:v>
                </c:pt>
                <c:pt idx="9">
                  <c:v>94.6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8.5</c:v>
                </c:pt>
                <c:pt idx="1">
                  <c:v>8.5</c:v>
                </c:pt>
                <c:pt idx="2">
                  <c:v>8.5</c:v>
                </c:pt>
                <c:pt idx="3">
                  <c:v>8.5</c:v>
                </c:pt>
                <c:pt idx="4">
                  <c:v>8.5</c:v>
                </c:pt>
                <c:pt idx="5">
                  <c:v>8.5</c:v>
                </c:pt>
                <c:pt idx="6">
                  <c:v>8.5</c:v>
                </c:pt>
                <c:pt idx="7">
                  <c:v>8.5</c:v>
                </c:pt>
                <c:pt idx="8">
                  <c:v>8.5</c:v>
                </c:pt>
                <c:pt idx="9">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12.9</c:v>
                </c:pt>
                <c:pt idx="1">
                  <c:v>16.4</c:v>
                </c:pt>
                <c:pt idx="2">
                  <c:v>15.2</c:v>
                </c:pt>
                <c:pt idx="3">
                  <c:v>11.8</c:v>
                </c:pt>
                <c:pt idx="4">
                  <c:v>10.7</c:v>
                </c:pt>
                <c:pt idx="5">
                  <c:v>14.8</c:v>
                </c:pt>
                <c:pt idx="6">
                  <c:v>15.6</c:v>
                </c:pt>
                <c:pt idx="7">
                  <c:v>14</c:v>
                </c:pt>
                <c:pt idx="8">
                  <c:v>13.5</c:v>
                </c:pt>
                <c:pt idx="9">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-4.71</c:v>
                </c:pt>
                <c:pt idx="1">
                  <c:v>-4.12</c:v>
                </c:pt>
                <c:pt idx="2">
                  <c:v>-4.33</c:v>
                </c:pt>
                <c:pt idx="3">
                  <c:v>-5.5</c:v>
                </c:pt>
                <c:pt idx="4">
                  <c:v>-6.04</c:v>
                </c:pt>
                <c:pt idx="5">
                  <c:v>-4.52</c:v>
                </c:pt>
                <c:pt idx="6">
                  <c:v>-4.17</c:v>
                </c:pt>
                <c:pt idx="7">
                  <c:v>-4.77</c:v>
                </c:pt>
                <c:pt idx="8">
                  <c:v>-4.81</c:v>
                </c:pt>
                <c:pt idx="9">
                  <c:v>-4.86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12127</c:v>
                </c:pt>
                <c:pt idx="1">
                  <c:v>15158</c:v>
                </c:pt>
                <c:pt idx="2">
                  <c:v>18189</c:v>
                </c:pt>
                <c:pt idx="3">
                  <c:v>24252</c:v>
                </c:pt>
                <c:pt idx="4">
                  <c:v>48505</c:v>
                </c:pt>
                <c:pt idx="5">
                  <c:v>48505</c:v>
                </c:pt>
                <c:pt idx="6">
                  <c:v>60631</c:v>
                </c:pt>
                <c:pt idx="7">
                  <c:v>72757</c:v>
                </c:pt>
                <c:pt idx="8">
                  <c:v>78820</c:v>
                </c:pt>
                <c:pt idx="9">
                  <c:v>109136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462</c:v>
                </c:pt>
                <c:pt idx="1">
                  <c:v>45</c:v>
                </c:pt>
                <c:pt idx="2">
                  <c:v>31</c:v>
                </c:pt>
                <c:pt idx="3">
                  <c:v>43</c:v>
                </c:pt>
                <c:pt idx="4">
                  <c:v>26</c:v>
                </c:pt>
                <c:pt idx="5">
                  <c:v>22</c:v>
                </c:pt>
                <c:pt idx="6">
                  <c:v>10</c:v>
                </c:pt>
                <c:pt idx="7">
                  <c:v>23</c:v>
                </c:pt>
                <c:pt idx="8">
                  <c:v>19</c:v>
                </c:pt>
                <c:pt idx="9">
                  <c:v>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4</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Hoja1!$A$2:$A$13</c:f>
              <c:strCache>
                <c:ptCount val="12"/>
                <c:pt idx="0">
                  <c:v>T.T Corporation (株式会社ティ・ティ), sociedad patrimonial del fundador</c:v>
                </c:pt>
                <c:pt idx="1">
                  <c:v>Takemitsu Takizaki (fundador)</c:v>
                </c:pt>
                <c:pt idx="2">
                  <c:v>Fundación Keyence (公益財団法人キーエンス財団)</c:v>
                </c:pt>
                <c:pt idx="3">
                  <c:v>The Master Trust Bank of Japan (cuenta fiduciaria)</c:v>
                </c:pt>
                <c:pt idx="4">
                  <c:v>Custody Bank of Japan (cuenta fiduciaria)</c:v>
                </c:pt>
                <c:pt idx="5">
                  <c:v>Grupo BlackRock (último informe de participación significativa)</c:v>
                </c:pt>
                <c:pt idx="6">
                  <c:v>State Street Bank and Trust Company 505001</c:v>
                </c:pt>
                <c:pt idx="7">
                  <c:v>The Bank of New York Mellon 140042</c:v>
                </c:pt>
                <c:pt idx="8">
                  <c:v>BNYM as Agent/Clients Non Treaty JASDEC</c:v>
                </c:pt>
                <c:pt idx="9">
                  <c:v>Government of Norway</c:v>
                </c:pt>
                <c:pt idx="10">
                  <c:v>State Street Bank and Trust Company 505103</c:v>
                </c:pt>
                <c:pt idx="11">
                  <c:v>Autocartera</c:v>
                </c:pt>
              </c:strCache>
            </c:strRef>
          </c:cat>
          <c:val>
            <c:numRef>
              <c:f>Hoja1!$B$2:$B$13</c:f>
              <c:numCache>
                <c:formatCode>0.0"%"</c:formatCode>
                <c:ptCount val="12"/>
                <c:pt idx="0">
                  <c:v>15.07</c:v>
                </c:pt>
                <c:pt idx="1">
                  <c:v>3.15</c:v>
                </c:pt>
                <c:pt idx="2">
                  <c:v>4.57</c:v>
                </c:pt>
                <c:pt idx="3">
                  <c:v>12.8</c:v>
                </c:pt>
                <c:pt idx="4">
                  <c:v>7.33</c:v>
                </c:pt>
                <c:pt idx="5">
                  <c:v>5.09</c:v>
                </c:pt>
                <c:pt idx="6">
                  <c:v>2.6</c:v>
                </c:pt>
                <c:pt idx="7">
                  <c:v>1.88</c:v>
                </c:pt>
                <c:pt idx="8">
                  <c:v>1.65</c:v>
                </c:pt>
                <c:pt idx="9">
                  <c:v>1.49</c:v>
                </c:pt>
                <c:pt idx="10">
                  <c:v>1.38</c:v>
                </c:pt>
                <c:pt idx="11">
                  <c:v>0.28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19.9</c:v>
                </c:pt>
                <c:pt idx="1">
                  <c:v>57.8</c:v>
                </c:pt>
                <c:pt idx="2">
                  <c:v>-11.6</c:v>
                </c:pt>
                <c:pt idx="3">
                  <c:v>38.7</c:v>
                </c:pt>
                <c:pt idx="4">
                  <c:v>51.5</c:v>
                </c:pt>
                <c:pt idx="5">
                  <c:v>25</c:v>
                </c:pt>
                <c:pt idx="6">
                  <c:v>-28.5</c:v>
                </c:pt>
                <c:pt idx="7">
                  <c:v>21.4</c:v>
                </c:pt>
                <c:pt idx="8">
                  <c:v>4.5</c:v>
                </c:pt>
                <c:pt idx="9">
                  <c:v>-11.6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22.1</c:v>
                </c:pt>
                <c:pt idx="2">
                  <c:v>-15.8</c:v>
                </c:pt>
                <c:pt idx="3">
                  <c:v>17.7</c:v>
                </c:pt>
                <c:pt idx="4">
                  <c:v>7.4</c:v>
                </c:pt>
                <c:pt idx="5">
                  <c:v>12.7</c:v>
                </c:pt>
                <c:pt idx="6">
                  <c:v>-2.4</c:v>
                </c:pt>
                <c:pt idx="7">
                  <c:v>28.2</c:v>
                </c:pt>
                <c:pt idx="8">
                  <c:v>20.3</c:v>
                </c:pt>
                <c:pt idx="9">
                  <c:v>25.6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Hoja1!$B$2:$B$12</c:f>
              <c:numCache>
                <c:formatCode>0.0"x"</c:formatCode>
                <c:ptCount val="11"/>
                <c:pt idx="1">
                  <c:v>19.6</c:v>
                </c:pt>
                <c:pt idx="2">
                  <c:v>22.8</c:v>
                </c:pt>
                <c:pt idx="3">
                  <c:v>21.5</c:v>
                </c:pt>
                <c:pt idx="4">
                  <c:v>24.1</c:v>
                </c:pt>
                <c:pt idx="5">
                  <c:v>36.8</c:v>
                </c:pt>
                <c:pt idx="6">
                  <c:v>28</c:v>
                </c:pt>
                <c:pt idx="7">
                  <c:v>26.5</c:v>
                </c:pt>
                <c:pt idx="8">
                  <c:v>28.4</c:v>
                </c:pt>
                <c:pt idx="9">
                  <c:v>20.3</c:v>
                </c:pt>
                <c:pt idx="10">
                  <c:v>16.8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Hoja1!$C$2:$C$12</c:f>
              <c:numCache>
                <c:formatCode>0.0"x"</c:formatCode>
                <c:ptCount val="11"/>
                <c:pt idx="0">
                  <c:v>23.5</c:v>
                </c:pt>
                <c:pt idx="1">
                  <c:v>23.5</c:v>
                </c:pt>
                <c:pt idx="2">
                  <c:v>23.5</c:v>
                </c:pt>
                <c:pt idx="3">
                  <c:v>23.5</c:v>
                </c:pt>
                <c:pt idx="4">
                  <c:v>23.5</c:v>
                </c:pt>
                <c:pt idx="5">
                  <c:v>23.5</c:v>
                </c:pt>
                <c:pt idx="6">
                  <c:v>23.5</c:v>
                </c:pt>
                <c:pt idx="7">
                  <c:v>23.5</c:v>
                </c:pt>
                <c:pt idx="8">
                  <c:v>23.5</c:v>
                </c:pt>
                <c:pt idx="9">
                  <c:v>23.5</c:v>
                </c:pt>
                <c:pt idx="10">
                  <c:v>23.5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Keyence</c:v>
                </c:pt>
                <c:pt idx="1">
                  <c:v>Cognex</c:v>
                </c:pt>
                <c:pt idx="2">
                  <c:v>Omron</c:v>
                </c:pt>
                <c:pt idx="3">
                  <c:v>SMC</c:v>
                </c:pt>
                <c:pt idx="4">
                  <c:v>Fanuc</c:v>
                </c:pt>
                <c:pt idx="5">
                  <c:v>Hexagon</c:v>
                </c:pt>
                <c:pt idx="6">
                  <c:v>Mettler-Toledo</c:v>
                </c:pt>
                <c:pt idx="7">
                  <c:v>Rockwell Automation</c:v>
                </c:pt>
              </c:strCache>
            </c:strRef>
          </c:cat>
          <c:val>
            <c:numRef>
              <c:f>Hoja1!$B$2:$B$9</c:f>
              <c:numCache>
                <c:formatCode>0.0"x"</c:formatCode>
                <c:ptCount val="8"/>
                <c:pt idx="0">
                  <c:v>19.8</c:v>
                </c:pt>
                <c:pt idx="1">
                  <c:v>27.2</c:v>
                </c:pt>
                <c:pt idx="2">
                  <c:v>8.8</c:v>
                </c:pt>
                <c:pt idx="3">
                  <c:v>11.4</c:v>
                </c:pt>
                <c:pt idx="4">
                  <c:v>17.6</c:v>
                </c:pt>
                <c:pt idx="5">
                  <c:v>15.4</c:v>
                </c:pt>
                <c:pt idx="6">
                  <c:v>23.4</c:v>
                </c:pt>
                <c:pt idx="7">
                  <c:v>21.8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Keyence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17.2</c:v>
                </c:pt>
              </c:numCache>
            </c:numRef>
          </c:xVal>
          <c:yVal>
            <c:numRef>
              <c:f>Hoja1!$C$2</c:f>
              <c:numCache>
                <c:formatCode>0.0"x"</c:formatCode>
                <c:ptCount val="1"/>
                <c:pt idx="0">
                  <c:v>19.8</c:v>
                </c:pt>
              </c:numCache>
            </c:numRef>
          </c:yVal>
          <c:smooth val="0"/>
        </c:ser>
        <c:ser>
          <c:idx val="1"/>
          <c:order val="1"/>
          <c:tx>
            <c:strRef>
              <c:f>Hoja1!$A$3</c:f>
              <c:strCache>
                <c:ptCount val="1"/>
                <c:pt idx="0">
                  <c:v>Cognex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11.5</c:v>
                </c:pt>
              </c:numCache>
            </c:numRef>
          </c:xVal>
          <c:yVal>
            <c:numRef>
              <c:f>Hoja1!$C$3</c:f>
              <c:numCache>
                <c:formatCode>0.0"x"</c:formatCode>
                <c:ptCount val="1"/>
                <c:pt idx="0">
                  <c:v>27.2</c:v>
                </c:pt>
              </c:numCache>
            </c:numRef>
          </c:yVal>
          <c:smooth val="0"/>
        </c:ser>
        <c:ser>
          <c:idx val="2"/>
          <c:order val="2"/>
          <c:tx>
            <c:strRef>
              <c:f>Hoja1!$A$4</c:f>
              <c:strCache>
                <c:ptCount val="1"/>
                <c:pt idx="0">
                  <c:v>Omron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10.3</c:v>
                </c:pt>
              </c:numCache>
            </c:numRef>
          </c:xVal>
          <c:yVal>
            <c:numRef>
              <c:f>Hoja1!$C$4</c:f>
              <c:numCache>
                <c:formatCode>0.0"x"</c:formatCode>
                <c:ptCount val="1"/>
                <c:pt idx="0">
                  <c:v>8.8</c:v>
                </c:pt>
              </c:numCache>
            </c:numRef>
          </c:yVal>
          <c:smooth val="0"/>
        </c:ser>
        <c:ser>
          <c:idx val="3"/>
          <c:order val="3"/>
          <c:tx>
            <c:strRef>
              <c:f>Hoja1!$A$5</c:f>
              <c:strCache>
                <c:ptCount val="1"/>
                <c:pt idx="0">
                  <c:v>SMC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17.1</c:v>
                </c:pt>
              </c:numCache>
            </c:numRef>
          </c:xVal>
          <c:yVal>
            <c:numRef>
              <c:f>Hoja1!$C$5</c:f>
              <c:numCache>
                <c:formatCode>0.0"x"</c:formatCode>
                <c:ptCount val="1"/>
                <c:pt idx="0">
                  <c:v>11.4</c:v>
                </c:pt>
              </c:numCache>
            </c:numRef>
          </c:yVal>
          <c:smooth val="0"/>
        </c:ser>
        <c:ser>
          <c:idx val="4"/>
          <c:order val="4"/>
          <c:tx>
            <c:strRef>
              <c:f>Hoja1!$A$6</c:f>
              <c:strCache>
                <c:ptCount val="1"/>
                <c:pt idx="0">
                  <c:v>Fanuc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9.7</c:v>
                </c:pt>
              </c:numCache>
            </c:numRef>
          </c:xVal>
          <c:yVal>
            <c:numRef>
              <c:f>Hoja1!$C$6</c:f>
              <c:numCache>
                <c:formatCode>0.0"x"</c:formatCode>
                <c:ptCount val="1"/>
                <c:pt idx="0">
                  <c:v>17.6</c:v>
                </c:pt>
              </c:numCache>
            </c:numRef>
          </c:yVal>
          <c:smooth val="0"/>
        </c:ser>
        <c:ser>
          <c:idx val="5"/>
          <c:order val="5"/>
          <c:tx>
            <c:strRef>
              <c:f>Hoja1!$A$7</c:f>
              <c:strCache>
                <c:ptCount val="1"/>
                <c:pt idx="0">
                  <c:v>Hexagon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11.3</c:v>
                </c:pt>
              </c:numCache>
            </c:numRef>
          </c:xVal>
          <c:yVal>
            <c:numRef>
              <c:f>Hoja1!$C$7</c:f>
              <c:numCache>
                <c:formatCode>0.0"x"</c:formatCode>
                <c:ptCount val="1"/>
                <c:pt idx="0">
                  <c:v>15.4</c:v>
                </c:pt>
              </c:numCache>
            </c:numRef>
          </c:yVal>
          <c:smooth val="0"/>
        </c:ser>
        <c:ser>
          <c:idx val="6"/>
          <c:order val="6"/>
          <c:tx>
            <c:strRef>
              <c:f>Hoja1!$A$8</c:f>
              <c:strCache>
                <c:ptCount val="1"/>
                <c:pt idx="0">
                  <c:v>Mettler-Toledo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4.9</c:v>
                </c:pt>
              </c:numCache>
            </c:numRef>
          </c:xVal>
          <c:yVal>
            <c:numRef>
              <c:f>Hoja1!$C$8</c:f>
              <c:numCache>
                <c:formatCode>0.0"x"</c:formatCode>
                <c:ptCount val="1"/>
                <c:pt idx="0">
                  <c:v>23.4</c:v>
                </c:pt>
              </c:numCache>
            </c:numRef>
          </c:yVal>
          <c:smooth val="0"/>
        </c:ser>
        <c:ser>
          <c:idx val="7"/>
          <c:order val="7"/>
          <c:tx>
            <c:strRef>
              <c:f>Hoja1!$A$9</c:f>
              <c:strCache>
                <c:ptCount val="1"/>
                <c:pt idx="0">
                  <c:v>Rockwell Automation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5.8</c:v>
                </c:pt>
              </c:numCache>
            </c:numRef>
          </c:xVal>
          <c:yVal>
            <c:numRef>
              <c:f>Hoja1!$C$9</c:f>
              <c:numCache>
                <c:formatCode>0.0"x"</c:formatCode>
                <c:ptCount val="1"/>
                <c:pt idx="0">
                  <c:v>21.8</c:v>
                </c:pt>
              </c:numCache>
            </c:numRef>
          </c:yVal>
          <c:smooth val="0"/>
        </c:ser>
        <c:axId val="10"/>
        <c:axId val="20"/>
      </c:scatterChart>
      <c:valAx>
        <c:axId val="10"/>
        <c:scaling>
          <c:orientation val="minMax"/>
          <c:max val="21"/>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ISRA Vision (visión artificial, Alemania)</c:v>
                </c:pt>
                <c:pt idx="1">
                  <c:v>FLIR Systems (cámaras térmicas y sensores)</c:v>
                </c:pt>
                <c:pt idx="2">
                  <c:v>National Instruments (NI, prueba y medida)</c:v>
                </c:pt>
                <c:pt idx="3">
                  <c:v>Altair Engineering (software de simulación)</c:v>
                </c:pt>
                <c:pt idx="4">
                  <c:v>AspenTech (software de optimización de procesos), 43 % restante</c:v>
                </c:pt>
              </c:strCache>
            </c:strRef>
          </c:cat>
          <c:val>
            <c:numRef>
              <c:f>Hoja1!$B$2:$B$6</c:f>
              <c:numCache>
                <c:formatCode>0.0"x"</c:formatCode>
                <c:ptCount val="5"/>
                <c:pt idx="1">
                  <c:v>19.4</c:v>
                </c:pt>
                <c:pt idx="2">
                  <c:v>30.4</c:v>
                </c:pt>
                <c:pt idx="4">
                  <c:v>41.6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410469</c:v>
                </c:pt>
                <c:pt idx="1">
                  <c:v>520080</c:v>
                </c:pt>
                <c:pt idx="2">
                  <c:v>569609</c:v>
                </c:pt>
                <c:pt idx="3">
                  <c:v>589787</c:v>
                </c:pt>
                <c:pt idx="4">
                  <c:v>582392</c:v>
                </c:pt>
                <c:pt idx="5">
                  <c:v>648813</c:v>
                </c:pt>
                <c:pt idx="6">
                  <c:v>697742</c:v>
                </c:pt>
                <c:pt idx="7">
                  <c:v>753956</c:v>
                </c:pt>
                <c:pt idx="8">
                  <c:v>806944</c:v>
                </c:pt>
                <c:pt idx="9">
                  <c:v>859620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4160300</c:v>
                </c:pt>
                <c:pt idx="1">
                  <c:v>3472478</c:v>
                </c:pt>
                <c:pt idx="2">
                  <c:v>4643122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81.490,00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42817.25</c:v>
                </c:pt>
                <c:pt idx="1">
                  <c:v>63376.65</c:v>
                </c:pt>
                <c:pt idx="2">
                  <c:v>94786.53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81.490,00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(57.501,88 – 71.471,90)</c:v>
                </c:pt>
                <c:pt idx="6">
                  <c:v>Escenarios (bajista – alcista) (42.817,25 – 94.786,53)</c:v>
                </c:pt>
                <c:pt idx="7">
                  <c:v>DCF con la prima implícita del mercado (4,2 %)</c:v>
                </c:pt>
                <c:pt idx="8">
                  <c:v>Precio actual (81.490,00)</c:v>
                </c:pt>
              </c:strCache>
            </c:strRef>
          </c:cat>
          <c:val>
            <c:numRef>
              <c:f>Hoja1!$B$2:$B$10</c:f>
              <c:numCache>
                <c:formatCode>#,##0</c:formatCode>
                <c:ptCount val="9"/>
                <c:pt idx="0">
                  <c:v>51510</c:v>
                </c:pt>
                <c:pt idx="1">
                  <c:v>77000</c:v>
                </c:pt>
                <c:pt idx="2">
                  <c:v>59363.76</c:v>
                </c:pt>
                <c:pt idx="3">
                  <c:v>59242.41</c:v>
                </c:pt>
                <c:pt idx="4">
                  <c:v>81718.92</c:v>
                </c:pt>
                <c:pt idx="5">
                  <c:v>57501.88</c:v>
                </c:pt>
                <c:pt idx="6">
                  <c:v>42817.25</c:v>
                </c:pt>
                <c:pt idx="7">
                  <c:v>68281.79</c:v>
                </c:pt>
                <c:pt idx="8">
                  <c:v>81082.55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(51.510,00 – 87.920,00)</c:v>
                </c:pt>
                <c:pt idx="1">
                  <c:v>Precio objetivo de los analistas (77.000,00 – 120.000,00)</c:v>
                </c:pt>
                <c:pt idx="2">
                  <c:v>Comparables: EV/EBITDA NTM (59.363,76 – 91.360,64)</c:v>
                </c:pt>
                <c:pt idx="3">
                  <c:v>Comparables: PER NTM (59.242,41 – 78.204,94)</c:v>
                </c:pt>
                <c:pt idx="4">
                  <c:v>Transacciones precedentes (EV/EBITDA) (81.718,92 – 112.459,82)</c:v>
                </c:pt>
                <c:pt idx="5">
                  <c:v>DCF (WACC y g ± 0,5) (57.501,88 – 71.471,90)</c:v>
                </c:pt>
                <c:pt idx="6">
                  <c:v>Escenarios (bajista – alcista) (42.817,25 – 94.786,53)</c:v>
                </c:pt>
                <c:pt idx="7">
                  <c:v>DCF con la prima implícita del mercado (4,2 %)</c:v>
                </c:pt>
                <c:pt idx="8">
                  <c:v>Precio actual (81.490,00)</c:v>
                </c:pt>
              </c:strCache>
            </c:strRef>
          </c:cat>
          <c:val>
            <c:numRef>
              <c:f>Hoja1!$C$2:$C$10</c:f>
              <c:numCache>
                <c:formatCode>#,##0</c:formatCode>
                <c:ptCount val="9"/>
                <c:pt idx="0">
                  <c:v>36410</c:v>
                </c:pt>
                <c:pt idx="1">
                  <c:v>43000</c:v>
                </c:pt>
                <c:pt idx="2">
                  <c:v>31996.879999999997</c:v>
                </c:pt>
                <c:pt idx="3">
                  <c:v>18962.53</c:v>
                </c:pt>
                <c:pt idx="4">
                  <c:v>30740.90000000001</c:v>
                </c:pt>
                <c:pt idx="5">
                  <c:v>13970.019999999997</c:v>
                </c:pt>
                <c:pt idx="6">
                  <c:v>51969.28</c:v>
                </c:pt>
                <c:pt idx="7">
                  <c:v>13502.11</c:v>
                </c:pt>
                <c:pt idx="8">
                  <c:v>814.8999999999942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