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Kuehne + Nagel International AG</w:t>
      </w:r>
    </w:p>
    <w:p>
      <w:pPr>
        <w:spacing w:after="60"/>
        <w:rPr>
          <w:color w:val="52514E"/>
          <w:sz w:val="22"/>
          <w:szCs w:val="22"/>
        </w:rPr>
      </w:pPr>
      <w:r>
        <w:rPr>
          <w:color w:val="52514E"/>
          <w:sz w:val="22"/>
          <w:szCs w:val="22"/>
        </w:rPr>
        <w:t xml:space="preserve">KNIN · SIX Swiss Exchange · ISIN CH0025238863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230,05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228,77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184,20 CHF · mercado 231,96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27.261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Kuehne + Nagel International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KNIN / CH0025238863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Schindellegi (Feusisberg, Suiza) · 1890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https://www.kuehne-nagel.com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147,05 – 232,80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27.261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30.728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232.000 acciones/día (media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228,77 CHF</w:t>
      </w:r>
      <w:r>
        <w:t xml:space="preserve"> frente a 230,05 · Rentabilidad a 12 meses </w:t>
      </w:r>
      <w:r>
        <w:rPr>
          <w:b/>
          <w:bCs/>
        </w:rPr>
        <w:t xml:space="preserve">+2,1 % (base +8,4 %)</w:t>
      </w:r>
      <w:r>
        <w:t xml:space="preserve"> · Valor intrínseco 184,20 CHF · con la prima implícita del mercado: 231,96 (+0,8 %) · Alcista / bajista +3,9 % / -45,2 %</w:t>
      </w:r>
    </w:p>
    <w:p>
      <w:pPr>
        <w:spacing w:after="100"/>
      </w:pPr>
      <w:r>
        <w:rPr>
          <w:b/>
        </w:rPr>
        <w:t xml:space="preserve">La recomendación y por qué.</w:t>
      </w:r>
      <w:r>
        <w:t xml:space="preserve"> Mantener con convicción baja. A 230,05 CHF (13-oct-2026), el objetivo a 12 meses es de 228,77 CHF: rentabilidad ponderada del +2,1 % y del +8,4 % en el caso base, con el dividendo del 2,6 %. El valor intrínseco (184,20) queda un 19,9 % por debajo del precio y el objetivo medio de los analistas (204,78) también [50]. La asimetría a 12 meses es de 0,63: el bajista pierde un 34,5 % y el alcista gana un 25,9 %. La convicción es baja porque la regla absoluta da Vender y la relativa Mantener, y porque el precio y el balance salen de fuentes secundarias; subiría con un 3T26 (22-oct) que lleve la guía a la parte alta, y bajaría a Vender por encima de 260,86 CHF.</w:t>
      </w:r>
    </w:p>
    <w:p>
      <w:pPr>
        <w:spacing w:after="100"/>
      </w:pPr>
      <w:r>
        <w:rPr>
          <w:b/>
        </w:rPr>
        <w:t xml:space="preserve">El negocio.</w:t>
      </w:r>
      <w:r>
        <w:t xml:space="preserve"> El n.º 1 mundial en transitario marítimo y uno de los dos primeros en aéreo, sin flota: ROIC del 16 % frente a un WACC del 6,33 % [63]. Pero el margen es cíclico: el EBIT pasó de 1.070 M en 2020 a 3.763 M en 2022 y volvió a 1.242 M en 2025 [1, 6, 7]. La sostenibilidad del crecimiento es «En parte»: el volumen se financia sin capital, pero el margen del 10 % depende del rendimiento por TEU, que en 2025 hundió la conversión del mar del 41 % al 26 % [23].</w:t>
      </w:r>
    </w:p>
    <w:p>
      <w:pPr>
        <w:spacing w:after="100"/>
      </w:pPr>
      <w:r>
        <w:rPr>
          <w:b/>
        </w:rPr>
        <w:t xml:space="preserve">Sector y ciclo.</w:t>
      </w:r>
      <w:r>
        <w:t xml:space="preserve"> El repunte de 2026 viene del aéreo de centros de datos (EBIT +35 % en el 2T26) y de los fletes altos por Oriente Medio [13]. El mercado crece un 2,3 % al año [34]: la reapertura de rutas es el mayor riesgo.</w:t>
      </w:r>
    </w:p>
    <w:p>
      <w:pPr>
        <w:spacing w:after="100"/>
      </w:pPr>
      <w:r>
        <w:rPr>
          <w:b/>
        </w:rPr>
        <w:t xml:space="preserve">Finanzas.</w:t>
      </w:r>
      <w:r>
        <w:t xml:space="preserve"> La caja de 3.778 M de 2022 se convirtió en deuda neta de unos 3.467 M (con arrendamientos) por dividendos y recompras por encima de la caja libre; 1,5 veces el EBITDA, holgado [9, 10].</w:t>
      </w:r>
    </w:p>
    <w:p>
      <w:pPr>
        <w:spacing w:after="100"/>
      </w:pPr>
      <w:r>
        <w:rPr>
          <w:b/>
        </w:rPr>
        <w:t xml:space="preserve">Equipo y gobierno.</w:t>
      </w:r>
      <w:r>
        <w:t xml:space="preserve"> Klaus-Michael Kühne murió el 24-ago-2026 y el control (53-55 %) pasa a la Fundación Kühne [39, 41]: estabilidad, pero sin protección para el minoritario si cambia la política de dividendo. Amazon tiene una opción sobre acciones existentes de tamaño no publicado [45].</w:t>
      </w:r>
    </w:p>
    <w:p>
      <w:pPr>
        <w:spacing w:after="100"/>
      </w:pPr>
      <w:r>
        <w:rPr>
          <w:b/>
        </w:rPr>
        <w:t xml:space="preserve">Valoración.</w:t>
      </w:r>
      <w:r>
        <w:t xml:space="preserve"> El DCF da 192,38 CHF; el inverso dice que el precio descuenta un crecimiento del 6,3 % anual o un margen del 11,4 %, el de los años de fletes de la pandemia. A 24,3 veces nuestro BPA de 2027 cotiza en su mediana histórica y con prima frente a todos los comparables (mediana 18,7 veces). No hay descuento que recuperar: la rentabilidad a 12 meses es básicamente el crecimiento del BPA más el dividendo.</w:t>
      </w:r>
    </w:p>
    <w:p>
      <w:pPr>
        <w:spacing w:after="100"/>
      </w:pPr>
      <w:r>
        <w:rPr>
          <w:b/>
        </w:rPr>
        <w:t xml:space="preserve">Riesgos y catalizadores.</w:t>
      </w:r>
      <w:r>
        <w:t xml:space="preserve"> El primero, la normalización de fletes (bajista −34,5 % a 12 meses); el segundo, que el múltiplo vuelva a su mínimo de 17,7 veces. Catalizadores: el 3T26 (22-oct) y los primeros volúmenes de Amazon en 2027. El sentimiento de los foros coincide: «ya ha volado demasiado alto» [64].</w:t>
      </w:r>
    </w:p>
    <w:p>
      <w:pPr>
        <w:spacing w:after="100"/>
      </w:pPr>
      <w:r>
        <w:rPr>
          <w:b/>
        </w:rPr>
        <w:t xml:space="preserve">Qué cambiaría la decisión.</w:t>
      </w:r>
      <w:r>
        <w:t xml:space="preserve"> Comprar por debajo de 184,20 CHF; vender por encima de 260,86. Pasaríamos a Comprar también si el margen EBITDA de 2027 se confirmara por encima del 10,5 % con el precio actual, o si el precio cayera hacia 185 CHF sin cambio en el beneficio.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228,77 CHF</w:t>
      </w:r>
      <w:r>
        <w:t xml:space="preserve"> (rentabilidad +2,1 % (base +8,4 %)) · Valor intrínseco: 184,20 CHF (-19,9 % sobre 230,05) · con la prima implícita del mercado: 231,96 (+0,8 %)</w:t>
      </w:r>
    </w:p>
    <w:p>
      <w:pPr>
        <w:spacing w:after="100"/>
      </w:pPr>
      <w:r>
        <w:t xml:space="preserve">Kuehne+Nagel es el mayor transitario marítimo del mundo y uno de los dos mayores en aéreo: organiza el transporte sin flota, con un ROIC del 16 % y un capex inferior al 1 % de los ingresos [10, 63]. Su beneficio sigue al ciclo de fletes: EBIT de 3.763 M en 2022 y de 1.242 M en 2025, y una guía de 1.350-1.550 M para 2026 tras un 2T fuerte en aéreo [1, 6, 11].</w:t>
      </w:r>
    </w:p>
    <w:p>
      <w:pPr>
        <w:spacing w:after="100"/>
      </w:pPr>
      <w:r>
        <w:t xml:space="preserve">A 230,05 CHF el precio descuenta un crecimiento del 6,3 % anual o un margen EBITDA del 11,4 %, el de los años de la pandemia; cotiza a 24,3 veces el BPA de 2027, en su mediana histórica y por encima de todos sus comparables [57]. La acción ha subido más de un 50 % desde el mínimo de 147 CHF [50].</w:t>
      </w:r>
    </w:p>
    <w:p>
      <w:pPr>
        <w:spacing w:after="100"/>
      </w:pPr>
      <w:r>
        <w:t xml:space="preserve">El mercado acierta en la calidad y en el giro del aéreo y Amazon, pero paga ya un margen de ciclo alto. Para invertir hay que creer que la normalización de fletes no se repetirá como en 2025; nosotros vemos un precio justo a 12 meses y caro frente al valor intrínseco.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228,77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8,18 = 144,79 · 23,9x × 10,18 = 243,30 · 23,9x × 11,87 = 283,69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 (nuestro base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184,20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 / -45,2 %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6,3 % y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184,20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184,20 y 260,86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260,86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184,20 CHF: Comprar (ponderada ≥ 15 %, base ≥ 12 % y precio ≤ valor intrínseco).</w:t>
      </w:r>
    </w:p>
    <w:p>
      <w:pPr>
        <w:pStyle w:val="ListParagraph"/>
        <w:numPr>
          <w:ilvl w:val="0"/>
          <w:numId w:val="2"/>
        </w:numPr>
        <w:spacing w:after="60"/>
      </w:pPr>
      <w:r>
        <w:t xml:space="preserve">Precio por encima de 260,86 CHF: Vender.</w:t>
      </w:r>
    </w:p>
    <w:p>
      <w:pPr>
        <w:pStyle w:val="ListParagraph"/>
        <w:numPr>
          <w:ilvl w:val="0"/>
          <w:numId w:val="2"/>
        </w:numPr>
        <w:spacing w:after="60"/>
      </w:pPr>
      <w:r>
        <w:t xml:space="preserve">EBIT de 2026 por debajo de 1.350 M (fondo de la guía): pasaríamos a Vender.</w:t>
      </w:r>
    </w:p>
    <w:p>
      <w:pPr>
        <w:pStyle w:val="ListParagraph"/>
        <w:numPr>
          <w:ilvl w:val="0"/>
          <w:numId w:val="2"/>
        </w:numPr>
        <w:spacing w:after="60"/>
      </w:pPr>
      <w:r>
        <w:t xml:space="preserve">Margen EBITDA de 2027 confirmado por encima del 10,5 %: revisaríamos el valor intrínseco al alza.</w:t>
      </w:r>
    </w:p>
    <w:p>
      <w:pPr>
        <w:pStyle w:val="ListParagraph"/>
        <w:numPr>
          <w:ilvl w:val="0"/>
          <w:numId w:val="2"/>
        </w:numPr>
        <w:spacing w:after="60"/>
      </w:pPr>
      <w:r>
        <w:t xml:space="preserve">Publicación de una opción de Amazon de más del 2 % del capital con coste para Kuehne+Nagel: revisión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repunte de 2026 es el comienzo de una fase de beneficio más alto: aéreo tecnológico, Amazon y ahorro, con un margen EBITDA del 11,4 % o un crecimiento del 6,3 % anual.</w:t>
      </w:r>
    </w:p>
    <w:p>
      <w:pPr>
        <w:keepNext/>
        <w:spacing w:after="100"/>
      </w:pPr>
      <w:r>
        <w:rPr>
          <w:b/>
          <w:bCs/>
        </w:rPr>
        <w:t xml:space="preserve">Lo que creemos nosotros.</w:t>
      </w:r>
    </w:p>
    <w:p>
      <w:pPr>
        <w:spacing w:after="100"/>
      </w:pPr>
      <w:r>
        <w:t xml:space="preserve">Un margen del 10 % y un crecimiento del 3-4 % hasta 2028: BPA de 10,18 CHF en 2028, en línea con el consenso de 2026; el valor intrínseco es de 184,20 CHF.</w:t>
      </w:r>
    </w:p>
    <w:p>
      <w:pPr>
        <w:keepNext/>
        <w:spacing w:after="100"/>
      </w:pPr>
      <w:r>
        <w:rPr>
          <w:b/>
          <w:bCs/>
        </w:rPr>
        <w:t xml:space="preserve">Por qué podemos tener razón.</w:t>
      </w:r>
    </w:p>
    <w:p>
      <w:pPr>
        <w:spacing w:after="100"/>
      </w:pPr>
      <w:r>
        <w:t xml:space="preserve">En 2025 el margen por TEU hundió la conversión del mar en un año; el ciclo de fletes no ha desaparecido y los fletes de hoy dependen de Oriente Medio [23, 36].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16 % frente a un WACC del 6,33 %, sin flota ni existencias [63].</w:t>
      </w:r>
    </w:p>
    <w:p>
      <w:pPr>
        <w:pStyle w:val="ListParagraph"/>
        <w:numPr>
          <w:ilvl w:val="0"/>
          <w:numId w:val="2"/>
        </w:numPr>
        <w:spacing w:after="60"/>
      </w:pPr>
      <w:r>
        <w:rPr>
          <w:b/>
        </w:rPr>
        <w:t xml:space="preserve">Aéreo tecnológico</w:t>
      </w:r>
      <w:r>
        <w:t xml:space="preserve">: EBIT de Air Logistics +35 % en el 2T26 [13].</w:t>
      </w:r>
    </w:p>
    <w:p>
      <w:pPr>
        <w:pStyle w:val="ListParagraph"/>
        <w:numPr>
          <w:ilvl w:val="0"/>
          <w:numId w:val="2"/>
        </w:numPr>
        <w:spacing w:after="60"/>
      </w:pPr>
      <w:r>
        <w:rPr>
          <w:b/>
        </w:rPr>
        <w:t xml:space="preserve">Amazon/AWS</w:t>
      </w:r>
      <w:r>
        <w:t xml:space="preserve">: colaboración de hasta siete años firmada en septiembre de 2026 [45].</w:t>
      </w:r>
    </w:p>
    <w:p>
      <w:pPr>
        <w:pStyle w:val="ListParagraph"/>
        <w:numPr>
          <w:ilvl w:val="0"/>
          <w:numId w:val="2"/>
        </w:numPr>
        <w:spacing w:after="60"/>
      </w:pPr>
      <w:r>
        <w:rPr>
          <w:b/>
        </w:rPr>
        <w:t xml:space="preserve">Guía al alza</w:t>
      </w:r>
      <w:r>
        <w:t xml:space="preserve">: EBIT recurrente de 1.350-1.550 M en 2026, desde 1.200-1.400 M [11].</w:t>
      </w:r>
    </w:p>
    <w:p>
      <w:pPr>
        <w:pStyle w:val="ListParagraph"/>
        <w:numPr>
          <w:ilvl w:val="0"/>
          <w:numId w:val="2"/>
        </w:numPr>
        <w:spacing w:after="60"/>
      </w:pPr>
      <w:r>
        <w:rPr>
          <w:b/>
        </w:rPr>
        <w:t xml:space="preserve">Dividendo</w:t>
      </w:r>
      <w:r>
        <w:t xml:space="preserve"> de 6,00 CHF, un 2,6 % de rentabilidad [23].</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6,3 % de crecimiento anual.</w:t>
      </w:r>
    </w:p>
    <w:p>
      <w:pPr>
        <w:pStyle w:val="ListParagraph"/>
        <w:numPr>
          <w:ilvl w:val="0"/>
          <w:numId w:val="2"/>
        </w:numPr>
        <w:spacing w:after="60"/>
      </w:pPr>
      <w:r>
        <w:rPr>
          <w:b/>
        </w:rPr>
        <w:t xml:space="preserve">Prima frente a comparables</w:t>
      </w:r>
      <w:r>
        <w:t xml:space="preserve">: 26,7 veces el BPA de los próximos 12 meses frente a una mediana de 18,7 [57].</w:t>
      </w:r>
    </w:p>
    <w:p>
      <w:pPr>
        <w:pStyle w:val="ListParagraph"/>
        <w:numPr>
          <w:ilvl w:val="0"/>
          <w:numId w:val="2"/>
        </w:numPr>
        <w:spacing w:after="60"/>
      </w:pPr>
      <w:r>
        <w:rPr>
          <w:b/>
        </w:rPr>
        <w:t xml:space="preserve">Ciclo de fletes</w:t>
      </w:r>
      <w:r>
        <w:t xml:space="preserve">: la conversión del mar cayó del 41 % al 26 % en 2025 [23].</w:t>
      </w:r>
    </w:p>
    <w:p>
      <w:pPr>
        <w:pStyle w:val="ListParagraph"/>
        <w:numPr>
          <w:ilvl w:val="0"/>
          <w:numId w:val="2"/>
        </w:numPr>
        <w:spacing w:after="60"/>
      </w:pPr>
      <w:r>
        <w:rPr>
          <w:b/>
        </w:rPr>
        <w:t xml:space="preserve">De caja neta a deuda</w:t>
      </w:r>
      <w:r>
        <w:t xml:space="preserve">: deuda neta con arrendamientos de unos 3.467 M en junio de 2026 [9].</w:t>
      </w:r>
    </w:p>
    <w:p>
      <w:pPr>
        <w:pStyle w:val="ListParagraph"/>
        <w:numPr>
          <w:ilvl w:val="0"/>
          <w:numId w:val="2"/>
        </w:numPr>
        <w:spacing w:after="60"/>
      </w:pPr>
      <w:r>
        <w:rPr>
          <w:b/>
        </w:rPr>
        <w:t xml:space="preserve">Analistas a la venta</w:t>
      </w:r>
      <w:r>
        <w:t xml:space="preserve">: 12 de 26 opiniones son de venta [54].</w:t>
      </w:r>
    </w:p>
    <w:p>
      <w:pPr>
        <w:pStyle w:val="Heading2"/>
      </w:pPr>
      <w:r>
        <w:t xml:space="preserve">Qué tiene que pasar para que la tesis funcione</w:t>
      </w:r>
    </w:p>
    <w:p>
      <w:pPr>
        <w:spacing w:after="100"/>
      </w:pPr>
      <w:r>
        <w:t xml:space="preserve">La tesis depende del margen: que el EBIT de 2026 quede en la mitad alta de la guía (1.450-1.550 M) y que el rendimiento por TEU no caiga cuando se normalicen los fletes. La señal de que no se cumple: un 3T26 con el mar en caída de margen o una guía recortada, o el índice WCI por debajo de 2.500 USD/FEU.</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recurrente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1.350-1.550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Sea Logistics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rendimiento por TEU.</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Air Logistics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repunte.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se financia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Vender por encima de 260,86 CHF.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Kuehne+Nagel nace en Bremen en 1890 como transitario de August Kühne y Friedrich Nagel. La familia Kühne compró la parte de Nagel y la empresa se trasladó a Suiza (Schindellegi). Klaus-Michael Kühne fue consejero delegado desde 1975 y presidente de 1992 a 2011; convirtió un transitario mediano en el n.º 1 mundial en mar y aire con crecimiento orgánico y compras (USCO en 2001, ACR en 2001, Apex en 2021, IMC en 2025). Murió el 24-ago-2026; su participación de control (en torno al 53-55 % a través de Kühne Holding) queda en la Fundación Kühne. Desde 2022 el consejero delegado es Stefan Paul.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Bremen por August Kühne y Friedrich Nagel.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Klaus-Michael Kühne,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(SIX).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Apex International; máximo de fletes de la pandemia.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EBIT (3.763 M CHF); Stefan Paul,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IMC Logistics; programa de ahorro de más de 200 M CHF.</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Colaboración de hasta siete años con Amazon (AWS) y muerte de Klaus-Michael Kühne (24-ago).</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Kuehne+Nagel es el mayor transitario del mundo en transporte marítimo y aéreo: organiza el transporte de mercancías de sus clientes comprando capacidad a navieras y aerolíneas, sin flota propia, y añade aduanas, transporte por carretera y logística de almacén [23]. En 2025 movió 4,33 millones de TEU por mar y 2,24 millones de toneladas por aire [23]. Tiene cuatro unidades: Sea Logistics, Air Logistics, Road Logistics y Contract Logistics [1]. En 2025 compró el 51 % de IMC Logistics, transportista de contenedores entre puertos y terminales en EE. UU. (49 instalaciones, unos 2 M de TEU al año) [19].</w:t>
      </w:r>
    </w:p>
    <w:p>
      <w:pPr>
        <w:pStyle w:val="Heading2"/>
      </w:pPr>
      <w:r>
        <w:t xml:space="preserve">Cómo gana dinero</w:t>
      </w:r>
    </w:p>
    <w:p>
      <w:pPr>
        <w:spacing w:after="100"/>
      </w:pPr>
      <w:r>
        <w:t xml:space="preserve">Gana el diferencial entre lo que cobra al cliente y lo que paga al transportista: el margen bruto (8.800 M CHF en 2025, el 36 % de los ingresos netos) [2]. Lo que importa es el margen bruto por TEU o por tonelada (483 CHF por TEU y 776 CHF por tonelada en 2025) y la «conversión» (EBIT sobre margen bruto), que cayó del 34 % de 2022 al 14 % de 2025 [2, 23]. El coste principal es el personal; el negocio necesita poco capital (capex de 232 M en 2025, el 0,9 % de los ingresos) [10]. Con fletes altos los ingresos suben, pero el margen porcentual se diluye; el beneficio depende del volumen, del margen unitario y de la productividad.</w:t>
      </w:r>
    </w:p>
    <w:p>
      <w:pPr>
        <w:pStyle w:val="Heading2"/>
      </w:pPr>
      <w:r>
        <w:t xml:space="preserve">Clientes, recurrencia y poder de precios</w:t>
      </w:r>
    </w:p>
    <w:p>
      <w:pPr>
        <w:spacing w:after="100"/>
      </w:pPr>
      <w:r>
        <w:t xml:space="preserve">Clientes industriales, de consumo, tecnología, sanidad y comercio electrónico, sin concentración publicada en las fuentes accesibles. En septiembre de 2026 firmó con Amazon una colaboración de hasta siete años que incluye la logística de infraestructura de AWS (construcción, mantenimiento y ampliación de centros de datos) [11]. El poder de precios es limitado: en 2025 la conversión de Sea Logistics cayó del 41,1 % al 25,8 % por la presión de tarifas, y el margen bruto por TEU bajó [23]. El programa de ahorro de más de 200 M CHF lanzado en el 4T25 sostiene el margen en 2026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CHF de margen bruto por tonelada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(2025, 16 % recurrente)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en el 1T26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recurrente por unidad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Sea 585 M · Air 454 M · Road 86 M · Contract 255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 y Air, el 75 % del EBIT recurrente de 1.380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1.350-1.550 M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del transporte aéreo y marítimo internacional, con aduanas y servicios asociados), que es la mayor parte del beneficio de Kuehne+Nagel: Sea y Air Logistics dieron 1.039 M de los 1.380 M de EBIT recurrente de 2025 [23]. Se mide por los ingresos netos de los transitarios (Transport Intelligence: 208.100 M EUR en 2025) y por volumen: 25,2 millones de toneladas aéreas y 69,0 millones de TEU marítimos controlados por transitarios [34, 35]. Quedan fuera la carretera y la logística por contrato, donde Kuehne+Nagel también compite. Sector y fuentes tomados del análisis de DSV del 7-oct-2026.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[33, 34]. En volumen: 25,2 M t de carga aérea y 69,0 M TEU marítimos controlados por transitarios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[34,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[25]. El WCI estaba en 4.434 USD por FEU el 1-oct-2026, con Asia-Europa a la baja doce semanas seguidas [36], frente a 1.420 USD de media en 2019 y un máximo de 10.377 USD en septiembre de 2021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[24]; el fin de la exención de minimis redujo la demanda aérea China-EE. UU. en el 2S25 [29]. A cambio, la complejidad aduanera elevó un 13 % los ingresos de aduanas y otros servicios de Expeditors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[34]; las tarifas subieron y DSV elevó su margen por tonelada aérea en el 2T26 [25]. El tránsito por Suez en la semana 39 era un 68 % mayor que un año antes, lo que añade capacidad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[23]; DSV crece en Technology y espera ~9.000 M DKK de productividad por IA y red hasta 2030 [25, 26].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[24]. En 2025 la conversión de Kuehne+Nagel en mar cayó del 41,1 % al 25,8 % y el EBIT de DHL Global Forwarding, Freight un 29,6 % [23,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[24], pero los grandes cargadores reparten su carga entre varios proveedores logísticos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[24]; las crisis de capacidad (−22 % de capacidad aérea en 2026) encarecen la compra, aunque se trasladan al cliente con retraso [25,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[24]; competir en compras exige escala: DSV es uno de los mayores compradores de transporte del mundo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[24]; el transporte en sí no tiene sustituto.</w:t>
            </w:r>
          </w:p>
        </w:tc>
      </w:tr>
    </w:tbl>
    <w:p>
      <w:pPr>
        <w:spacing w:after="160" w:before="0"/>
      </w:pPr>
    </w:p>
    <w:p>
      <w:pPr>
        <w:pStyle w:val="Heading2"/>
      </w:pPr>
      <w:r>
        <w:t xml:space="preserve">Ciclo</w:t>
      </w:r>
    </w:p>
    <w:p>
      <w:pPr>
        <w:spacing w:after="100"/>
      </w:pPr>
      <w:r>
        <w:t xml:space="preserve">Los fletes siguen altos por Oriente Medio (WCI 4.434 USD/FEU el 1-oct-2026) pero Asia-Europa lleva doce semanas bajando y Ti prevé que el mercado crezca solo un 2,5 % en 2026 [34, 36]. En el último ciclo el beneficio del sector se multiplicó y volvió: el EBIT de Kuehne+Nagel pasó de 1.070 M CHF en 2020 a 3.763 M en 2022 y a 1.242 M en 2025, y su conversión del 14,3 % al 33,9 % y al 14,1 % [23]; el resultado de explotación de Expeditors, de 940 M USD en 2020 a 1.909 M en 2021 y a 940 M en 2023 [32]. El WCI tocó 10.377 USD/FEU en septiembre de 2021, frente a una media de 1.420 USD en 2019 [37];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[24, 29]. En descarbonización, DSV se ha fijado reducir un 50 % las emisiones de alcances 1 y 2 y un 30 % las de alcance 3 en 2030 frente a 2019 (objetivos validados por SBTi en 2023), y casi todo su inventario es transporte subcontratado [24]. En EE. UU., C.H. Robinson opera como agente de cargas con licencia del Departamento de Transporte [30]; Expeditors considera que la regulación no supone una restricción económica significativa [29].</w:t>
      </w:r>
    </w:p>
    <w:p>
      <w:pPr>
        <w:pStyle w:val="Heading2"/>
      </w:pPr>
      <w:r>
        <w:t xml:space="preserve">Tendencias y disrupción</w:t>
      </w:r>
    </w:p>
    <w:p>
      <w:pPr>
        <w:spacing w:after="100"/>
      </w:pPr>
      <w:r>
        <w:t xml:space="preserve">Tres tendencias: la regionalización de la producción y el doble aprovisionamiento, que alargan y complican las cadenas [24]; la digitalización e IA, que DSV quiere aprovechar con su plataforma de datos y unos 9.000 M DKK de ahorros en 2030 [25, 26]; y la entrada de navieras en el puerta a puerta, que compiten con sus clientes transitarios [24]. Los transitarios digitales no han ganado cuota relevante por su limitada capacidad logística [24]. El comercio electrónico transfronterizo y la carga de centros de datos sostienen el aéreo [23, 34]. Ti espera que el marítimo crezca a un 2,9 % anual hasta 2030 y el aéreo a un 1,6 % [34]. A DSV la escala le favorece en compras y tecnología, pero la integración resta foco comercial a corto plazo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3 del transitario mundial por ingresos netos (~4 % según la estimación de DSV, detrás de DSV con Schenker, ~6 %, y DHL, ~5 %) [24]; n.º 1 por volumen marítimo (4,33 M TEU, ≈6 % de los 69,0 M controlados por transitarios) y entre los dos primeros en aéreo (2,24 M t, ≈9 % de 25,2 M t) (estimación propia con [23,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tras comprar Schenker en 2025: ingresos de 247.331 M DKK y margen EBIT del 7,9 % en 2025; conversión de Air &amp; Sea del 40,2 % frente al 25,8 % de Kuehne+Nagel en mar [23, 24]. Convertido a CHF a 8,03 DKK/CHF.</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[28]. Volúmenes de 2025: 1,77 M t aéreas (−1,0 %) y 3,27 M TEU (−1,2 %), con salida deliberada de negocio de bajo margen [28]. Cita a DSV y Kuehne+Nagel como sus competidores clave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[29]. Ingresos de 11.069 M USD y resultado de explotación de 1.053 M en 2025; margen neto de transporte (ingresos menos costes directos) de 3.667 M USD, conversión del 28,7 % [29]. Aduanas y otros servicios ya son el 39 % de los ingresos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[30]. Margen bruto ajustado del grupo de 2.729 M USD y resultado de explotación de 795 M: conversión del 29,1 %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propia en más de 100 países y la mayor cartera de carga marítima: la densidad abarata la consolidación, pero el cliente reparte su carga entre varios transitarios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licitan y reparten la carga entre proveedores [7]; algo más altos en logística por contrato y en integraciones como la de AWS.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marca reconocida en el sector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5,1 % en 2025 frente al 7,9 % de DSV y el 9,5 % de Expeditors: la escala no se ha traducido en el coste más bajo [1, 5,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mar, gran comprador de capacidad: ROIC del 16 % con poco capital, aunque el mercado sigue fragmentado (top 20 ~40 %) [1].</w:t>
            </w:r>
          </w:p>
        </w:tc>
      </w:tr>
    </w:tbl>
    <w:p>
      <w:pPr>
        <w:spacing w:after="160" w:before="0"/>
      </w:pPr>
    </w:p>
    <w:p>
      <w:pPr>
        <w:pStyle w:val="Heading2"/>
      </w:pPr>
      <w:r>
        <w:t xml:space="preserve">Amenazas</w:t>
      </w:r>
    </w:p>
    <w:p>
      <w:pPr>
        <w:spacing w:after="100"/>
      </w:pPr>
      <w:r>
        <w:t xml:space="preserve">Primero, la normalización de fletes cuando se reabra la ruta de Oriente Medio: en 2025 la conversión del mar cayó del 41 % al 26 % [23, 36]. Segundo, DSV con Schenker, que gana escala de compra y presiona precios mientras integra [24]. Tercero, la integración vertical de las navieras (puerta a puerta) [24]. Cuarto, la demanda aérea ligada a los hiperescaladores, que hoy impulsa a Kuehne+Nagel y puede girar con el ciclo de inversión en centros de datos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-7,1 %</w:t>
      </w:r>
      <w:r>
        <w:t xml:space="preserve">, EBITDA </w:t>
      </w:r>
      <w:r>
        <w:rPr>
          <w:b/>
          <w:bCs/>
        </w:rPr>
        <w:t xml:space="preserve">-11,2 %</w:t>
      </w:r>
      <w:r>
        <w:t xml:space="preserve">, BPA </w:t>
      </w:r>
      <w:r>
        <w:rPr>
          <w:b/>
          <w:bCs/>
        </w:rPr>
        <w:t xml:space="preserve">-18,6 %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netos siguen al ciclo de fletes: 20.382 M CHF en 2020, 32.801 M en 2021 y un máximo de 39.398 M en 2022, para volver a 23.849 M en 2023, 24.802 M en 2024 y 24.476 M en 2025 [2, 5, 6, 7, 21]. El EBIT hizo lo mismo con más amplitud: 1.070 M en 2020, 2.946 M en 2021, 3.763 M en 2022 y de nuevo 1.242 M en 2025 (1.380 M recurrente) [1, 6, 7]. El margen bruto aguanta mejor (8.800 M en 2025, más que en 2023) que la conversión, que cayó al 14 %: la caída de 2025 viene de Sea Logistics, donde el margen por TEU bajó y la conversión pasó del 41,1 % al 25,8 % [23]. En 2026 el primer semestre cerró con ingresos de 12.200 M (−2 %) y EBIT recurrente de 689 M (−3 %), pero el 2T creció: ingresos +8 % y EBIT +11 % (+17 % sin divisa) [11, 12].</w:t>
      </w:r>
    </w:p>
    <w:p>
      <w:pPr>
        <w:pStyle w:val="Heading2"/>
      </w:pPr>
      <w:r>
        <w:t xml:space="preserve">Ajustes y partidas no recurrentes</w:t>
      </w:r>
    </w:p>
    <w:p>
      <w:pPr>
        <w:spacing w:after="100"/>
      </w:pPr>
      <w:r>
        <w:t xml:space="preserve">Usamos el EBIT y el beneficio publicados. La empresa da además un EBIT «recurrente» que excluye los costes del programa de ahorro: 1.380 M frente a 1.242 M en 2025 (138 M de costes, sobre todo en el 4T25: 335 M recurrente frente a 213 M publicado) y 1.671 M frente a 1.654 M en 2024 [1, 16]; los ponemos en no_recurrentes_en_ebitda. En el 1T26 hubo una plusvalía de 35 M por venta con arrendamiento posterior, que la empresa excluye del recurrente [12]. El beneficio atribuido de 2022 y 2023 es el BPA básico por las acciones medias estimadas (estimación propia; el beneficio total fue de 2.810 M y 1.464 M) [5, 6, 21]. El LTM a junio de 2026 se deriva de los semestres (ingresos 24.476 − 12.500 + 12.200; EBIT 1.242 − 745 + 724), estimación propia [1, 11, 15].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(23-jul-2026) la dirección subió la guía de EBIT recurrente de 2026 a 1.350-1.550 M CHF desde 1.200-1.400 M, con rendimientos estables o mejores en mar y aire, volumen positivo en el 3T y el 4T y un efecto divisa de hasta −5 % [11, 13]. Air Logistics fue la estrella: ingresos +20 % y EBIT +35 % en el trimestre, con la demanda de centros de datos [13]. En el 1T26 (24-abr) el discurso era de ahorro: el programa de octubre de 2025 sostuvo el EBIT (343 M frente a 402 M) y la guía era de 1.250-1.400 M [14, 15]. Según la prensa suiza, el EBIT del 2T batió el consenso en torno a un 8 %. Lo que no concreta la dirección: cuánto del alza del aire depende de clientes concretos (hiperescaladores) y la normalización de fletes cuando Oriente Medio se calme.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IMC Logistics (51 %), consolidada desde el 1T25: drayage en EE. UU., unos 800 M USD de ingresos en 2023 [19].).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Kuehne+Nagel ha pasado de caja neta a deuda neta. La caja cayó de 3.778 M en 2022 a 750 M en 2025 y 617 M en junio de 2026 porque pagó más de lo que generó: dividendos de 1.186 M, 1.661 M, 1.182 M y 979 M en 2022-2025 y recompras de 646 M y 716 M en 2022-2023 [9, 10]. La deuda total (con arrendamientos) subió de 1.700 M en 2022 a 3.957 M en 2025, con 400 M de bonos en 2025 y otros 400 M en 2026 [9, 17, 18]. El patrimonio neto bajó de 4.140 M a 2.212 M. La deuda neta con arrendamientos, unos 3.467 M en junio de 2026, equivale a 1,6 veces el EBITDA de los últimos 12 meses: holgada, pero ya no es la caja neta histórica. El reparto entre deuda financiera y arrendamientos de 2021-2025 es estimación propia (Stock Analysis solo da la deuda total).</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7.901</w:t>
      </w:r>
      <w:r>
        <w:t xml:space="preserve">, conversión </w:t>
      </w:r>
      <w:r>
        <w:rPr>
          <w:b/>
          <w:bCs/>
        </w:rPr>
        <w:t xml:space="preserve">97 %</w:t>
      </w:r>
      <w:r>
        <w:t xml:space="preserve"> del beneficio neto; adquisiciones 1.461, dividendos 5.546, recompras 1.492.</w:t>
      </w:r>
    </w:p>
    <w:p>
      <w:pPr>
        <w:spacing w:after="100"/>
      </w:pPr>
      <w:r>
        <w:t xml:space="preserve">La caja libre de la empresa (flujo operativo − capex − arrendamientos) fue de 917 M en 2025 y 643 M en 2024 [1, 20]; con el flujo operativo y el capex de Stock Analysis, los pagos de arrendamientos implícitos son de unos 632 M y 541 M (estimación propia; 2022 y 2023 interpolados) [10]. El capex es muy bajo (0,9-1,3 % de los ingresos) [10]: lo que pesa es el alquiler de almacenes y oficinas. El flujo de 2022 (4.404 M) estuvo inflado por la devolución de circulante al bajar los fletes, y el de 2023-2024 se resintió [10]. Desde 2023 los dividendos superan la caja libre: 1.661 M pagados en 2023 y 1.182 M en 2024 frente a 643 M de caja libre en 2024; la diferencia salió de la caja y de deuda nueva [10, 20].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Las cuentas son sencillas: casi sin existencias, sin I+D capitalizada y con poco fondo de comercio salvo Apex (2021) e IMC (2025) [7, 19]. Lo que más distorsiona es el ciclo: en 2021-2022 el beneficio se triplicó por los fletes de la pandemia y luego volvió. Los costes de reestructuración del programa de ahorro (138 M en 2025) se presentan fuera del EBIT recurrente; por ahora es un programa con fecha (finales de 2026) y no un patrón anual [1]. La caja libre de 2025 (917 M) superó al beneficio atribuido (882 M), pero con el circulante a favor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«recurrente»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138 M en 2025 por el programa de ahorro; de 17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1.661 M (2023) y 1.182 M (2024) frente a una caja libre de 643 M en 2024 [10, 20].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-54,7 % · </w:t>
      </w:r>
      <w:r>
        <w:rPr>
          <w:b/>
          <w:bCs/>
        </w:rPr>
        <w:t xml:space="preserve">WACC</w:t>
      </w:r>
      <w:r>
        <w:t xml:space="preserve">: 6,3 %.</w:t>
      </w:r>
    </w:p>
    <w:p>
      <w:pPr>
        <w:spacing w:after="100"/>
      </w:pPr>
      <w:r>
        <w:t xml:space="preserve">Kuehne+Nagel crea valor con holgura: Stock Analysis le da un ROIC del 16,3 % [63] frente a un WACC del 6,33 %, unos 10 puntos de diferencia; el del motor, 21,0 % en 2025, está inflado porque el balance accesible no tiene proveedores ni pasivos corrientes. El ROIC sale de la rotación, no del margen: un margen EBIT del 5,1 % sobre un capital invertido muy pequeño, porque no tiene flota ni existencias y casi todo su activo son cuentas de clientes compensadas con proveedores. El ROIC cayó del 116 % de 2022 al 21 % de 2025 al bajar el beneficio, y el ROIC incremental de los últimos años es negativo: el capital creció (IMC, arrendamientos) mientras el beneficio volvía del pico de fletes. Frente a DSV (ROIC del 8,6 % tras pagar Schenker) y Expeditors (57 %), está en medio [57].</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617 M CHF a 30-jun-2026, con deuda financiera de 1.800 M (925 M a corto plazo) y arrendamientos de 2.284 M [9]. En julio de 2026 colocó 400 M en bonos a 2029 y 2032 para devolver deuda y líneas de crédito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A-/A/A- según la emisión de bonos de 2026 (agencias no detalladas en la fuente)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Los arrendamientos (2.284 M a junio de 2026: almacenes y oficinas) son el mayor pasivo financiero [9]. La compra del 51 % de IMC Logistics deja un 49 % en manos de terceros; no hemos podido leer si hay opciones de venta de esos minoritarios ni su valor [19]. Amazon tiene una opción de compra sobre acciones existentes de Kuehne+Nagel, liquidable en efectivo o, a elección de Amazon, en acciones, que se consolida por hitos comerciales en hasta siete años y que cubre una entidad financiera; ni el número de acciones ni el precio de ejercicio se han publicado en las fuentes accesibles [11]. No hemos leído las notas de pensiones, provisiones y litigios.</w:t>
      </w:r>
    </w:p>
    <w:p>
      <w:pPr>
        <w:pStyle w:val="Heading1"/>
      </w:pPr>
      <w:r>
        <w:t xml:space="preserve">12. Asignación de capital</w:t>
      </w:r>
    </w:p>
    <w:p>
      <w:pPr>
        <w:pStyle w:val="Confianza"/>
        <w:spacing w:after="100"/>
      </w:pPr>
      <w:r>
        <w:t xml:space="preserve">Confianza: Media</w:t>
      </w:r>
    </w:p>
    <w:p>
      <w:pPr>
        <w:spacing w:after="100"/>
      </w:pPr>
      <w:r>
        <w:t xml:space="preserve">La empresa reparte la mayor parte del beneficio: dividendo de 6,00 CHF por acción por 2025 (8,25 por 2024, 10,00 por 2023 y 14,00 por 2022), un pago del 81 % del BPA de 2025 [20, 23]. Recompró 646 M en 2022 y 716 M en 2023 y casi nada desde 2024 [10]. Con la caja ya consumida, el dividendo se financia en parte con deuda (bonos de 400 M en 2025 y 2026)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Apex International (transitario aéreo asiático, 75 % inicial)</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 escala en el aéreo transpacífico justo en el máximo de fletes; adquisiciones pagadas de 902 M en 2021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IMC Logistics (51 %), drayage en EE. UU.</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(la prensa lo estimó en hasta 400 M USD en el mejor caso para el vendedor); adquisiciones pagadas de 559 M en 2025. Débil en 2025 por la menor importación en EE. UU. [10, 19].</w:t>
            </w:r>
          </w:p>
        </w:tc>
      </w:tr>
    </w:tbl>
    <w:p>
      <w:pPr>
        <w:spacing w:after="160" w:before="0"/>
      </w:pPr>
    </w:p>
    <w:p>
      <w:pPr>
        <w:spacing w:after="100"/>
      </w:pPr>
      <w:r>
        <w:t xml:space="preserve">La asignación de capital ha sido de devolver caja: 6.300 M en dividendos y 1.500 M en recompras entre 2021 y 2025, casi todo el beneficio del ciclo [10]. Es razonable para un negocio que apenas necesita inversión, pero el dividendo se fijó con el beneficio del pico y obligó a endeudarse en 2025-2026. Las dos compras (Apex en el máximo del aéreo, IMC antes de los aranceles de EE. UU.) se hicieron en malos momentos del ciclo. La recompra del dividendo a 6,00 CHF lo deja más cerca de la caja libre.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Paul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la carretera del grupo. Bajo su mandato el EBIT pasó del récord de 3.763 M (2022) a 1.242 M (2025) con la normalización de fletes; lanzó el programa de ahorro de más de 200 M y cerró la colaboración con Amazon [1,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Jörg Wolle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presidente por un año en la junta de mayo de 2026 [40,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unos 1.300 M (rebajada tras el 3T24)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1.654 M (1.671 M recurrente)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en el 3T25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recurrente de 1.380 M (1.242 M publicado)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recurrente de 1.200-1.400 M (marzo), 1.250-1.400 M (abril), 1.350-1.550 M (julio) [1, 11,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recurrente de 689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cambiado la guía cada trimestre, al alza y a la baja, como el mercado de fletes: es una guía a corto plazo, no un plan. El consejero delegado lleva cuatro años; el gran cambio es la muerte del accionista de control, Klaus-Michael Kühne, en agosto de 2026: su participación pasa a la Fundación Kühne según un plan de sucesión anunciado hace años [39, 41]. No hemos podido verificar el resto del comité de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Jörg Wolle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Kühne Holding AG (ahora Fundación Kühne)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derechos de voto pasan a la Fundación Kühne tras la muerte de K.-M. Kühne (24-ago-2026); la prensa da entre el 53 % y el 60 % [39,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6-may-2026, con el 77,37 % del capital representado, aprobó todas las propuestas del consejo por amplia mayoría, incluidos los importes de remuneración [43, 44]. No hemos podido leer los porcentajes de voto ni las métricas del variable.</w:t>
      </w:r>
    </w:p>
    <w:p>
      <w:pPr>
        <w:pStyle w:val="Heading2"/>
      </w:pPr>
      <w:r>
        <w:t xml:space="preserve">Operaciones vinculadas, estructura de control y defensas</w:t>
      </w:r>
    </w:p>
    <w:p>
      <w:pPr>
        <w:spacing w:after="100"/>
      </w:pPr>
      <w:r>
        <w:t xml:space="preserve">Kühne Holding controla la junta con más de la mitad del capital; con la muerte de Klaus-Michael Kühne los derechos de voto pasan a la Fundación Kühne, sin herederos [39, 41, 42]. Es un control estable que hace imposible una opa hostil y que ha sostenido una política de dividendo alto. La colaboración con Amazon da a Amazon una opción sobre acciones existentes (no nuevas), cubierta por un banco; su tamaño no se ha publicado [45].</w:t>
      </w:r>
    </w:p>
    <w:p>
      <w:pPr>
        <w:pStyle w:val="Heading2"/>
      </w:pPr>
      <w:r>
        <w:t xml:space="preserve">Señales de alerta</w:t>
      </w:r>
    </w:p>
    <w:p>
      <w:pPr>
        <w:pStyle w:val="ListParagraph"/>
        <w:numPr>
          <w:ilvl w:val="0"/>
          <w:numId w:val="2"/>
        </w:numPr>
        <w:spacing w:after="60"/>
      </w:pPr>
      <w:r>
        <w:t xml:space="preserve">Muerte del accionista de control (24-ago-2026): cambio de titular del control a la Fundación Kühne [39].</w:t>
      </w:r>
    </w:p>
    <w:p>
      <w:pPr>
        <w:pStyle w:val="ListParagraph"/>
        <w:numPr>
          <w:ilvl w:val="0"/>
          <w:numId w:val="2"/>
        </w:numPr>
        <w:spacing w:after="60"/>
      </w:pPr>
      <w:r>
        <w:t xml:space="preserve">Opción de Amazon sobre acciones de Kuehne+Nagel de tamaño no publicado [45].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EBIT recurrente de 1.350-1.550 M CHF (elevada el 23-jul-2026 desde 1.200-1.400 M), con rendimientos estables o mejores en mar y aire, volumen positivo en el segundo semestre y un efecto de conversión de divisa de hasta −5 % [52, 53]. La empresa no publica objetivos a medio plazo en las fuentes accesibles. Próximos resultados (3T26): 22-oct-2026.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Sondeo de la empresa (ingresos y EBIT) y BPA de 15 analistas tras el 1S26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Sondeo de la empresa (mediana)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10 /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204,78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Tras el 2T26 el BPA de consenso de 2026 subió de 8,32 a 8,63 CHF [53]. El sondeo de la empresa (EBIT 2026 de 1.409 M) es anterior o coetáneo a la subida de la guía. Los objetivos van por detrás del precio: el medio de Investing es de 204,78 CHF y el de aktien.guide de 186,66, con más ventas (12) que compras (4) [50, 54]; Jefferies subió a comprar con objetivo de 220 CHF [55]. Desde mínimos de 147 CHF la acción ha subido más de un 50 % en un año [50].</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spacing w:after="160" w:before="0"/>
      </w:pPr>
    </w:p>
    <w:p>
      <w:pPr>
        <w:spacing w:after="100"/>
      </w:pPr>
      <w:r>
        <w:t xml:space="preserve">La acción tocó 361 CHF en 2021 y bajó hasta 148 CHF en 2025 (mínimo del año) con la normalización de fletes y la caída del beneficio [23]. Desde ahí ha subido hasta 230 CHF: la subida de la guía en julio, el repunte del aéreo por los centros de datos y la colaboración con Amazon (21-sep-2026, máximo de 52 semanas de 228,40 CHF ese día) [50, 56]. Según cash.ch, en agosto ya había analistas que la veían «demasiado alta» [64].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Precios de cierre de año estimados con la capitalización de fin de año en USD de CompaniesMarketCap pasada a CHF y 120,75 M de acciones (±3 %) [51], dentro de los máximos y mínimos de la SIX que publica la empresa [23]. Excluimos 2021 porque el BPA del año fue el de la burbuja de fletes. Sobre el BPA del año siguiente, la acción cotizó a 17,7 veces a finales de 2022 y a 27,5-28,8 veces a finales de 2023 y 2024, cuando el mercado ya miraba más allá de la caída del beneficio; hoy, a 24,3 veces nuestro BPA de 2027, está en su mediana de cinco años (23,5 veces). No hay descuento histórico que recuperar.</w:t>
      </w:r>
    </w:p>
    <w:p>
      <w:pPr>
        <w:pStyle w:val="Heading1"/>
      </w:pPr>
      <w:r>
        <w:t xml:space="preserve">18. Comparables cotizados</w:t>
      </w:r>
    </w:p>
    <w:p>
      <w:pPr>
        <w:pStyle w:val="Confianza"/>
        <w:spacing w:after="100"/>
      </w:pPr>
      <w:r>
        <w:t xml:space="preserve">Confianza: Media</w:t>
      </w:r>
    </w:p>
    <w:p>
      <w:pPr>
        <w:spacing w:after="100"/>
      </w:pPr>
      <w:r>
        <w:t xml:space="preserve">Las siete cotizadas de transitario y logística por contrato del análisis de DSV, con cifras de MarketScreener a 7-oct-2026 [57], más DSV con sus múltiplos de ese día: los rivales globales sin activos (DSV, Expeditors, C.H. Robinson), DHL Group (dueño de DHL Global Forwarding), NX Holdings (transitario japonés) y dos de logística por contrato (GXO, ID Logistics). Capitalización pasada a CHF con los tipos del BCE del 7-oct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8,1x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18,7x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0,9x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Kuehne+Nagel cotiza a 26,7 veces el BPA de consenso de los próximos 12 meses, por encima de todos los comparables: Expeditors e ID Logistics están a 23,8-23,9 veces, C.H. Robinson a 18,7, DSV a 15,8 y DHL a 14,9 [57]. La mediana del PER de los comparables es de 18,7 veces. La prima frente a DSV (mismo negocio, más margen y crecimiento por Schenker) es del 69 % y la explican el control familiar estable, el ROIC del 16 % frente al 8,6 % de DSV y la visibilidad que dio el contrato con Amazon. Los comparables dan 132,47-186,84 CHF por PER: la acción cotiza por encima de todo el rango. El EV/EBITDA de los próximos 12 meses no se calcula porque no hay consenso de EBITDA accesible.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y valor de las acciones de 11.000 M EUR; DSV publicó 0,77x ventas y 14,0x EBIT de los 12 meses a junio de 2024, no el EBITDA. Cerrada en 2025. [59] Convertido a CHF a 8,03 DKK/CHF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[60] Convertido a CHF a 8,03 DKK/CHF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[57] Convertido a CHF a 8,03 DKK/CHF [58].</w:t>
            </w:r>
          </w:p>
        </w:tc>
      </w:tr>
    </w:tbl>
    <w:p>
      <w:pPr>
        <w:spacing w:after="160" w:before="0"/>
      </w:pPr>
    </w:p>
    <w:p>
      <w:pPr>
        <w:spacing w:after="160" w:before="0"/>
      </w:pPr>
    </w:p>
    <w:p>
      <w:pPr>
        <w:spacing w:after="100"/>
      </w:pPr>
      <w:r>
        <w:t xml:space="preserve">Las operaciones del sector rara vez publican el EBITDA: Schenker salió a 0,77 veces ventas y 14,0 veces EBIT [59] y Bolloré Logistics a unas 0,68 veces ventas [60]. Kuehne+Nagel no puede ser objetivo: la Fundación Kühne tiene el control, así que el método de transacciones no entra en el valor.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+1,5 % en 2026 (primer semestre −2 % y segundo con el 2T a +8 %, menos un efecto divisa de hasta −5 %, según la guía) y +4 % en 2027-2028 por volumen y algo de rendimiento, para bajar al 2 % en 2032 [11, 12]. Ti prevé que el transitario mundial crezca un 2,3 % anual hasta 2030 en euros [34]: suponemos que Kuehne+Nagel mantiene cuota con el aéreo tecnológico. En la historia los ingresos fueron de 21.094 M en 2019 a 24.476 M en 2025, un 2,5 % anual con el ciclo en medio.</w:t>
      </w:r>
    </w:p>
    <w:p>
      <w:pPr>
        <w:keepNext/>
        <w:spacing w:after="100"/>
      </w:pPr>
      <w:r>
        <w:rPr>
          <w:b/>
          <w:bCs/>
        </w:rPr>
        <w:t xml:space="preserve">Márgenes.</w:t>
      </w:r>
    </w:p>
    <w:p>
      <w:pPr>
        <w:spacing w:after="100"/>
      </w:pPr>
      <w:r>
        <w:t xml:space="preserve">Margen EBITDA del 9,6 % en 2026 (EBIT de unos 1.466 M, en el centro de la guía de 1.350-1.550 M) que sube al 10,3 % en 2030 con el programa de ahorro [11, 14]. Es inferior al 11,2-11,5 % de 2021-2023 y superior al 8,8 % publicado de 2025 (9,4 % recurrente). El supuesto más exigente es el margen: depende de que el rendimiento por TEU no vuelva a caer.</w:t>
      </w:r>
    </w:p>
    <w:p>
      <w:pPr>
        <w:keepNext/>
        <w:spacing w:after="100"/>
      </w:pPr>
      <w:r>
        <w:rPr>
          <w:b/>
          <w:bCs/>
        </w:rPr>
        <w:t xml:space="preserve">Inversión y circulante.</w:t>
      </w:r>
    </w:p>
    <w:p>
      <w:pPr>
        <w:spacing w:after="100"/>
      </w:pPr>
      <w:r>
        <w:t xml:space="preserve">Capex del 3,7 % de los ingresos, igual a la amortización: un 1 % de inmovilizado y un 2,6 % de altas de derechos de uso, porque los arrendamientos están en la deuda (NIIF 16) y su pago de unos 630 M al año tiene que estar en el flujo [1, 10]. Circulante sin variación: no tenemos clientes y proveedores de 2023-2025 y en un transitario se compensan.</w:t>
      </w:r>
    </w:p>
    <w:p>
      <w:pPr>
        <w:keepNext/>
        <w:spacing w:after="100"/>
      </w:pPr>
      <w:r>
        <w:rPr>
          <w:b/>
          <w:bCs/>
        </w:rPr>
        <w:t xml:space="preserve">Coste del capital.</w:t>
      </w:r>
    </w:p>
    <w:p>
      <w:pPr>
        <w:spacing w:after="100"/>
      </w:pPr>
      <w:r>
        <w:t xml:space="preserve">Tasa libre del 0,54 % (Confederación a 10 años, el mismo dato que los informes de Roche, Givaudan y Lonza del repositorio) [62]; beta 1,0 (estimada, sin datos de bolsa: el sector es cíclico); prima de mercado del 5,5 % más 1 punto adicional por la tasa libre suiza anormalmente baja; deuda al 1,5 % antes de impuestos (bonos al 0,7-1,1 %) con un peso del 12 % [17, 18]. WACC 6,33 %. Con la prima implícita del mercado (4,2 %) [61], el DCF sube a 253,31 CHF: la conclusión depende de la tasa.</w:t>
      </w:r>
    </w:p>
    <w:p>
      <w:pPr>
        <w:keepNext/>
        <w:spacing w:after="100"/>
      </w:pPr>
      <w:r>
        <w:rPr>
          <w:b/>
          <w:bCs/>
        </w:rPr>
        <w:t xml:space="preserve">Valor terminal.</w:t>
      </w:r>
    </w:p>
    <w:p>
      <w:pPr>
        <w:spacing w:after="100"/>
      </w:pPr>
      <w:r>
        <w:t xml:space="preserve">Gordon con un crecimiento del 1,0 %, coherente con la inflación suiza y por encima de la tasa libre menos medio punto por la anomalía de los tipos suizos; el valor terminal es el 74 % del valor. El múltiplo de salida de contraste es de 11 veces el EBITDA, por debajo del 13,7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M (0 % del NOPAT)</w:t>
            </w:r>
          </w:p>
        </w:tc>
      </w:tr>
    </w:tbl>
    <w:p>
      <w:pPr>
        <w:spacing w:after="160" w:before="0"/>
      </w:pPr>
    </w:p>
    <w:p>
      <w:pPr>
        <w:spacing w:after="100"/>
      </w:pPr>
      <w:r>
        <w:t xml:space="preserve">La proyección apenas necesita inversión neta de la amortización (reinversión acumulada de 0 M, con un capex bruto medio del 3,7 % de las ventas). En un negocio de activos ligeros, el crecimiento medio del 2,9 %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mar y aire al alza en el segundo semestre según la guía y rendimientos estables o mejores; otros −4 % por la conversión de divisa (hasta −5 %)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mercado (Ti, 2-3 %) más el aéreo tecnológico y Amazon; precio +1 % [34, 45].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converge con 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mercado.</w:t>
            </w:r>
          </w:p>
        </w:tc>
      </w:tr>
    </w:tbl>
    <w:p>
      <w:pPr>
        <w:spacing w:after="160" w:before="0"/>
      </w:pPr>
    </w:p>
    <w:p>
      <w:pPr>
        <w:spacing w:after="100"/>
      </w:pPr>
      <w:r>
        <w:t xml:space="preserve">La proyección apenas necesita capital: la reinversión es el 10 % del NOPAT y el ROIC del 16 % permite financiar holgadamente un crecimiento del 2,9 % anual (el motor no hace la prueba de reinversión en negocios de activos ligeros). La prueba es de cuota y de precio: crecemos algo por encima del mercado (2,3 % en euros según Ti) [34], apoyados en el aéreo y Amazon, y el margen sube al 10,3 % con el ahorro. El foso es estrecho: en 2025 el poder de precios no impidió que la conversión del mar cayera del 41 % al 26 % [23]. Por eso «En parte»: el volumen es financiable; el margen depende del ciclo de fletes. Ninguna prueba falla, así que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10,3 %)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6,3 %)</w:t>
            </w:r>
          </w:p>
        </w:tc>
      </w:tr>
    </w:tbl>
    <w:p>
      <w:pPr>
        <w:spacing w:after="160" w:before="0"/>
      </w:pPr>
    </w:p>
    <w:p>
      <w:pPr>
        <w:spacing w:after="100"/>
      </w:pPr>
      <w:r>
        <w:t xml:space="preserve">El DCF da 192,38 CHF por acción, un 16,4 % por debajo del precio, con el valor terminal en el 74 % del total. El DCF inverso dice que a 230,05 CHF el mercado descuenta un crecimiento del 6,3 % anual en 2027-2032 (frente al 3,2 % de nuestro caso base en esos años) o un margen EBITDA del 11,4 % en vez del 10,3 %: la rentabilidad implícita es del 5,6 %, por debajo de nuestro WACC del 6,33 %. Es exigente: un margen del 11,4 % es el de 2021-2023, con fletes de pandemia, y un crecimiento del 6 % duplica el del mercado. Con la prima implícita del mercado el DCF sube a 253,31 CHF; la acción solo parece justa si se acepta que rinda lo mismo que el mercado con una beta de 1. La conclusión: el precio no deja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reabre Oriente Medio, sobra capacidad y los fletes vuelven a los niveles de 2019; el aéreo de centros de datos se frena. Ingresos +2 % menos al año y margen un punto más bajo, como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ahorro y el aéreo llevan el EBIT a la parte central de la guía en 2026 y el margen sube despacio al 10,3 %; el mar se normaliza sin hundirse.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y los hiperescaladores añaden volumen aéreo y de proyectos y el rendimiento marítimo aguanta: crecimiento 1,5 puntos mayor y margen 0,8 puntos más alto, aún por debajo de 2021-2023.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187,44 CHF (-18,5 %).</w:t>
      </w:r>
    </w:p>
    <w:p>
      <w:pPr>
        <w:spacing w:after="100"/>
      </w:pPr>
      <w:r>
        <w:t xml:space="preserve">La asimetría es desfavorable: el bajista vale 126,04 CHF (−45,2 %) y el alcista 238,97 (+3,9 %); incluso el caso optimista apenas supera el precio. A 12 meses, con la regla de múltiplos, el bajista da 144,79 (−34,5 %) y el alcista 283,69 (+25,9 %), asimetría de 0,63. El bajista no es cosmético: en 2025 el EBIT cayó un 25 % con el margen por TEU.</w:t>
      </w:r>
    </w:p>
    <w:p>
      <w:pPr>
        <w:pStyle w:val="Heading1"/>
      </w:pPr>
      <w:r>
        <w:t xml:space="preserve">22. Suma de partes</w:t>
      </w:r>
    </w:p>
    <w:p>
      <w:pPr>
        <w:pStyle w:val="Confianza"/>
        <w:spacing w:after="100"/>
      </w:pPr>
      <w:r>
        <w:t xml:space="preserve">Confianza: Media</w:t>
      </w:r>
    </w:p>
    <w:p>
      <w:pPr>
        <w:spacing w:after="100"/>
      </w:pPr>
      <w:r>
        <w:t xml:space="preserve">No aplica: las cuatro unidades (mar, aire, carretera y logística por contrato) comparten clientes, red y sistemas, y no publicamos ingresos por unidad con los que valorar cada una.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CHF) · precio actual 230,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184,20 CHF (-19,9 % sobre 230,05).</w:t>
      </w:r>
    </w:p>
    <w:p>
      <w:pPr>
        <w:spacing w:after="100"/>
      </w:pPr>
      <w:r>
        <w:t xml:space="preserve">DCF y escenarios pesan un 40 % cada uno porque el negocio es estable en capital y el valor depende del margen a lo largo del ciclo, que es lo que esos métodos recogen; los comparables, un 20 %, porque la muestra mezcla transitarios sin activos y grupos con flota o almacenes y solo el PER es comparable. Las transacciones no pesan: la Fundación Kühne controla la empresa. Todos los métodos quedan por debajo del precio salvo el DCF con la prima implícita del mercado (253,31): el valor objetivo es de 184,20 CHF, un 19,9 % por debajo. La dispersión es amplia (132-239), pero el precio está en el extremo alto de todos los rangos.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(24.3x) a mitad de camino hacia abajo, hacia la mediana de 5 años (23.5x)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spacing w:after="100"/>
      </w:pPr>
      <w:r>
        <w:rPr>
          <w:b/>
          <w:bCs/>
        </w:rPr>
        <w:t xml:space="preserve">Objetivo a 12 meses (ponderado):</w:t>
      </w:r>
      <w:r>
        <w:t xml:space="preserve"> 228,77 CHF · rentabilidad +2,1 % (base +8,4 %) · señal Mantener.</w:t>
      </w:r>
    </w:p>
    <w:p>
      <w:pPr>
        <w:keepNext/>
        <w:spacing w:after="100"/>
      </w:pPr>
      <w:r>
        <w:rPr>
          <w:b/>
          <w:bCs/>
        </w:rPr>
        <w:t xml:space="preserve">Frente al consenso (solo contraste).</w:t>
      </w:r>
    </w:p>
    <w:p>
      <w:pPr>
        <w:spacing w:after="100"/>
      </w:pPr>
      <w:r>
        <w:t xml:space="preserve">Nuestro BPA de 2026 (8,75 CHF) está un 1,4 % por encima del consenso de 15 analistas (8,63) [53] y el de 2027 (9,45) cerca de lo que implica el PER de los próximos 12 meses de MarketScreener [57]. La diferencia está en el precio: nuestro base (243,30) queda un 18,8 % por encima del objetivo medio de 204,78 CHF [50], porque la regla aplica casi el PER actual (23,9 veces) y los objetivos de los analistas, con mayoría de ventas, no han seguido la subida de más del 50 % de la acción [54]. No acercamos la cifra: el múltiplo es el de la regla común.</w:t>
      </w:r>
    </w:p>
    <w:p>
      <w:pPr>
        <w:keepNext/>
        <w:spacing w:after="100"/>
      </w:pPr>
      <w:r>
        <w:rPr>
          <w:b/>
          <w:bCs/>
        </w:rPr>
        <w:t xml:space="preserve">Del valor intrínseco al objetivo a 12 meses.</w:t>
      </w:r>
    </w:p>
    <w:p>
      <w:pPr>
        <w:spacing w:after="100"/>
      </w:pPr>
      <w:r>
        <w:t xml:space="preserve">El objetivo a 12 meses (228,77 CHF) queda un 24 % por encima del valor intrínseco (184,20): el mercado paga hoy un múltiplo que el DCF no justifica con nuestro WACC. Para cerrar la distancia haría falta que el margen volviera al 11 % de 2021-2023 o que el mercado aceptara un coste de capital del 5,6 %. A 12 meses la acción ofrece poco: +2,1 % ponderado y +8,4 % en el base, con dividendo.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repunte del 2T (EBIT +11 %) sigue y de que la guía de 1.350-1.550 M se acerca a la parte alta.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rutas de Oriente Medio y normalización de fletes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rendimiento por TEU en mar; en 2025 la conversión del mar cayó del 41 % al 26 %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volúmenes de la colaboración con Amazon/AWS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aéreo y de logística de proyectos; prueba de si el contrato aporta margen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(6,00 CHF por 2025) dirá si la Fundación Kühne mantiene la política de reparto alto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de la Fundación Kühne como accionista de control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el consejo o en la política de dividendos tras la muerte de K.-M. Kühne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fletes y del margen por TEU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más de 200 M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WCI por debajo de 2.500 USD/FEU o conversión del mar &lt;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aéreo de centros de datos se frena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hasta siete años con Amazon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EBIT de Air Logistics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24x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(PER a 17,7x, mínimo de 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ROIC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25x sin subidas de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DSV-Schenker presiona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mar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volumen marítimo frente al mercado.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encima de la caja libre y más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&gt; 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gobierno con la Fundación Kühne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anunciado hace años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el consejo o en el dividendo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opción de Amazon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existentes y cobertura bancaria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Publicación del número de acciones y del coste contable.</w:t>
            </w:r>
          </w:p>
        </w:tc>
      </w:tr>
    </w:tbl>
    <w:p>
      <w:pPr>
        <w:spacing w:after="160" w:before="0"/>
      </w:pPr>
    </w:p>
    <w:p>
      <w:pPr>
        <w:pStyle w:val="Heading2"/>
      </w:pPr>
      <w:r>
        <w:t xml:space="preserve">Pre-mortem</w:t>
      </w:r>
    </w:p>
    <w:p>
      <w:pPr>
        <w:spacing w:after="100"/>
      </w:pPr>
      <w:r>
        <w:t xml:space="preserve">Octubre de 2029, la acción ha perdido un 40 %. Al reabrirse el canal de Suez a mediados de 2027 sobró capacidad marítima, las tarifas volvieron a niveles de 2019 y el margen por TEU cayó como en 2025, cuando la conversión del mar pasó del 41 % al 26 % [23]. A la vez, los hiperescaladores recortaron la inversión en centros de datos y el aéreo, que había sostenido 2026, dejó de crecer. El EBIT volvió a 1.200 M y el BPA a unos 7,5 CHF, como en 2025. El mercado, que pagaba 24 veces el beneficio del año siguiente en octubre de 2026, volvió a su mínimo de 17-18 veces: 7,5 × 18 = 135 CHF. La Fundación Kühne mantuvo el dividendo y la deuda neta subió. Las señales tempranas: el WCI por debajo de 2.500 USD/FEU, el rendimiento por TEU en caída dos trimestres seguidos y el crecimiento del aéreo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las emisiones de alcance 3 del transporte subcontratado (casi todo el inventario de un transitario sin flota) y la demanda de clientes de combustible sostenible de aviación y transporte marítimo bajo en carbono, que el transitario cobra como servicio; y el capital humano (más de 70.000 empleados, el personal es su mayor coste) [23, 24].</w:t>
      </w:r>
    </w:p>
    <w:p>
      <w:pPr>
        <w:pStyle w:val="Heading2"/>
      </w:pPr>
      <w:r>
        <w:t xml:space="preserve">Controversias</w:t>
      </w:r>
    </w:p>
    <w:p>
      <w:pPr>
        <w:spacing w:after="100"/>
      </w:pPr>
      <w:r>
        <w:t xml:space="preserve">No hemos encontrado sanciones relevantes en tres años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cubre la opción de Amazon, a qué precio y con qué coste contable para Kuehne+Nagel?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un coste o una dilución económica no recogidos en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 del aéreo del 2T26 (+35 %) viene de hiperescaladores y es repetible?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alza de la guía.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sensibilidad del EBIT del mar a una caída del 20 % del rendimiento por TEU?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Fundación Kühne mantendrá el pago del 80 % del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ya supera la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opción de venta del 49 % restante de IMC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asimilable a deuda no incluido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programa de más de 200 M queda por entregar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base del margen del 10 % proyectado.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(artículos y comentarios de lectores, Suiza)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subida del verano, «quizá ya ha volado demasiado alto»: los lectores se reparten entre quienes ven el repunte del aéreo y el ahorro como sostenibles y quienes esperan la vuelta de los fletes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en 183,83 CHF, por debajo del precio, y otra pregunta qué queda tras una subida del 51 %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Loadstar y eurotransport.de (prensa sectorial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colaboración con Amazon se celebra como contrato de prestigio, pero los comentarios señalan que la opción sobre acciones y los hitos dejan preguntas sin respuesta sobre el margen y el coste [68,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aktien.guide (agregador de opiniones,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Mayoría de opiniones de venta (12 de 26) con un objetivo medio por debajo del precio [54].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Amazon/AWS y centros de datos como nuevo motor del aéreo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aéreo creció un 35 % en EBIT en el 2T26 y Amazon firmó por hasta siete años [13, 45]; nuestro alcista lo recoge, el base solo en parte.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más de un 50 % desde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a 24,3 veces el BPA de 2027 cotiza en su mediana histórica y por encima de todos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fletes cuando se reabra Oriente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nuestro bajista: en 2025 la conversión del mar cayó del 41 % al 26 %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Fundación Kühne como nuevo accionista de control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control pasa a la fundación según un plan de sucesión anunciado; sin cambios conocidos en el consejo [41].</w:t>
            </w:r>
          </w:p>
        </w:tc>
      </w:tr>
    </w:tbl>
    <w:p>
      <w:pPr>
        <w:spacing w:after="160" w:before="0"/>
      </w:pPr>
    </w:p>
    <w:p>
      <w:pPr>
        <w:spacing w:after="100"/>
      </w:pPr>
      <w:r>
        <w:t xml:space="preserve">El sentimiento acompaña la subida pero con dudas: la prensa suiza y la comunidad de inversores reconocen el giro del aéreo y el contrato con Amazon, pero la opinión dominante es que la acción «ya ha volado demasiado alto» y la mayoría de opiniones de los agregadores es de venta [54, 64, 66]. No hay euforia: el sentimiento coincide con nuestra lectura (buen negocio a un precio que ya lo descuenta). Lo que el foro aporta y el análisis recoge es la pregunta sin respuesta sobre la opción de Amazon, cuyo tamaño no se ha publicado [68, 69].</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69 (25 primarias); citas distintas en el texto: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 Holdings (Nippon Express) (6,9x → 5,3x): el salto implica un crecimiento del EBITDA que no cuadra con el de las ventas. ¿EBITDA de proveedores distintos, o un cambio de perímetro? Explicación: NX Holdings: cifras de MarketScreener tal como las recogió el análisis de DSV; su ejercicio fiscal japonés y un cambio de perímetro explican el salto. Su peso en la mediana es pequeño.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4, 8, 22, 27, 48,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2021-2023 (PDF no accesibles: solo búsqueda web); 2) Stock Analysis y TipRanks (cifras sin etiqueta de año); 3) derivación del beneficio total y el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segmento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presentación del 4T25 (solo EBIT recurrente por unidad en la búsqueda); 3) notas de prensa trimestrales (solo 1T26 de mar y aire)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pasivo corriente, fondo de comercio y reparto deuda/arrendamientos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del informe anual 2025 (extracto cortado); 2) Stock Analysis (solo totales); 3) arrendamientos de junio de 2026 aplicados hacia atrás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informe de gobierno;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búsqueda de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del consejo, comisiones,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(no accesibles); 2) acta de la junta de 2026 (solo el resumen);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(anónimas, sin red);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comité de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web; 3) presentaciones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bloqueado en este entorno); 2) búsqueda de cierres fechados (CNBC: 228,50 el 9-oct); 3) MarketScreener en tiempo real (230,05 el 13-oct por la mañana, Cboe Europe)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2027-2028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sondeo de la empresa (sin BPA); 3) Simply Wall St, aktien.guide y Stocksguide (BPA de 2027-2028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rentabilidades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agregadores; 3) históricos de Macrotrends (ADR en USD ajustado)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de Amazon sobre acciones (número y precio de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ad hoc del 21-sep-2026 (no accesible); 2) prensa suiza y alemana (solo estructura: acciones existentes, cobertura bancaria, hitos en siete años); 3) The Loadstar (preguntas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 hoc announcement: Kuehne+Nagel full year 2025 results (ingresos netos 24.476 M, beneficio 925 M, caja libre 917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https://assets.kuehne-nagel.com/f/331466/x/13f45a8e88/adhoc-kuehnenagel-fy-2025-english.pdf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income statement (ingresos, margen bruto, EBITDA,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https://2025-annual-report.kuehne-nagel.com/annual-report/status-report/income-statement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(cuenta: EBT 1.230 M, impuesto 305 M; ingresos y gastos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https://assets.kuehne-nagel.com/f/331466/x/2fa31c0666/kn_2025_ar_consolidated_financial_statement.pdf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balance sheet (activo total 11.927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https://2025-annual-report.kuehne-nagel.com/annual-report/consolidated-financial-statements-2025/balance-sheet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(cuenta 2024 y 2023, BPA 2018-2024, dividendo 8,25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https://assets.kuehne-nagel.com/f/331466/x/52cabfc6da/annual_report_2024.pdf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reports very strong 2022 result (ingresos 39.398 M, EBIT 3.763 M, beneficio 2.810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https://www.freshplaza.com/north-america/article/9507786/kuehne-nagel-reports-very-strong-2022-result/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Kuehne+Nagel with remarkably strong performance in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https://newsroom.kuehne-nagel.com/kuehnenagel-with-remarkably-strong-performance-in-2021/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key financial figures (margen bruto 9.896 M, EBITDA 3.679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https://2021-annual-report.kuehne-nagel.com/annual-report/status-report/key-financial-figures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 (SWX:KNIN): balance sheet anual y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 (SWX:KNIN):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announcement: Kuehne+Nagel Q2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https://assets.kuehne-nagel.com/f/331466/x/34ede41ff0/ad-hoc-kuehne-nagel-q2-2026-english.pdf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H1 2026: muted overall, but Q2 shows clear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https://ti-insight.com/briefs/kuehne-nagel-h1-2026-results-q2-rebound/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Q2 earnings up 10 %; net turnover rises 8 %; lifts FY26 recurring EBIT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https://www.vermoegenszentrum.ch/en/stock-exchange-and-markets/news/kuehnenagel-q2-earnings-10-net-turnover-rises-8-lifts-fy26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announcement: Kuehne+Nagel 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https://assets.kuehne-nagel.com/f/331466/x/c708d82964/adhoc-kuehnenagel-q1-2026-english.pdf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Q1 2026 (comparativa con el 1T25: ingresos 6.300 M, EBIT 402 M, beneficio 303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https://trans.info/en/kuehne-nagel-q1-2026-471421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Q4 net income declines (4T25: ingresos 5.950 M, EBIT 213 M, recurrente 335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https://www.nasdaq.com/articles/kuehnenagel-q4-net-income-declines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successfully issues two bonds for a total of CHF 400 million (2028 y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https://newsroom.kuehne-nagel.com/kuehnenagel-successfully-issues-two-bonds-for-a-total-of-chf-400-million/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Anleihe: Kühne+Nagel nimmt in zwei Tranchen 400 Mio Fr. auf (2029 y 2032; A-/A/A-)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https://www.cash.ch/news/anleihe-kuhnenagel-nimmt-in-zwei-tranchen-400-mio-fr-auf-947731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acquires majority stake in IMC Logistics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 Chain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https://www.supplychaindive.com/news/imc-logistics-kuehne-nagel-merger-acquisition/733726/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2024 results (caja libre 643 M; dividendo 8,25 CHF frente a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FreshPlaza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https://www.freshplaza.com/north-america/article/9710453/kuehne-nagel-reports-chf-24-8-billion-revenue-in-2024-up-4/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2023: net turnover 23,8 bn, EBIT 1,9 bn, net profit 1,5 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(newsroom)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https://fi.kuehne-nagel.com/en/-/uutiset/kuehne-nagelin-liiketulos-normalisoitui-2023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Q2 FY26 earnings rise 10 % to CHF 276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https://www.vermoegenszentrum.ch/en/stock-exchange-and-markets/news/kuehnenagel-q2-fy26-earnings-rise-10-chf-276-million-net-turnover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 (tabla de datos de la acción: máximos y mínimos 2019-2025, BPA 7,43, dividendo 6,00)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2025 Annual Report (Company Announcement No.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H1 2026 (Company Announcement No.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billionaire Klaus-Michael Kuehne dies at age 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Star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https://www.thestar.com.my/news/world/2026/08/24/german-billionaire-klaus-michael-kuehne-dies-at-age-89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 honorary chairman Klaus-Michael Kühne dies at 89 (declaraciones de J. Wolle y S. Paul)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https://www.stattimes.com/logistics/kn-honorary-chairman-klaus-michael-khne-dies-at-sw89-1360406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no heirs, Kuehne’s foundation gets $49 billion fortune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https://www.swissinfo.ch/eng/with-no-heirs%2c-kuehnes-foundation-gets-%2449-billion-fortune/91956375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Amazon s’offre une option sur des actions (derechos de voto de la Fundación Kühne)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Télé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https://latele.ch/articles/kuehne-nagel-amazon-s-offre-une-option-sur-des-actions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Generalversammlung 2026 der Kühne+Nagel International AG (resultados de la junta del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Marktpuls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https://www.marktpuls.ch/artikel/permalink/665666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https://assets.kuehne-nagel.com/f/331466/x/4b3a6bd525/company-corporate-governance-invitation-agm-2026.pdf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signs long-term strategic collaboration with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https://www.rttnews.com/3692437/kuehne-nagel-signs-long-term-strategic-collaboration-with-amazon.aspx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 drops in Julius Baer trade on Q3 EBIT miss, guidance cut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https://www.stockopedia.com/share-prices/julius-baer-gruppe-ag-SWX:BAER/news/k-n-drops-in-julius-baer-trade-on-q3-ebit-miss-guidance-cut-019e69ef-3807-7d56-acfd-e9c8800b1477/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valuation insights as profit outlook softens (rebaja de la guía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https://simplywall.st/stocks/ch/transportation/vtx-knin/kuehne-nagel-international-shares/news/kuehne-nagel-swxknin-valuation-insights-as-profit-outlook-so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cotización en tiempo real (230,05 CHF en Cboe Europe,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KNIN-CH: Kuehne + Nagel International AG quote (228,50 CHF el 9-oct-2026; cierre anterior 224,30)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https://www.cnbc.com/quotes/KNIN-CH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&amp; Nagel (KNIN): cotización, rango de 52 semanas 147,05-232,80 y objetivo medio 204,78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https://uk.investing.com/equities/kuehne---nagel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Kühne + Nagel: market cap history (capitalización de fin de año en USD,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https://companiesmarketcap.com/kuhne-nagel/marketcap/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data and share price (mediana del último sondeo: ingresos, margen bruto, EBIT y BAI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https://www.kuehne-nagel.com/company/investor-relations/consensus-data-and-share-price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BPA de consenso de 2026 de 8,63 CHF tras el 1S26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https://www.webull.com/news/15299353082733568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Nagel International: Kursziel (26 analistas: 4 comprar, 10 mantener, 12 vender; objetivo medio 186,66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https://aktien.guide/kursziel/Kuehne-Nagel-International-CH0025238863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Kühne+Nagel-Aktie erholt sich: Jefferies hebt auf «Buy», Kursziel 220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https://www.bilanz.ch/invest/aktien/kuehnenagel-aktie-erholt-sich-kursziel-bei-220-franken/qqm1flj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signs long-term strategic collaboration with Amazon (acción +3 % hasta 228,40 CHF, máximo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https://www.vermoegenszentrum.ch/en/stock-exchange-and-markets/news/kuehnenagel-signs-long-term-strategic-collaboration-amazon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transporte y logística a 7-oct-2026 (MarketScreener; capitalización en DKK) y ROIC de Stock Analysis, del análisis de DSV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 (análisis de DSV del 7-oct-2026)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 (DKK 7,4745; CHF 0,9309)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1132: DSV to acquire Schenker (0,77x ventas, 14,0x EBIT)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de obligaciones al contado: Confederación a 10 años (cubo rendeiduebd; 0,54 %, el mismo dato que los informes de Roche, Givaudan y Lonza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 (ROIC 16,3 %, deuda neta/EBITDA 1,6x)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Aktie der Woche: Logistikspezialist ist vielleicht schon zu hoch geflogen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https://www.cash.ch/news/top-news/schweizer-aktie-der-woche-logistikspezialist-ist-vielleicht-schon-zu-hoch-geflogen-950439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Aktie der Woche: Kühne+Nagel dank Fracht-Boom und Millionen-Sparprogramm auf der Überholspur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https://www.cash.ch/news/top-news/schweizer-aktie-der-woche-kuhnenagel-dank-fracht-boom-und-millionen-sparprogramm-auf-der-uberholspur-942962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narrativas de la comunidad (valor razonable de 183,83 CHF frente a 205,70)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https://www.webull.com/news/15333893176910848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comes next for Kuehne + Nagel after a 51 % 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https://www.webull.com/news/15682856708015104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 in the air: Kuehne-Amazon tie-up leaves questions unanswered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https://theloadstar.com/up-in-the-air-kuehne-amazon-tie-up-leaves-questions-unanswered/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erhält Option auf Kühne+Nagel-Aktien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eurotransport.de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https://www.eurotransport.de/logistik/spedition-und-logistik/amazon-kaufoption-kuehne-nagel-aktien-aws-logistik/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Entorno sin descarga de documentos: solo búsqueda web. Las cifras salen de resultados de búsqueda que citan las notas de prensa y los informes anuales de la empresa (2021-2025, 1T26 y 2T26), prensa financiera suiza y agregadores (Stock Analysis para balance y flujos), con la URL como fuente. El precio es la cotización en tiempo real de MarketScreener del 13-oct-2026 (230,05 CHF, Cboe Europe), no un cierre oficial de la SIX; el último cierre fechado es el de CNBC del 9-oct (228,50). Los precios de cierre de año para el PER son estimaciones (capitalización de fin de año en USD pasada a CHF). El balance de 2023-2025 solo tiene totales; el reparto entre deuda financiera y arrendamientos de 2021-2025 es estimación propia. Sector, competidores, comparables y transacciones se toman del análisis de DSV del 7-oct-2026 del repositorio, pasados a CHF con los tipos del BCE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Kuehne + Nagel International AG (KNIN)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Hoja1!$B$2:$B$7</c:f>
              <c:numCache>
                <c:formatCode>#,##0</c:formatCode>
                <c:ptCount val="6"/>
                <c:pt idx="0">
                  <c:v>147.05</c:v>
                </c:pt>
                <c:pt idx="1">
                  <c:v>132.47</c:v>
                </c:pt>
                <c:pt idx="2">
                  <c:v>161.21</c:v>
                </c:pt>
                <c:pt idx="3">
                  <c:v>126.04</c:v>
                </c:pt>
                <c:pt idx="4">
                  <c:v>223</c:v>
                </c:pt>
                <c:pt idx="5">
                  <c:v>228.9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Hoja1!$C$2:$C$7</c:f>
              <c:numCache>
                <c:formatCode>#,##0</c:formatCode>
                <c:ptCount val="6"/>
                <c:pt idx="0">
                  <c:v>85.75</c:v>
                </c:pt>
                <c:pt idx="1">
                  <c:v>54.370000000000005</c:v>
                </c:pt>
                <c:pt idx="2">
                  <c:v>76.63</c:v>
                </c:pt>
                <c:pt idx="3">
                  <c:v>112.92999999999999</c:v>
                </c:pt>
                <c:pt idx="4">
                  <c:v>68.87</c:v>
                </c:pt>
                <c:pt idx="5">
                  <c:v>2.299999999999983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Kuehne+Nagel</c:v>
                </c:pt>
                <c:pt idx="1">
                  <c:v>DSV</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5.6</c:v>
                </c:pt>
                <c:pt idx="1">
                  <c:v>7.9</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32801</c:v>
                </c:pt>
                <c:pt idx="1">
                  <c:v>39398</c:v>
                </c:pt>
                <c:pt idx="2">
                  <c:v>23849</c:v>
                </c:pt>
                <c:pt idx="3">
                  <c:v>24802</c:v>
                </c:pt>
                <c:pt idx="4">
                  <c:v>24476</c:v>
                </c:pt>
                <c:pt idx="5">
                  <c:v>24843</c:v>
                </c:pt>
                <c:pt idx="6">
                  <c:v>25837</c:v>
                </c:pt>
                <c:pt idx="7">
                  <c:v>26870</c:v>
                </c:pt>
                <c:pt idx="8">
                  <c:v>27811</c:v>
                </c:pt>
                <c:pt idx="9">
                  <c:v>28645</c:v>
                </c:pt>
                <c:pt idx="10">
                  <c:v>29361</c:v>
                </c:pt>
                <c:pt idx="11">
                  <c:v>29948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3679</c:v>
                </c:pt>
                <c:pt idx="1">
                  <c:v>4532</c:v>
                </c:pt>
                <c:pt idx="2">
                  <c:v>2678</c:v>
                </c:pt>
                <c:pt idx="3">
                  <c:v>2495</c:v>
                </c:pt>
                <c:pt idx="4">
                  <c:v>2289</c:v>
                </c:pt>
                <c:pt idx="5">
                  <c:v>2385</c:v>
                </c:pt>
                <c:pt idx="6">
                  <c:v>2532</c:v>
                </c:pt>
                <c:pt idx="7">
                  <c:v>2687</c:v>
                </c:pt>
                <c:pt idx="8">
                  <c:v>2837</c:v>
                </c:pt>
                <c:pt idx="9">
                  <c:v>2950</c:v>
                </c:pt>
                <c:pt idx="10">
                  <c:v>3024</c:v>
                </c:pt>
                <c:pt idx="11">
                  <c:v>3085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30.2</c:v>
                </c:pt>
                <c:pt idx="1">
                  <c:v>28.2</c:v>
                </c:pt>
                <c:pt idx="2">
                  <c:v>36.8</c:v>
                </c:pt>
                <c:pt idx="3">
                  <c:v>35</c:v>
                </c:pt>
                <c:pt idx="4">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11.2</c:v>
                </c:pt>
                <c:pt idx="1">
                  <c:v>11.5</c:v>
                </c:pt>
                <c:pt idx="2">
                  <c:v>11.2</c:v>
                </c:pt>
                <c:pt idx="3">
                  <c:v>10.1</c:v>
                </c:pt>
                <c:pt idx="4">
                  <c:v>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c:v>
                </c:pt>
                <c:pt idx="1">
                  <c:v>9.6</c:v>
                </c:pt>
                <c:pt idx="2">
                  <c:v>8</c:v>
                </c:pt>
                <c:pt idx="3">
                  <c:v>6.7</c:v>
                </c:pt>
                <c:pt idx="4">
                  <c:v>5.6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6.2</c:v>
                </c:pt>
                <c:pt idx="1">
                  <c:v>6.7</c:v>
                </c:pt>
                <c:pt idx="2">
                  <c:v>6</c:v>
                </c:pt>
                <c:pt idx="3">
                  <c:v>4.8</c:v>
                </c:pt>
                <c:pt idx="4">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4T25</c:v>
                </c:pt>
                <c:pt idx="1">
                  <c:v>1T26</c:v>
                </c:pt>
                <c:pt idx="2">
                  <c:v>2T26</c:v>
                </c:pt>
                <c:pt idx="3">
                  <c:v>1S26</c:v>
                </c:pt>
              </c:strCache>
            </c:strRef>
          </c:cat>
          <c:val>
            <c:numRef>
              <c:f>Hoja1!$B$2:$B$5</c:f>
              <c:numCache>
                <c:formatCode>0.0"%"</c:formatCode>
                <c:ptCount val="4"/>
                <c:pt idx="0">
                  <c:v>-12</c:v>
                </c:pt>
                <c:pt idx="1">
                  <c:v>-11.1</c:v>
                </c:pt>
                <c:pt idx="2">
                  <c:v>8</c:v>
                </c:pt>
                <c:pt idx="3">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51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1793</c:v>
                </c:pt>
                <c:pt idx="1">
                  <c:v>3675</c:v>
                </c:pt>
                <c:pt idx="2">
                  <c:v>873</c:v>
                </c:pt>
                <c:pt idx="3">
                  <c:v>643</c:v>
                </c:pt>
                <c:pt idx="4">
                  <c:v>917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2032</c:v>
                </c:pt>
                <c:pt idx="1">
                  <c:v>2654</c:v>
                </c:pt>
                <c:pt idx="2">
                  <c:v>1435</c:v>
                </c:pt>
                <c:pt idx="3">
                  <c:v>1181</c:v>
                </c:pt>
                <c:pt idx="4">
                  <c:v>882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79.1</c:v>
                </c:pt>
                <c:pt idx="1">
                  <c:v>116</c:v>
                </c:pt>
                <c:pt idx="2">
                  <c:v>56.7</c:v>
                </c:pt>
                <c:pt idx="3">
                  <c:v>33.8</c:v>
                </c:pt>
                <c:pt idx="4">
                  <c:v>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6.3</c:v>
                </c:pt>
                <c:pt idx="1">
                  <c:v>6.3</c:v>
                </c:pt>
                <c:pt idx="2">
                  <c:v>6.3</c:v>
                </c:pt>
                <c:pt idx="3">
                  <c:v>6.3</c:v>
                </c:pt>
                <c:pt idx="4">
                  <c:v>6.3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63.4</c:v>
                </c:pt>
                <c:pt idx="1">
                  <c:v>72.3</c:v>
                </c:pt>
                <c:pt idx="2">
                  <c:v>39.3</c:v>
                </c:pt>
                <c:pt idx="3">
                  <c:v>36.8</c:v>
                </c:pt>
                <c:pt idx="4">
                  <c:v>32.2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-0.11</c:v>
                </c:pt>
                <c:pt idx="1">
                  <c:v>-0.46</c:v>
                </c:pt>
                <c:pt idx="2">
                  <c:v>-0.07</c:v>
                </c:pt>
                <c:pt idx="3">
                  <c:v>0.48</c:v>
                </c:pt>
                <c:pt idx="4">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2028</c:v>
                </c:pt>
                <c:pt idx="1">
                  <c:v>2029</c:v>
                </c:pt>
                <c:pt idx="2">
                  <c:v>2031</c:v>
                </c:pt>
                <c:pt idx="3">
                  <c:v>2032</c:v>
                </c:pt>
              </c:strCache>
            </c:strRef>
          </c:cat>
          <c:val>
            <c:numRef>
              <c:f>Hoja1!$B$2:$B$5</c:f>
              <c:numCache>
                <c:formatCode>#,##0</c:formatCode>
                <c:ptCount val="4"/>
                <c:pt idx="0">
                  <c:v>200</c:v>
                </c:pt>
                <c:pt idx="1">
                  <c:v>170</c:v>
                </c:pt>
                <c:pt idx="2">
                  <c:v>200</c:v>
                </c:pt>
                <c:pt idx="3">
                  <c:v>230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902</c:v>
                </c:pt>
                <c:pt idx="1">
                  <c:v>0</c:v>
                </c:pt>
                <c:pt idx="2">
                  <c:v>0</c:v>
                </c:pt>
                <c:pt idx="3">
                  <c:v>0</c:v>
                </c:pt>
                <c:pt idx="4">
                  <c:v>559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538</c:v>
                </c:pt>
                <c:pt idx="1">
                  <c:v>1186</c:v>
                </c:pt>
                <c:pt idx="2">
                  <c:v>1661</c:v>
                </c:pt>
                <c:pt idx="3">
                  <c:v>1182</c:v>
                </c:pt>
                <c:pt idx="4">
                  <c:v>979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59</c:v>
                </c:pt>
                <c:pt idx="1">
                  <c:v>646</c:v>
                </c:pt>
                <c:pt idx="2">
                  <c:v>716</c:v>
                </c:pt>
                <c:pt idx="3">
                  <c:v>51</c:v>
                </c:pt>
                <c:pt idx="4">
                  <c:v>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Otro externo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Kühne Holding AG (ahora Fundación Kühne)</c:v>
                </c:pt>
              </c:strCache>
            </c:strRef>
          </c:cat>
          <c:val>
            <c:numRef>
              <c:f>Hoja1!$B$2</c:f>
              <c:numCache>
                <c:formatCode>0.0"%"</c:formatCode>
                <c:ptCount val="1"/>
                <c:pt idx="0">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9.5</c:v>
                </c:pt>
                <c:pt idx="1">
                  <c:v>5.2</c:v>
                </c:pt>
                <c:pt idx="2">
                  <c:v>12.7</c:v>
                </c:pt>
                <c:pt idx="3">
                  <c:v>10.2</c:v>
                </c:pt>
                <c:pt idx="4">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10.2</c:v>
                </c:pt>
                <c:pt idx="1">
                  <c:v>10.2</c:v>
                </c:pt>
                <c:pt idx="2">
                  <c:v>10.2</c:v>
                </c:pt>
                <c:pt idx="3">
                  <c:v>10.2</c:v>
                </c:pt>
                <c:pt idx="4">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Kuehne+Nagel</c:v>
                </c:pt>
                <c:pt idx="1">
                  <c:v>DSV</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1">
                  <c:v>9.4</c:v>
                </c:pt>
                <c:pt idx="2">
                  <c:v>6.8</c:v>
                </c:pt>
                <c:pt idx="3">
                  <c:v>16.9</c:v>
                </c:pt>
                <c:pt idx="4">
                  <c:v>13.6</c:v>
                </c:pt>
                <c:pt idx="5">
                  <c:v>7.3</c:v>
                </c:pt>
                <c:pt idx="6">
                  <c:v>5.3</c:v>
                </c:pt>
                <c:pt idx="7">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9.4</c:v>
                </c:pt>
              </c:numCache>
            </c:numRef>
          </c:yVal>
          <c:smooth val="0"/>
        </c:ser>
        <c:ser>
          <c:idx val="1"/>
          <c:order val="1"/>
          <c:tx>
            <c:strRef>
              <c:f>Hoja1!$A$3</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4.2</c:v>
                </c:pt>
              </c:numCache>
            </c:numRef>
          </c:xVal>
          <c:yVal>
            <c:numRef>
              <c:f>Hoja1!$C$3</c:f>
              <c:numCache>
                <c:formatCode>0.0"x"</c:formatCode>
                <c:ptCount val="1"/>
                <c:pt idx="0">
                  <c:v>6.8</c:v>
                </c:pt>
              </c:numCache>
            </c:numRef>
          </c:yVal>
          <c:smooth val="0"/>
        </c:ser>
        <c:ser>
          <c:idx val="2"/>
          <c:order val="2"/>
          <c:tx>
            <c:strRef>
              <c:f>Hoja1!$A$4</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16.9</c:v>
                </c:pt>
              </c:numCache>
            </c:numRef>
          </c:yVal>
          <c:smooth val="0"/>
        </c:ser>
        <c:ser>
          <c:idx val="3"/>
          <c:order val="3"/>
          <c:tx>
            <c:strRef>
              <c:f>Hoja1!$A$5</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13.6</c:v>
                </c:pt>
              </c:numCache>
            </c:numRef>
          </c:yVal>
          <c:smooth val="0"/>
        </c:ser>
        <c:ser>
          <c:idx val="4"/>
          <c:order val="4"/>
          <c:tx>
            <c:strRef>
              <c:f>Hoja1!$A$6</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5.6</c:v>
                </c:pt>
              </c:numCache>
            </c:numRef>
          </c:xVal>
          <c:yVal>
            <c:numRef>
              <c:f>Hoja1!$C$6</c:f>
              <c:numCache>
                <c:formatCode>0.0"x"</c:formatCode>
                <c:ptCount val="1"/>
                <c:pt idx="0">
                  <c:v>7.3</c:v>
                </c:pt>
              </c:numCache>
            </c:numRef>
          </c:yVal>
          <c:smooth val="0"/>
        </c:ser>
        <c:ser>
          <c:idx val="5"/>
          <c:order val="5"/>
          <c:tx>
            <c:strRef>
              <c:f>Hoja1!$A$7</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5.5</c:v>
                </c:pt>
              </c:numCache>
            </c:numRef>
          </c:xVal>
          <c:yVal>
            <c:numRef>
              <c:f>Hoja1!$C$7</c:f>
              <c:numCache>
                <c:formatCode>0.0"x"</c:formatCode>
                <c:ptCount val="1"/>
                <c:pt idx="0">
                  <c:v>5.3</c:v>
                </c:pt>
              </c:numCache>
            </c:numRef>
          </c:yVal>
          <c:smooth val="0"/>
        </c:ser>
        <c:ser>
          <c:idx val="6"/>
          <c:order val="6"/>
          <c:tx>
            <c:strRef>
              <c:f>Hoja1!$A$8</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12.5</c:v>
                </c:pt>
              </c:numCache>
            </c:numRef>
          </c:xVal>
          <c:yVal>
            <c:numRef>
              <c:f>Hoja1!$C$8</c:f>
              <c:numCache>
                <c:formatCode>0.0"x"</c:formatCode>
                <c:ptCount val="1"/>
                <c:pt idx="0">
                  <c:v>4.7</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1107</c:v>
                </c:pt>
                <c:pt idx="1">
                  <c:v>1190</c:v>
                </c:pt>
                <c:pt idx="2">
                  <c:v>1278</c:v>
                </c:pt>
                <c:pt idx="3">
                  <c:v>1365</c:v>
                </c:pt>
                <c:pt idx="4">
                  <c:v>1427</c:v>
                </c:pt>
                <c:pt idx="5">
                  <c:v>1463</c:v>
                </c:pt>
                <c:pt idx="6">
                  <c:v>1492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6959</c:v>
                </c:pt>
                <c:pt idx="1">
                  <c:v>19305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230,05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126.04</c:v>
                </c:pt>
                <c:pt idx="1">
                  <c:v>192.38</c:v>
                </c:pt>
                <c:pt idx="2">
                  <c:v>238.97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230,05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Hoja1!$B$2:$B$7</c:f>
              <c:numCache>
                <c:formatCode>#,##0</c:formatCode>
                <c:ptCount val="6"/>
                <c:pt idx="0">
                  <c:v>147.05</c:v>
                </c:pt>
                <c:pt idx="1">
                  <c:v>132.47</c:v>
                </c:pt>
                <c:pt idx="2">
                  <c:v>161.21</c:v>
                </c:pt>
                <c:pt idx="3">
                  <c:v>126.04</c:v>
                </c:pt>
                <c:pt idx="4">
                  <c:v>223</c:v>
                </c:pt>
                <c:pt idx="5">
                  <c:v>228.9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(147,05 – 232,80)</c:v>
                </c:pt>
                <c:pt idx="1">
                  <c:v>Comparables: PER NTM (132,47 – 186,84)</c:v>
                </c:pt>
                <c:pt idx="2">
                  <c:v>DCF (WACC y g ± 0,5) (161,21 – 237,84)</c:v>
                </c:pt>
                <c:pt idx="3">
                  <c:v>Escenarios (bajista – alcista) (126,04 – 238,97)</c:v>
                </c:pt>
                <c:pt idx="4">
                  <c:v>DCF con la prima implícita del mercado (4,2 %)</c:v>
                </c:pt>
                <c:pt idx="5">
                  <c:v>Precio actual (230,05)</c:v>
                </c:pt>
              </c:strCache>
            </c:strRef>
          </c:cat>
          <c:val>
            <c:numRef>
              <c:f>Hoja1!$C$2:$C$7</c:f>
              <c:numCache>
                <c:formatCode>#,##0</c:formatCode>
                <c:ptCount val="6"/>
                <c:pt idx="0">
                  <c:v>85.75</c:v>
                </c:pt>
                <c:pt idx="1">
                  <c:v>54.370000000000005</c:v>
                </c:pt>
                <c:pt idx="2">
                  <c:v>76.63</c:v>
                </c:pt>
                <c:pt idx="3">
                  <c:v>112.92999999999999</c:v>
                </c:pt>
                <c:pt idx="4">
                  <c:v>68.87</c:v>
                </c:pt>
                <c:pt idx="5">
                  <c:v>2.299999999999983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