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Linde plc</w:t>
      </w:r>
    </w:p>
    <w:p>
      <w:pPr>
        <w:spacing w:after="60"/>
        <w:rPr>
          <w:color w:val="52514E"/>
          <w:sz w:val="22"/>
          <w:szCs w:val="22"/>
        </w:rPr>
      </w:pPr>
      <w:r>
        <w:rPr>
          <w:color w:val="52514E"/>
          <w:sz w:val="22"/>
          <w:szCs w:val="22"/>
        </w:rPr>
        <w:t xml:space="preserve">LIN · Nasdaq Global Select (Nueva York) · ISIN IE000S9YS762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492,11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475,75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-2,1 % (base +3,8 %)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239,77 USD · mercado 274,17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228.634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Linde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LIN / IE000S9YS762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(Nueva York)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Productos químicos (gases industriales)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Woking (Reino Unido) · 1879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https://www.linde.com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492,11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387,78 – 548,20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228.634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254.149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475,75 USD</w:t>
      </w:r>
      <w:r>
        <w:t xml:space="preserve"> frente a 492,11 · Rentabilidad a 12 meses </w:t>
      </w:r>
      <w:r>
        <w:rPr>
          <w:b/>
          <w:bCs/>
        </w:rPr>
        <w:t xml:space="preserve">-2,1 % (base +3,8 %)</w:t>
      </w:r>
      <w:r>
        <w:t xml:space="preserve"> · Valor intrínseco 239,77 USD · con la prima implícita del mercado: 274,17 (-44,3 %) · Alcista / bajista -56,1 % / -73,8 %</w:t>
      </w:r>
    </w:p>
    <w:p>
      <w:pPr>
        <w:spacing w:after="100"/>
      </w:pPr>
      <w:r>
        <w:rPr>
          <w:b/>
        </w:rPr>
        <w:t xml:space="preserve">La recomendación y por qué.</w:t>
      </w:r>
      <w:r>
        <w:t xml:space="preserve"> Mantener, con convicción media. Con nuestro BPA y la regla de múltiplos v3, el objetivo a 12 meses es de 475,75 USD frente a 492,11 USD de cierre del 13 de octubre: −2,1 % con el dividendo, y +3,8 % en el caso base. El valor intrínseco es mucho menor (239,77 USD, −51,3 %) y el objetivo medio de los analistas, mayor (545,14 USD). La asimetría es mala (0,32x): el bajista pierde un 25,7 % y el alcista gana un 9,7 %, porque Linde ya cotiza por encima de su PER adelantado histórico (26,7x frente a 25,4x). La convicción es media porque las cifras salen de extractos de búsqueda, no de los documentos completos; subiría si el 3T26 (29 de octubre) devuelve el margen ajustado al 29,5 % o más y la acción corrige.</w:t>
      </w:r>
    </w:p>
    <w:p>
      <w:pPr>
        <w:spacing w:after="100"/>
      </w:pPr>
      <w:r>
        <w:rPr>
          <w:b/>
        </w:rPr>
        <w:t xml:space="preserve">El negocio.</w:t>
      </w:r>
      <w:r>
        <w:t xml:space="preserve"> El mayor grupo de gases industriales del mundo (≈34.000 M USD de ventas, ≈32 % del mercado) con contratos </w:t>
      </w:r>
      <w:r>
        <w:rPr>
          <w:i/>
        </w:rPr>
        <w:t xml:space="preserve">on-site</w:t>
      </w:r>
      <w:r>
        <w:t xml:space="preserve"> a 15-20 años y el margen operativo ajustado más alto del sector (29,8 % en 2025) [1]. El ROIC del motor (11,6 %) supera al WACC (9,54 %) en solo 2,1 puntos porque incluye ≈27.900 M de fondo de comercio de la fusión de 2018; sin él, el capital operativo rinde ≈23 %. Sostenibilidad del crecimiento: </w:t>
      </w:r>
      <w:r>
        <w:rPr>
          <w:b/>
        </w:rPr>
        <w:t xml:space="preserve">en parte</w:t>
      </w:r>
      <w:r>
        <w:t xml:space="preserve">; el foso sostiene un 4-5 % anual, pero la prueba de reinversión del motor falla con ese fondo de comercio y rebajamos el base (5,5 % en 2027-2028 y margen plano en ≈38 %).</w:t>
      </w:r>
    </w:p>
    <w:p>
      <w:pPr>
        <w:spacing w:after="100"/>
      </w:pPr>
      <w:r>
        <w:rPr>
          <w:b/>
        </w:rPr>
        <w:t xml:space="preserve">Finanzas.</w:t>
      </w:r>
      <w:r>
        <w:t xml:space="preserve"> El BPA ajustado crece un 11 % anual de 2021 a 2025 (10,69 a 16,46 USD), sobre todo por margen y recompras, con ventas que solo crecen un 2,5 % anual [1, 15]. 2026 mejora (+8-9 % de ventas en el 1S26) pero el margen ajustado cayó 60 pb en el 2T26, el primer retroceso en años [6]. El capex sube al 15,5 % de las ventas y la caja libre baja a ≈5.100 M, mientras se reparten 7.400 M: la deuda neta sube a ≈23.100 M (≈1,8x el EBITDA) [9, 12].</w:t>
      </w:r>
    </w:p>
    <w:p>
      <w:pPr>
        <w:spacing w:after="100"/>
      </w:pPr>
      <w:r>
        <w:rPr>
          <w:b/>
        </w:rPr>
        <w:t xml:space="preserve">Equipo y gobierno.</w:t>
      </w:r>
      <w:r>
        <w:t xml:space="preserve"> La dirección cumple su guía de BPA cada año, pero desde enero de 2026 Sanjiv Lamba es a la vez presidente y consejero delegado [18]. El informe de remuneración tuvo un 94,42 % de apoyo [26].</w:t>
      </w:r>
    </w:p>
    <w:p>
      <w:pPr>
        <w:spacing w:after="100"/>
      </w:pPr>
      <w:r>
        <w:rPr>
          <w:b/>
        </w:rPr>
        <w:t xml:space="preserve">Valoración.</w:t>
      </w:r>
      <w:r>
        <w:t xml:space="preserve"> El DCF da 181,26 USD (227,63 USD con la prima implícita del mercado). El DCF inverso pide un crecimiento de las ventas del 16,4 % anual, cuatro veces nuestro 4,2 %: el precio es exigente. Los comparables (PER mediano de 21,8x) valen 419,62 USD; Air Liquide y Air Products cotizan a 23x y 20,6x [25, 35]. Nuestro BPA de 2028e (19,41 USD) queda un 11 % por debajo del único consenso a 2028 (21,75) porque no contamos recompras no anunciadas ni más margen.</w:t>
      </w:r>
    </w:p>
    <w:p>
      <w:pPr>
        <w:spacing w:after="100"/>
      </w:pPr>
      <w:r>
        <w:rPr>
          <w:b/>
        </w:rPr>
        <w:t xml:space="preserve">Riesgos y catalizadores.</w:t>
      </w:r>
      <w:r>
        <w:t xml:space="preserve"> El mayor riesgo es el múltiplo: si el PER adelantado vuelve a su mínimo de cinco años (23x), la acción pierde ≈20 %. Le siguen el margen (≈8 % de valor por punto de margen EBITDA) y el volumen industrial de Europa y China. Catalizadores: resultados del 3T26 (29-oct), guía de 2027 (febrero) y una posible venta del negocio de terapias a domicilio de EE. UU. Los foros están divididos y se han enfriado desde el verano (margen y valoración), en línea con nuestro bajista.</w:t>
      </w:r>
    </w:p>
    <w:p>
      <w:pPr>
        <w:spacing w:after="100"/>
      </w:pPr>
      <w:r>
        <w:rPr>
          <w:b/>
        </w:rPr>
        <w:t xml:space="preserve">Qué cambiaría la decisión.</w:t>
      </w:r>
      <w:r>
        <w:t xml:space="preserve"> Compraríamos por debajo de 239,77 USD, donde el precio ya no supera al valor intrínseco (la condición que limita es el valor intrínseco, no la rentabilidad a 12 meses). Venderíamos por encima de 535,28 USD. Pasaríamos a Vender si la guía de 2027 baja del 6 % de crecimiento del BPA o si el margen ajustado cae por debajo del 29 %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475,75 USD</w:t>
      </w:r>
      <w:r>
        <w:t xml:space="preserve"> (rentabilidad -2,1 % (base +3,8 %)) · Valor intrínseco: 239,77 USD (-51,3 % sobre 492,11) · con la prima implícita del mercado: 274,17 (-44,3 %)</w:t>
      </w:r>
    </w:p>
    <w:p>
      <w:pPr>
        <w:spacing w:after="100"/>
      </w:pPr>
      <w:r>
        <w:t xml:space="preserve">Linde es el operador de referencia de un oligopolio local: plantas en el recinto del cliente con contratos de 15-20 años y pagos mínimos, y redes de distribución que ningún entrante puede replicar con coste competitivo. Desde la fusión con Praxair ha subido su margen operativo ajustado del ≈24 % al 29,8 % y su BPA ajustado un 11 % anual, con una cartera de proyectos de ≈11.000 M que asegura volumen para 2027-2029 [1, 16].</w:t>
      </w:r>
    </w:p>
    <w:p>
      <w:pPr>
        <w:spacing w:after="100"/>
      </w:pPr>
      <w:r>
        <w:t xml:space="preserve">El precio descuenta mucho más. A 492,11 USD, el DCF inverso pide un crecimiento de las ventas del 16,4 % anual en 2027-2035, o aceptar una rentabilidad del 5,9 %, apenas por encima del bono de EE. UU. (5,22 %) [38]. Cotiza a 26,7x nuestro BPA de 2027e, por encima de su mediana adelantada de cinco años (25,4x) y con prima del 15-30 % frente a Air Liquide y Air Products [25, 35].</w:t>
      </w:r>
    </w:p>
    <w:p>
      <w:pPr>
        <w:spacing w:after="100"/>
      </w:pPr>
      <w:r>
        <w:t xml:space="preserve">El mercado acierta en la calidad y se equivoca, a nuestro juicio, en el precio que paga por ella con tipos al 5 %: para invertir hay que creer que el BPA seguirá creciendo al 8-10 % con margen al alza, justo cuando el 2T26 mostró el primer retroceso del margen en años. Con nuestro BPA sin recompras, la rentabilidad esperada a 12 meses es casi nula.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 × 17,29 = 359,63 · 26,0x × 19,41 = 504,66 · 26,0x × 20,54 = 534,04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 /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545,14 (nuestro base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 / -73,8 %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frente a 9,5 %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274,17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(4,5 % anual proyectado; financiable al ROIC actual: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239,77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239,77 y 535,28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535,28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239,77 USD: el precio quedaría por debajo del valor intrínseco y pasaría a Comprar con la regla.</w:t>
      </w:r>
    </w:p>
    <w:p>
      <w:pPr>
        <w:pStyle w:val="ListParagraph"/>
        <w:numPr>
          <w:ilvl w:val="0"/>
          <w:numId w:val="2"/>
        </w:numPr>
        <w:spacing w:after="60"/>
      </w:pPr>
      <w:r>
        <w:t xml:space="preserve">Precio por encima de 535,28 USD: la rentabilidad ponderada a 12 meses caería por debajo del −10 % y pasaríamos a Vender.</w:t>
      </w:r>
    </w:p>
    <w:p>
      <w:pPr>
        <w:pStyle w:val="ListParagraph"/>
        <w:numPr>
          <w:ilvl w:val="0"/>
          <w:numId w:val="2"/>
        </w:numPr>
        <w:spacing w:after="60"/>
      </w:pPr>
      <w:r>
        <w:t xml:space="preserve">Margen operativo ajustado por debajo del 29 % dos trimestres seguidos: revisaríamos a la baja el BPA y probablemente a Vender.</w:t>
      </w:r>
    </w:p>
    <w:p>
      <w:pPr>
        <w:pStyle w:val="ListParagraph"/>
        <w:numPr>
          <w:ilvl w:val="0"/>
          <w:numId w:val="2"/>
        </w:numPr>
        <w:spacing w:after="60"/>
      </w:pPr>
      <w:r>
        <w:t xml:space="preserve">Guía de BPA ajustado de 2027 (febrero) por debajo del 6 % de crecimiento: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Linde sigue siendo un compuesto de BPA del 8-10 % anual indefinidamente (subidas de precio, productividad, recompras y la cartera de proyectos), y que eso merece 26-28x el beneficio y un objetivo medio de 545 USD.</w:t>
      </w:r>
    </w:p>
    <w:p>
      <w:pPr>
        <w:keepNext/>
        <w:spacing w:after="100"/>
      </w:pPr>
      <w:r>
        <w:rPr>
          <w:b/>
          <w:bCs/>
        </w:rPr>
        <w:t xml:space="preserve">Lo que creemos nosotros.</w:t>
      </w:r>
    </w:p>
    <w:p>
      <w:pPr>
        <w:spacing w:after="100"/>
      </w:pPr>
      <w:r>
        <w:t xml:space="preserve">El crecimiento de ventas es del 4-5 % con contratos; el resto del BPA viene de margen (que ha dejado de subir en el 2T26) y de recompras con deuda (la deuda neta ha pasado de ≈16.800 M a ≈23.100 M). Sin ellas, el BPA crece ≈5-6 % y un PER de 26x no deja recorrido.</w:t>
      </w:r>
    </w:p>
    <w:p>
      <w:pPr>
        <w:keepNext/>
        <w:spacing w:after="100"/>
      </w:pPr>
      <w:r>
        <w:rPr>
          <w:b/>
          <w:bCs/>
        </w:rPr>
        <w:t xml:space="preserve">Por qué podemos tener razón.</w:t>
      </w:r>
    </w:p>
    <w:p>
      <w:pPr>
        <w:spacing w:after="100"/>
      </w:pPr>
      <w:r>
        <w:t xml:space="preserve">La caída de 60 pb del margen ajustado en el 2T26 y una guía del 3T26 por debajo del consenso son las primeras señales de que la palanca del precio se agota; con la tasa libre al 5,22 %, el múltiplo de 2020-2021 no tiene por qué volver.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9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Foso amplio</w:t>
      </w:r>
      <w:r>
        <w:t xml:space="preserve">: contratos </w:t>
      </w:r>
      <w:r>
        <w:rPr>
          <w:i/>
        </w:rPr>
        <w:t xml:space="preserve">on-site</w:t>
      </w:r>
      <w:r>
        <w:t xml:space="preserve"> a 15-20 años con pagos mínimos y densidad local [1].</w:t>
      </w:r>
    </w:p>
    <w:p>
      <w:pPr>
        <w:pStyle w:val="ListParagraph"/>
        <w:numPr>
          <w:ilvl w:val="0"/>
          <w:numId w:val="2"/>
        </w:numPr>
        <w:spacing w:after="60"/>
      </w:pPr>
      <w:r>
        <w:rPr>
          <w:b/>
        </w:rPr>
        <w:t xml:space="preserve">Margen líder</w:t>
      </w:r>
      <w:r>
        <w:t xml:space="preserve">: 29,8 % de margen operativo ajustado en 2025, por encima de los rivales [1].</w:t>
      </w:r>
    </w:p>
    <w:p>
      <w:pPr>
        <w:pStyle w:val="ListParagraph"/>
        <w:numPr>
          <w:ilvl w:val="0"/>
          <w:numId w:val="2"/>
        </w:numPr>
        <w:spacing w:after="60"/>
      </w:pPr>
      <w:r>
        <w:rPr>
          <w:b/>
        </w:rPr>
        <w:t xml:space="preserve">Cartera de proyectos</w:t>
      </w:r>
      <w:r>
        <w:t xml:space="preserve"> de ≈11.000 M, +39 % en seis meses, con la electrónica en cabeza [16].</w:t>
      </w:r>
    </w:p>
    <w:p>
      <w:pPr>
        <w:pStyle w:val="ListParagraph"/>
        <w:numPr>
          <w:ilvl w:val="0"/>
          <w:numId w:val="2"/>
        </w:numPr>
        <w:spacing w:after="60"/>
      </w:pPr>
      <w:r>
        <w:rPr>
          <w:b/>
        </w:rPr>
        <w:t xml:space="preserve">Historial de cumplimiento</w:t>
      </w:r>
      <w:r>
        <w:t xml:space="preserve">: BPA ajustado de 10,69 a 16,46 USD en 2021-2025, dentro de la guía cada año [1, 15].</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16,4 % de crecimiento anual de las ventas frente a nuestro 4,2 %.</w:t>
      </w:r>
    </w:p>
    <w:p>
      <w:pPr>
        <w:pStyle w:val="ListParagraph"/>
        <w:numPr>
          <w:ilvl w:val="0"/>
          <w:numId w:val="2"/>
        </w:numPr>
        <w:spacing w:after="60"/>
      </w:pPr>
      <w:r>
        <w:rPr>
          <w:b/>
        </w:rPr>
        <w:t xml:space="preserve">Valor intrínseco</w:t>
      </w:r>
      <w:r>
        <w:t xml:space="preserve"> de 239,77 USD, un 51,3 % por debajo del precio.</w:t>
      </w:r>
    </w:p>
    <w:p>
      <w:pPr>
        <w:pStyle w:val="ListParagraph"/>
        <w:numPr>
          <w:ilvl w:val="0"/>
          <w:numId w:val="2"/>
        </w:numPr>
        <w:spacing w:after="60"/>
      </w:pPr>
      <w:r>
        <w:rPr>
          <w:b/>
        </w:rPr>
        <w:t xml:space="preserve">Margen a la baja</w:t>
      </w:r>
      <w:r>
        <w:t xml:space="preserve">: −60 pb interanual en el 2T26, el primer retroceso en años [6].</w:t>
      </w:r>
    </w:p>
    <w:p>
      <w:pPr>
        <w:pStyle w:val="ListParagraph"/>
        <w:numPr>
          <w:ilvl w:val="0"/>
          <w:numId w:val="2"/>
        </w:numPr>
        <w:spacing w:after="60"/>
      </w:pPr>
      <w:r>
        <w:rPr>
          <w:b/>
        </w:rPr>
        <w:t xml:space="preserve">Recompras con deuda</w:t>
      </w:r>
      <w:r>
        <w:t xml:space="preserve">: 7.400 M devueltos en 2025 frente a ≈5.100 M de caja libre [1, 9].</w:t>
      </w:r>
    </w:p>
    <w:p>
      <w:pPr>
        <w:pStyle w:val="ListParagraph"/>
        <w:numPr>
          <w:ilvl w:val="0"/>
          <w:numId w:val="2"/>
        </w:numPr>
        <w:spacing w:after="60"/>
      </w:pPr>
      <w:r>
        <w:rPr>
          <w:b/>
        </w:rPr>
        <w:t xml:space="preserve">Asimetría a 12 meses</w:t>
      </w:r>
      <w:r>
        <w:t xml:space="preserve"> de 0,32x: −25,7 % en el bajista frente a +9,7 % en el alcista.</w:t>
      </w:r>
    </w:p>
    <w:p>
      <w:pPr>
        <w:pStyle w:val="Heading2"/>
      </w:pPr>
      <w:r>
        <w:t xml:space="preserve">Qué tiene que pasar para que la tesis funcione</w:t>
      </w:r>
    </w:p>
    <w:p>
      <w:pPr>
        <w:spacing w:after="100"/>
      </w:pPr>
      <w:r>
        <w:t xml:space="preserve">La tesis del mercado depende de que el margen operativo ajustado vuelva a subir y de que el BPA crezca al 8 % o más sin cargar más deuda. La señal de que no se cumple: un margen ajustado por debajo del 29 % en el 3T26 o el 4T26, o una guía de BPA para 2027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29 %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del BPA desde la fusión.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sin divisa ni 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proyectos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volumen de 2027-2029.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28x (vender) o &lt; 21x (revisar compra)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rentabilidad a 12 meses depende del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33,7x / 25,6x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Linde nace en 1879 en Alemania (Carl von Linde, licuación del aire); Praxair, su socio de la fusión, es la antigua Linde Air Products de Union Carbide, independiente desde 1992. En 2006 Linde AG compra BOC y se convierte en el mayor grupo de gases del mundo. En octubre de 2018 Linde AG y Praxair se fusionan en Linde plc, con sede legal en Irlanda y gestión en EE. UU., bajo la dirección de Steve Angel (ex Praxair), que aplica la disciplina de precios y productividad de Praxair al perímetro de Linde. Sanjiv Lamba es consejero delegado desde marzo de 2022 y presidente desde el 31-ene-26. En 2023 la acción deja la bolsa de Fráncfort y la de Nueva York para cotizar solo en Nasdaq [17,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 von Linde funda la Gesellschaft für Linde's Eismaschinen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AG compra BOC Group, a ≈10,9x el EBITDA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Praxair: nace Linde plc; venta de activos exigida por los reguladores en EE. UU. y Europa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Sanjiv Lamba sucede a Steve Angel como consejero delegado; salida de Rusia con la pérdida del proyecto Amur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Fráncfort y de la Bolsa de Nueva York; cotiza solo en Nasdaq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Lamba asume también la presidencia (31-ene); contrato y ampliación de ≈1.000 M en Phoenix para un fabricante de semiconductores [18, 21].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Linde es el mayor grupo de gases industriales del mundo: oxígeno, nitrógeno, argón, hidrógeno, helio, CO₂ y gases especiales y ultrapuros, con ≈34.000 M USD de ventas en 2025 [1]. Vende por tres vías: suministro </w:t>
      </w:r>
      <w:r>
        <w:rPr>
          <w:i/>
        </w:rPr>
        <w:t xml:space="preserve">on-site</w:t>
      </w:r>
      <w:r>
        <w:t xml:space="preserve"> (plantas en el recinto del cliente con contratos de 15-20 años y pagos mínimos garantizados), gas a granel en camión cisterna (contratos de 3-7 años) y botellas para miles de clientes pequeños. Los clientes son química y refino, electrónica (semiconductores), sanidad (oxígeno medicinal y terapias a domicilio), manufactura, metalurgia y alimentación. Tiene además una ingeniería propia (Linde Engineering) que diseña plantas de separación de aire, hidrógeno y GNL para terceros y para el grupo. Se organiza en Américas, EMEA, APAC e Ingeniería; en el 4T25 Américas vendió 3.884 M, EMEA 2.178 M, APAC 1.726 M e Ingeniería 615 M [1].</w:t>
      </w:r>
    </w:p>
    <w:p>
      <w:pPr>
        <w:pStyle w:val="Heading2"/>
      </w:pPr>
      <w:r>
        <w:t xml:space="preserve">Cómo gana dinero</w:t>
      </w:r>
    </w:p>
    <w:p>
      <w:pPr>
        <w:spacing w:after="100"/>
      </w:pPr>
      <w:r>
        <w:t xml:space="preserve">El gas es un negocio local (no compensa transportarlo más de ≈300 km), de densidad: quien tiene la planta y la red de distribución en una región gana a los demás en coste. Los contratos </w:t>
      </w:r>
      <w:r>
        <w:rPr>
          <w:i/>
        </w:rPr>
        <w:t xml:space="preserve">on-site</w:t>
      </w:r>
      <w:r>
        <w:t xml:space="preserve"> repercuten la energía al cliente y fijan cuotas mínimas, así que el beneficio es muy estable; en granel y botellas el margen depende de subir precios por encima de la inflación, cosa que Linde lleva haciendo desde la fusión (margen operativo ajustado del ≈24 % al 29,8 %) [1, 9]. El volumen sigue a la producción industrial, y la electrónica y la sanidad lo amortiguan. La ingeniería tiene márgenes menores (≈17 %) y añade cartera de proyectos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subyacentes +2 % en 2025 (precio y volumen, sin divisa ni energía repercutida)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 (2025); 29,5 %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pb; −60 pb interanual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retroceso interanual del margen ajustado en años: inflación de costes y el negocio de terapias respiratorias a domicilio de EE. UU.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Excluye la amortización de la contabilidad de la compra de Linde AG y cargos por reestructuración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proyectos (backlog)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 M USD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de suministro *on-site* con contratos a 15-20 años; incluye la ampliación de ≈1.000 M en Phoenix para un fabricante de semiconductores [4, 6,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5.261 M (15,5 % de las ventas), el más alto de la serie, por los proyectos de la cartera [9].</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gases industriales (atmosféricos, de proceso y especiales, todas las vías de suministro). Las estimaciones de las consultoras van de ≈105.800 M USD (Market Research Future) a ≈115.500 M USD (otra agregadora) para 2025; se usa ≈107.000 M (Vyansa Intelligence), en medio de ambas [22,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≈107.200 M USD en 2025 (Vyansa Intelligence)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industrial (química, metal, manufactura)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subyacente de Linde plano en 2024-2025 con la industria débil en Europa y China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Semiconductores (gases ultrapuros)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y ampliación de ≈1.000 M en Phoenix en 2026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 y captura de carbono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con contrato firmado en la cartera de ≈11.000 M; ritmo dependiente de subvenciones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Sanidad (oxígeno medicinal, terapias a domicilio)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negocio de terapias a domicilio de EE. UU. lastró el margen en el 2T26 y está en revisión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grandes y mercados locales: márgenes al alza durante años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*on-site* a 15-20 años con pagos mínimos; en botellas, clientes muy atomizados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energía es el gran coste y se repercute en los contratos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redes de tuberías y logística con densidad local: un entrante no tiene coste competitivo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sustituto para el oxígeno, el nitrógeno o el argón; la autoproducción solo compensa a clientes enormes [9].</w:t>
            </w:r>
          </w:p>
        </w:tc>
      </w:tr>
    </w:tbl>
    <w:p>
      <w:pPr>
        <w:spacing w:after="160" w:before="0"/>
      </w:pPr>
    </w:p>
    <w:p>
      <w:pPr>
        <w:pStyle w:val="Heading2"/>
      </w:pPr>
      <w:r>
        <w:t xml:space="preserve">Ciclo</w:t>
      </w:r>
    </w:p>
    <w:p>
      <w:pPr>
        <w:spacing w:after="100"/>
      </w:pPr>
      <w:r>
        <w:t xml:space="preserve">El volumen industrial lleva dos años plano y empieza a mejorar en 2026 (+3-4 % subyacente en el 1S26) [1]. En 2009 y 2020 los gases cayeron mucho menos que la industria gracias a los contratos con pagos mínimos y a la sanidad.</w:t>
      </w:r>
    </w:p>
    <w:p>
      <w:pPr>
        <w:pStyle w:val="Heading2"/>
      </w:pPr>
      <w:r>
        <w:t xml:space="preserve">Regulación</w:t>
      </w:r>
    </w:p>
    <w:p>
      <w:pPr>
        <w:spacing w:after="100"/>
      </w:pPr>
      <w:r>
        <w:t xml:space="preserve">Subvenciones a hidrógeno limpio y captura de carbono (créditos fiscales 45V y 45Q en EE. UU.) que sostienen parte de la cartera; precio del CO₂ en Europa, que encarece la energía; y regulación sanitaria de las terapias a domicilio en EE. UU. [1, 22].</w:t>
      </w:r>
    </w:p>
    <w:p>
      <w:pPr>
        <w:pStyle w:val="Heading2"/>
      </w:pPr>
      <w:r>
        <w:t xml:space="preserve">Tendencias y disrupción</w:t>
      </w:r>
    </w:p>
    <w:p>
      <w:pPr>
        <w:spacing w:after="100"/>
      </w:pPr>
      <w:r>
        <w:t xml:space="preserve">La electrónica (fábricas de chips en EE. UU., Taiwán y Corea) es el motor de crecimiento más claro; el hidrógeno avanza más despacio de lo prometido. Linde gana con ambos porque firma contratos antes de invertir [1, 21].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gases industriales (≈34.000 M de ventas sobre un mercado de ≈107.000 M); por delante de Air Liquide y Air Products [1,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Liquide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2; fuerte en Europa y en EE. UU. tras comprar Airgas (2016)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Products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APD</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3; apuesta por megaproyectos de hidrógeno, con pérdidas contables por deterioros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Sanso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4091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4; compró el negocio europeo de Praxair en 2018-19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Messer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Familiar; compró activos de Linde y Praxair en América en 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de tuberías que conectan varias plantas y clientes en los polos químicos: cada cliente nuevo abarata el suministro a los demás.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en el recinto del cliente con contratos de 15-20 años y pagos mínimos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separación de aire e hidrógeno (Linde Engineering).</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29,8 %, por encima de los rivales, por densidad y productividad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locales que solo admiten uno o dos proveedores rentables [7].</w:t>
            </w:r>
          </w:p>
        </w:tc>
      </w:tr>
    </w:tbl>
    <w:p>
      <w:pPr>
        <w:spacing w:after="160" w:before="0"/>
      </w:pPr>
    </w:p>
    <w:p>
      <w:pPr>
        <w:pStyle w:val="Heading2"/>
      </w:pPr>
      <w:r>
        <w:t xml:space="preserve">Amenazas</w:t>
      </w:r>
    </w:p>
    <w:p>
      <w:pPr>
        <w:spacing w:after="100"/>
      </w:pPr>
      <w:r>
        <w:t xml:space="preserve">La amenaza no es un competidor sino la demanda: si la industria química europea sigue cerrando plantas, Linde pierde volumen de granel y botellas, y el hidrógeno puede dejar activos poco usados si fallan las subvenciones. El negocio de terapias a domicilio en EE. UU. depende de tarifas públicas.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Crecimiento anual compuesto 2021-2025: ingresos </w:t>
      </w:r>
      <w:r>
        <w:rPr>
          <w:b/>
          <w:bCs/>
        </w:rPr>
        <w:t xml:space="preserve">2,5 %</w:t>
      </w:r>
      <w:r>
        <w:t xml:space="preserve">, EBITDA </w:t>
      </w:r>
      <w:r>
        <w:rPr>
          <w:b/>
          <w:bCs/>
        </w:rPr>
        <w:t xml:space="preserve">7,2 %</w:t>
      </w:r>
      <w:r>
        <w:t xml:space="preserve">, BPA </w:t>
      </w:r>
      <w:r>
        <w:rPr>
          <w:b/>
          <w:bCs/>
        </w:rPr>
        <w:t xml:space="preserve">18,8 %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apenas se mueven en cinco años (30.793 M en 2021, 33.986 M en 2025: +2,5 % anual) porque el gas de Linde repercute el coste de la energía y la divisa: lo que crece es el margen. El EBIT publicado pasa de 4.984 M a 8.923 M, sobre todo porque se agota la amortización de los intangibles de la fusión con Praxair (amortizaciones de 4.635 M en 2021 frente a 3.763 M en 2025) y porque el margen operativo ajustado sube del ≈24 % al 29,8 % con subidas de precio por encima de la inflación de costes y productividad [1, 2, 3, 7]. En 2025 el crecimiento subyacente fue del 2 % y el BPA ajustado creció un 6 % (16,46 USD), con recompras de ≈1,6 % del capital al año [1, 9]. En 2026 la tendencia mejora en ventas (+8 % y +9 % en el 1T y el 2T, con 2 puntos de divisa y 1 de compras) pero el margen ajustado cede 60 pb en el 2T26 (29,5 %) [5, 6].</w:t>
      </w:r>
    </w:p>
    <w:p>
      <w:pPr>
        <w:pStyle w:val="Heading2"/>
      </w:pPr>
      <w:r>
        <w:t xml:space="preserve">Ajustes y partidas no recurrentes</w:t>
      </w:r>
    </w:p>
    <w:p>
      <w:pPr>
        <w:spacing w:after="100"/>
      </w:pPr>
      <w:r>
        <w:t xml:space="preserve">Linde publica un BPA ajustado que excluye la amortización de la contabilidad de la compra de Linde AG (777 M en 2025: amortización publicada de 3.763 M frente a 2.986 M ajustada) y cargos de reestructuración y otros (≈437 M en 2025, ≈160 M en 2024). El beneficio operativo ajustado fue de 10.137 M en 2025 y 9.720 M en 2024, frente a 8.923 M y 8.635 M publicados [3, 4]. La amortización de la fusión es contable y no consume caja: por eso el informe usa el BPA ajustado para el PER y el objetivo a 12 meses. Los cargos de reestructuración se repiten casi todos los años (programas de costes), así que no se tratan como no recurrentes en el EBITDA. El BAI de 2022-2024 es beneficio neto total más impuestos (incluye el resultado de participadas, pequeño).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2T26 (31-jul) Linde vendió 9.289 M (+9 %; +4 % subyacente) y ganó 4,50 USD por acción ajustada (+10 %), por encima del consenso, pero el margen operativo ajustado bajó 60 pb, al 29,5 %, por la inflación de costes [5, 6]. El consejero delegado señaló al negocio de terapias respiratorias a domicilio de EE. UU. como el lastre del margen y dijo que se revisa si «se gana su sitio en la cartera» [6]. La guía de 2026 se estrechó a 17,70-17,90 USD (solo sube la parte baja) y la del 3T26 (4,45-4,55 USD) quedó por debajo de los 4,59 USD que esperaba el consenso; la acción cayó un 6 % el día [6]. En el 1T26 (1-may) el mensaje era más cómodo: +8 % de ventas, +10 % de BPA y guía de 17,60-17,90 USD [5]. Entre una y otra conferencia crece la cartera de proyectos (de ≈7.900 M a ≈11.000 M), con contratos de electrónica (gases ultrapuros, Phoenix) [6, 16]. Las preguntas se centraron en el margen y en la debilidad del volumen industrial; la dirección no cuantificó el efecto del negocio de terapias a domicilio.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Linde se ha endeudado para pagar recompras y capex a la vez: la deuda neta pasa de ≈16.800 M a finales de 2024 a ≈21.900 M a finales de 2025 y ≈23.100 M en junio de 2026, mientras el flujo operativo (10.350 M) no cubre capex (5.261 M), dividendos (2.811 M) y recompras (4.578 M) [9, 10, 12]. Con ≈1,7 veces el EBITDA, la deuda sigue siendo moderada para un negocio de contratos a largo plazo. Las partidas de circulante no se obtuvieron de fuente legible.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27.863</w:t>
      </w:r>
      <w:r>
        <w:t xml:space="preserve">, conversión </w:t>
      </w:r>
      <w:r>
        <w:rPr>
          <w:b/>
          <w:bCs/>
        </w:rPr>
        <w:t xml:space="preserve">101 %</w:t>
      </w:r>
      <w:r>
        <w:t xml:space="preserve"> del beneficio neto; adquisiciones 0, dividendos 7.655, recompras 13.591.</w:t>
      </w:r>
    </w:p>
    <w:p>
      <w:pPr>
        <w:spacing w:after="100"/>
      </w:pPr>
      <w:r>
        <w:t xml:space="preserve">El flujo operativo crece de 9.725 M (2021) a 10.350 M (2025), pero el capex se dispara de 3.086 M a 5.261 M (del 10 % al 15,5 % de las ventas) por la cartera de proyectos </w:t>
      </w:r>
      <w:r>
        <w:rPr>
          <w:i/>
        </w:rPr>
        <w:t xml:space="preserve">on-site</w:t>
      </w:r>
      <w:r>
        <w:t xml:space="preserve"> (electrónica, energía limpia, química en EE. UU.), así que la caja libre baja de ≈6.600 M a ≈5.100 M [9, 13]. El capex de mantenimiento no lo publica la empresa; estimación propia: ≈8-9 % de las ventas (cerca de la amortización ajustada, 2.986 M); el resto es crecimiento con contrato firmado. Linde reparte más de lo que genera: 7.389 M a los accionistas en 2025 frente a 5.089 M de caja libre, con más deuda [1, 9].</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en US GAAP llevan una amortización de los intangibles de la fusión con Praxair (777 M en 2025) que la empresa excluye en su BPA ajustado; es contable y decreciente, y no esconde gasto de caja. Los cargos de «reducción de costes y otros» (≈437 M en 2025) sí se repiten casi cada año, así que el BPA ajustado sobrestima algo el beneficio recurrente (≈0,7 USD por acción en 2025) [3, 4]. Los intereses se capitalizan en los proyectos en construcción, lo que rebaja el gasto financiero contable (255 M sobre ≈24.000 M de deuda media). El balance de 2021-2023 está incompleto en este informe, así que el motor no puede calcular Altman, Piotroski ni Beneish con todos los años: no hay señal contable de alarma en lo leído, pero la comprobación es parcial.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que excluye cargos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y otros cargos todos los años (≈160-440 M); el ajuste de la fusión sí es legítimo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Reparto por encima de la caja libre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y recompras de 7.389 M en 2025 frente a 5.089 M de caja libre: la deuda neta sube ≈5.000 M en un año [9, 12].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4,9 % · </w:t>
      </w:r>
      <w:r>
        <w:rPr>
          <w:b/>
          <w:bCs/>
        </w:rPr>
        <w:t xml:space="preserve">WACC</w:t>
      </w:r>
      <w:r>
        <w:t xml:space="preserve">: 9,5 %.</w:t>
      </w:r>
    </w:p>
    <w:p>
      <w:pPr>
        <w:spacing w:after="100"/>
      </w:pPr>
      <w:r>
        <w:t xml:space="preserve">El ROIC que calcula el motor (11,6 % en 2025) está a ≈2 puntos del WACC (9,54 %), pero mide sobre un capital con ≈27.900 M de fondo de comercio de la fusión de 2018, hecha por canje de acciones. Sin ese fondo de comercio, el rendimiento del capital operativo es ≈23 % (NOPAT ajustado de ≈7.760 M sobre ≈33.700 M; estimación propia), muy por encima de los competidores: Air Products tiene pérdidas contables por los deterioros de hidrógeno [25]. Lo mueve el margen (subidas de precio y productividad: margen ajustado del ≈24 % al 29,8 % desde la fusión), no la rotación. El ROIC incremental del motor (4,9 %) no es interpretable porque compara un EBIT de 2021 hundido por la amortización de la compra. Para el accionista que compra hoy, el ROIC relevante es el de la primera medida: ≈2 puntos sobre el WACC, menos de los 5 que pide la regla de compra.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23.115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4.898 M a 30-jun-26 y dos líneas de crédito sin disponer de 5.000 M y 1.500 M [10, 11].</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La deuda bruta sube de 21.623 M (2024) a 26.989 M (2025) y 28.013 M (jun-26), de los que 4.531 M son papel comercial; en el 1S26 emitió 1.600 M EUR en bonos y amortizó 725 M USD [10, 11, 12]. La deuda neta queda en ≈23.100 M, ≈1,7 veces el EBITDA ajustado [12]. El coste contable es muy bajo (gasto por intereses neto de 255 M en 2025, ≈1 % de la deuda media) porque buena parte de la deuda es en euros, emitida a tipos bajos, y porque los intereses se capitalizan en los proyectos. Pensiones, provisiones y litigios (Amur en Rusia) no se pudieron leer en las notas del 10-K.</w:t>
      </w:r>
    </w:p>
    <w:p>
      <w:pPr>
        <w:pStyle w:val="Heading1"/>
      </w:pPr>
      <w:r>
        <w:t xml:space="preserve">12. Asignación de capital</w:t>
      </w:r>
    </w:p>
    <w:p>
      <w:pPr>
        <w:pStyle w:val="Confianza"/>
        <w:spacing w:after="100"/>
      </w:pPr>
      <w:r>
        <w:t xml:space="preserve">Confianza: Media</w:t>
      </w:r>
    </w:p>
    <w:p>
      <w:pPr>
        <w:spacing w:after="100"/>
      </w:pPr>
      <w:r>
        <w:t xml:space="preserve">Dividendo creciente (6,00 USD en 2025, 1,60 USD al trimestre en 2026, +7 %) y recompras de ≈4.500 M al año; la prioridad declarada es invertir en proyectos con contrato (cartera de ≈11.000 M) y después devolver el resto [1, 6, 14]. En 2025 devolvió 7.400 M (dividendo 2.811 M y recompras 4.578 M) [1,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Praxair-Linde AG (Linde plc)</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≈24 % al 29,8 % en siete años; fondo de comercio de ≈27.900 M sin deterioros relevantes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nexAir y compras pequeñas de distribución de gases (EE. UU.)</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Aportan ≈1 punto de crecimiento en 2026 [5, 6].</w:t>
            </w:r>
          </w:p>
        </w:tc>
      </w:tr>
    </w:tbl>
    <w:p>
      <w:pPr>
        <w:spacing w:after="160" w:before="0"/>
      </w:pPr>
    </w:p>
    <w:p>
      <w:pPr>
        <w:spacing w:after="100"/>
      </w:pPr>
      <w:r>
        <w:t xml:space="preserve">Buena asignadora de capital: los proyectos tienen contratos </w:t>
      </w:r>
      <w:r>
        <w:rPr>
          <w:i/>
        </w:rPr>
        <w:t xml:space="preserve">take-or-pay</w:t>
      </w:r>
      <w:r>
        <w:t xml:space="preserve"> a 15-20 años, el margen ha subido seis puntos desde la fusión y el número de acciones baja un 10 % en cinco años (522 M diluidas en 2021, 465 M en 2026) [1, 9]. El matiz es reciente: en 2025-26 se recompra con deuda a la vez que el capex sube al 15 % de las ventas, y la deuda neta pasa de 1,3 a 1,7 veces el EBITDA. El retorno del capital nuevo dependerá de proyectos de electrónica y de hidrógeno y química en EE. UU., algunos con calendario incierto.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Sanjiv Lamba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Linde/BOC desde 1989; dirigió APAC y fue director de operaciones antes de suceder a Steve Angel como consejero delegado en marzo de 2022; presidente desde el 31-ene-26 [18, 27]. Con él, el BPA ajustado ha pasado de 12,59 USD (2022) a 16,46 USD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J. White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de Praxair en áreas de negocio; director financiero de Linde desde 2021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L.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presidente y consejero delegado de Chemtura; consejero coordinador que respaldó unir presidencia y dirección en 2026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ajustado de febrero de 2023, elevada durante el año (rango no verificado en fuente legible)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14,20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ajustado de febrero de 2024 (rango no verificado en fuente legible)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15,51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BPA ajustado de febrero de 2025 (rango no verificado en fuente legible)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16,46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17,40-17,90 USD (feb-26), 17,70-17,90 (jul-26)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(1S26: 8,83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heredero de la cultura de Praxair (precio, productividad y disciplina en los proyectos con contrato). Lamba ha cumplido la guía de BPA cada año desde 2022, aunque con ayuda de recompras y en la parte media-baja del rango en 2024 [1, 6]. Desde enero de 2026 concentra presidencia y dirección, lo que resta contrapeso; el consejo lo compensa con un consejero independiente coordinador [18]. No hay plan de sucesión público.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informe de remuneración se aprobó en la junta del 28-jul-26 con un 94,42 % a favor y un 4,94 % en contra [26]. Según el </w:t>
      </w:r>
      <w:r>
        <w:rPr>
          <w:i/>
        </w:rPr>
        <w:t xml:space="preserve">proxy</w:t>
      </w:r>
      <w:r>
        <w:t xml:space="preserve"> de 2026, el variable a largo plazo combina acciones por objetivos de rentabilidad sobre el capital y de rentabilidad total para el accionista frente al S&amp;P 500 con opciones; el detalle de la tabla de remuneración no se pudo leer [28].</w:t>
      </w:r>
    </w:p>
    <w:p>
      <w:pPr>
        <w:pStyle w:val="Heading2"/>
      </w:pPr>
      <w:r>
        <w:t xml:space="preserve">Operaciones vinculadas, estructura de control y defensas</w:t>
      </w:r>
    </w:p>
    <w:p>
      <w:pPr>
        <w:spacing w:after="100"/>
      </w:pPr>
      <w:r>
        <w:t xml:space="preserve">Capital disperso, sin accionista de control y con una acción, un voto (sociedad irlandesa sujeta a la normativa de OPA irlandesa). En la junta de 2026 estuvo representado el 85,65 % del capital y se reeligieron los nueve consejeros [26]. La unión de presidencia y dirección desde enero de 2026 es la principal debilidad de gobierno; la contrapesa un consejero independiente coordinador [18].</w:t>
      </w:r>
    </w:p>
    <w:p>
      <w:pPr>
        <w:pStyle w:val="Heading2"/>
      </w:pPr>
      <w:r>
        <w:t xml:space="preserve">Señales de alerta</w:t>
      </w:r>
    </w:p>
    <w:p>
      <w:pPr>
        <w:pStyle w:val="ListParagraph"/>
        <w:numPr>
          <w:ilvl w:val="0"/>
          <w:numId w:val="2"/>
        </w:numPr>
        <w:spacing w:after="60"/>
      </w:pPr>
      <w:r>
        <w:t xml:space="preserve">Presidencia y dirección unidas en Sanjiv Lamba desde el 31-ene-26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(31-jul-26): BPA ajustado de 17,70-17,90 USD (+8 % a +9 %), estrechada desde 17,60-17,90 (1-may) y 17,40-17,90 (5-feb); incluye ≈1 punto de divisa favorable. Para el 3T26, 4,45-4,55 USD (+6 % a +8 %), por debajo de los 4,59 USD que esperaba el consenso [1, 5, 6]. La empresa no tiene un plan a medio plazo con cifras más allá del objetivo de crecer el BPA ajustado a dos cifras «en el ciclo» y de la cartera de proyectos (≈11.000 M)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jul-26)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jul-26)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KeyCorp (una sola casa, sep-26)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600,00</w:t>
            </w:r>
          </w:p>
        </w:tc>
      </w:tr>
    </w:tbl>
    <w:p>
      <w:pPr>
        <w:spacing w:after="160" w:before="0"/>
      </w:pPr>
    </w:p>
    <w:p>
      <w:pPr>
        <w:pStyle w:val="Heading2"/>
      </w:pPr>
      <w:r>
        <w:t xml:space="preserve">Revisiones de estimaciones</w:t>
      </w:r>
    </w:p>
    <w:p>
      <w:pPr>
        <w:spacing w:after="100"/>
      </w:pPr>
      <w:r>
        <w:t xml:space="preserve">El BPA de 2026 apenas se ha movido en el año (17,85-17,89 USD en los proveedores, dentro de la guía). Tras el 2T26 el consenso del 3T26 quedó por encima de la guía (4,59 frente a 4,45-4,55 USD), así que cabe un ligero recorte. Los objetivos de precio han bajado algo: 548,67 USD de media a finales de julio, 545,14 en septiembre (MarketBeat) y 544,30 en Yahoo en octubre; KeyCorp subió a «compra fuerte» en septiembre [29, 30, 31, 32]. Solo hay una fuente con estimaciones completas a tres años, y sin ingresos ni EBITDA: los múltiplos de los próximos 12 meses se calculan solo sobre el BPA.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3" name="Gráfico 13"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60" w:before="0"/>
      </w:pPr>
    </w:p>
    <w:p>
      <w:pPr>
        <w:spacing w:after="100"/>
      </w:pPr>
      <w:r>
        <w:t xml:space="preserve">Rentabilidades de precio calculadas con los cierres de cada año (346,43 USD en 2021, 326,18 en 2022, 410,71 en 2023, 418,67 en 2024, 426,39 en 2025) y el cierre del 13-oct-26 (492,11) [33, 34]. Tras dos años planos (2024-2025) por el estancamiento del volumen industrial y la caída del 4T25 hasta ≈388 USD, la acción sube un 15 % en 2026 con la mejora de las ventas, el máximo de 548 USD en primavera y una corrección del 6 % tras el 2T26 por el margen [21, 31, 34]. Sin acceso a series diarias, no se calculan beta, volatilidad ni caída máxima.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Con el BPA publicado (US GAAP) el PER parece caro (≈34x el de 2025), pero está inflado por la amortización de la compra de Linde AG. En base ajustada, el PER adelantado (cierre del año ÷ BPA ajustado del año siguiente) ha ido de 23,0x (2022) a 27,5x (2021), con una mediana de 25,4x en 2020-2024 [1, 15, 33, 34]. Hoy cotiza a 26,7x nuestro BPA de 2027e: ligeramente por encima de su historia, sin descuento que recuperar. Lo estructural no ha cambiado (contratos, poder de precios), pero la tasa libre ha subido del ≈1,5 % de 2020-2021 al 5,2 %, lo que debería pesar sobre el múltiplo.</w:t>
      </w:r>
    </w:p>
    <w:p>
      <w:pPr>
        <w:pStyle w:val="Heading1"/>
      </w:pPr>
      <w:r>
        <w:t xml:space="preserve">18. Comparables cotizados</w:t>
      </w:r>
    </w:p>
    <w:p>
      <w:pPr>
        <w:pStyle w:val="Confianza"/>
        <w:spacing w:after="100"/>
      </w:pPr>
      <w:r>
        <w:t xml:space="preserve">Confianza: Baja</w:t>
      </w:r>
    </w:p>
    <w:p>
      <w:pPr>
        <w:spacing w:after="100"/>
      </w:pPr>
      <w:r>
        <w:t xml:space="preserve">Los otros grandes de gases industriales (Air Liquide, Air Products, Nippon Sanso) y Atlas Copco como industrial de calidad con negocio de servicio recurrente. Solo se pudo obtener el PER de los próximos 12 meses de cada uno, de fechas distintas (marzo-octubre de 2026); el resto de múltiplos queda sin dato.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Liquide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Products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Sanso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Atlas Copco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 / 21,8x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Linde cotiza a ≈26-27x el BPA de los próximos 12 meses, con prima frente a Air Liquide (23x), Air Products (20,6x, con deterioros por los proyectos de hidrógeno) y Nippon Sanso (16,2x), y por debajo de un industrial de calidad como Atlas Copco (28,3x) [25, 35, 36, 37]. La prima frente a los otros gases (≈15-30 %) la justifican el margen más alto del sector (29,8 % ajustado), el historial de cumplimiento de la guía y la disciplina de no invertir sin contrato. Los datos de los comparables son de fechas distintas y solo PER; el valor implícito por comparables (mediana ≈21,8x) queda muy por debajo del precio y se pondera un 25 %.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Airgas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13,4x el EBITDA de los últimos 12 meses; ≈10,5x con 300 M de sinergias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2007-01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gases de BOC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Products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Tabla de precedentes de Air Products (fuente parcial: presentación de un oferente)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2006-09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BOC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Misma fuente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2004-05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Messer Griesheim (parte)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 fuente [20].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 (10,0x – 11,5x)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218,13 – 259,77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Las compras de gases industriales se han pagado a 10-13x el EBITDA, por debajo de los ≈18x a que cotiza Linde hoy: el mercado paga a Linde más que lo que se pagó por el control de los rivales. Las operaciones son antiguas (solo Airgas cae en los últimos diez años) y Linde, con ≈229.000 M de capitalización, no es objetivo de compra verosímil; no pesan en la valoración [20, 24].</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2,5 % anual de 2021 a 2025, con el volumen plano y la energía repercutida a la baja [1, 2]. En 2026 crecen un 8-9 % (2 puntos de divisa y 1 de compras) y se fija un 7,5 % [5, 6]. Después, 5,5 % en 2027-2028 (3 puntos de volumen apoyados en la cartera de ≈11.000 M de proyectos con contrato y 2,5 de precio, en línea con la historia), bajando al 3 % en 2034-2035. Es más que la historia reciente porque la cartera ha crecido un 39 % en seis meses y entra en producción en 2027-2029 [16].</w:t>
      </w:r>
    </w:p>
    <w:p>
      <w:pPr>
        <w:keepNext/>
        <w:spacing w:after="100"/>
      </w:pPr>
      <w:r>
        <w:rPr>
          <w:b/>
          <w:bCs/>
        </w:rPr>
        <w:t xml:space="preserve">Márgenes.</w:t>
      </w:r>
    </w:p>
    <w:p>
      <w:pPr>
        <w:spacing w:after="100"/>
      </w:pPr>
      <w:r>
        <w:t xml:space="preserve">Margen EBITDA publicado de 37,3 % en 2025 (38,6 % ajustado, sin cargos de reestructuración) [3, 4]. Se proyecta 37,6 % en 2026 y ≈38 % desde 2030, es decir, con los cargos recurrentes dentro y sin más expansión: el 2T26 mostró la primera caída del margen ajustado en años (−60 pb) [6]. Se rebajó desde un primer supuesto del 39 % para cumplir la prueba de sostenibilidad.</w:t>
      </w:r>
    </w:p>
    <w:p>
      <w:pPr>
        <w:keepNext/>
        <w:spacing w:after="100"/>
      </w:pPr>
      <w:r>
        <w:rPr>
          <w:b/>
          <w:bCs/>
        </w:rPr>
        <w:t xml:space="preserve">Inversión y circulante.</w:t>
      </w:r>
    </w:p>
    <w:p>
      <w:pPr>
        <w:spacing w:after="100"/>
      </w:pPr>
      <w:r>
        <w:t xml:space="preserve">Capex del 15 % de las ventas en 2026 (5.261 M y 15,5 % en 2025) y del 16 % en 2027-2030 por la cartera de proyectos, bajando al 13,5 % en 2035 [9]. La amortización se toma con la de la compra de Linde AG (10,9 % de las ventas en 2026, 11,1 % en 2025), bajando al 10,3 %, coherente con la base contable del último ejercicio. Circulante sin variación (no se obtuvieron sus partidas).</w:t>
      </w:r>
    </w:p>
    <w:p>
      <w:pPr>
        <w:keepNext/>
        <w:spacing w:after="100"/>
      </w:pPr>
      <w:r>
        <w:rPr>
          <w:b/>
          <w:bCs/>
        </w:rPr>
        <w:t xml:space="preserve">Coste del capital.</w:t>
      </w:r>
    </w:p>
    <w:p>
      <w:pPr>
        <w:spacing w:after="100"/>
      </w:pPr>
      <w:r>
        <w:t xml:space="preserve">Tasa libre: bono de EE. UU. a 10 años, 5,22 % el 13-oct-26 [38]. Beta 0,9 (estimación: negocio defensivo con contratos; sin serie diaria para calcularla). Prima de mercado 5,5 %. Coste de la deuda antes de impuestos 5 % (marginal; el contable, ≈1 %, está rebajado por deuda en euros antigua e intereses capitalizados) y peso de la deuda del 10 % a valor de mercado. WACC del 9,54 %. Con la prima implícita del mercado (4,20 %) [39], el coste de los fondos propios baja a ≈9,0 %.</w:t>
      </w:r>
    </w:p>
    <w:p>
      <w:pPr>
        <w:keepNext/>
        <w:spacing w:after="100"/>
      </w:pPr>
      <w:r>
        <w:rPr>
          <w:b/>
          <w:bCs/>
        </w:rPr>
        <w:t xml:space="preserve">Valor terminal.</w:t>
      </w:r>
    </w:p>
    <w:p>
      <w:pPr>
        <w:spacing w:after="100"/>
      </w:pPr>
      <w:r>
        <w:t xml:space="preserve">Gordon con un 3 % de crecimiento en USD (1 % real más ≈2 % de inflación), por debajo de la tasa libre menos medio punto. El múltiplo de salida de referencia es 16x el EBITDA, entre las transacciones del sector (10-13x) y el múltiplo actual (≈18-20x).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20.710 M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(ROIC 11,6 %)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 (histórico: 4,9 %)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 (hoy: 31,7 %)</w:t>
            </w:r>
          </w:p>
        </w:tc>
      </w:tr>
    </w:tbl>
    <w:p>
      <w:pPr>
        <w:spacing w:after="160" w:before="0"/>
      </w:pPr>
    </w:p>
    <w:p>
      <w:pPr>
        <w:spacing w:after="100"/>
      </w:pPr>
      <w:r>
        <w:t xml:space="preserve">La proyección reinvierte el 22 % del NOPAT. Con el ROIC del último ejercicio (11,6 %), eso financia un crecimiento del 2,5 % anual, frente al 4,5 % de ingresos proyectado. Supone que el capital nuevo rinde un 21,6 %, frente a un ROIC incremental histórico del 4,9 %; la cuota de mercado pasaría al 30,2 % desde el 31,7 %.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 1S26: +8-9 % de ventas con ≈2 puntos de divisa, ≈1 de compras (nexAir y distribuidores) y ≈4 de subyacente (precio y volumen) [5,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proyectos de la cartera (electrónica en Phoenix, química y energía en EE. UU.) y precio en línea con la inflación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volumen de la cartera y precio.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aportación de la cartera; precio en línea con la historia.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industrial normal (≈2,5 %) y precio.</w:t>
            </w:r>
          </w:p>
        </w:tc>
      </w:tr>
    </w:tbl>
    <w:p>
      <w:pPr>
        <w:spacing w:after="160" w:before="0"/>
      </w:pPr>
    </w:p>
    <w:p>
      <w:pPr>
        <w:spacing w:after="100"/>
      </w:pPr>
      <w:r>
        <w:t xml:space="preserve">El crecimiento proyectado (≈4,2 % de media) se apoya en un foso amplio: contratos </w:t>
      </w:r>
      <w:r>
        <w:rPr>
          <w:i/>
        </w:rPr>
        <w:t xml:space="preserve">on-site</w:t>
      </w:r>
      <w:r>
        <w:t xml:space="preserve"> a 15-20 años, densidad local y subidas de precio por encima de la inflación durante siete años [1]. La prueba de cuota pasa (31,7 % hoy, 30,2 % en 2035). La de reinversión falla con las cifras del motor (el capital nuevo rendiría un 21,6 % frente a un ROIC de 11,6 %), pero ese ROIC incluye ≈27.900 M de fondo de comercio de la fusión; sin él, el rendimiento del capital operativo es ≈23 % y la proyección quedaría dentro de 1,25 veces ese nivel. Aun así se rebajó el base (crecimiento de 2027-2028 de 6 % a 5,5 % y margen plano en ≈38 %). Veredicto: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 (base: 38,0 %)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(WACC: 9,5 %)</w:t>
            </w:r>
          </w:p>
        </w:tc>
      </w:tr>
    </w:tbl>
    <w:p>
      <w:pPr>
        <w:spacing w:after="160" w:before="0"/>
      </w:pPr>
    </w:p>
    <w:p>
      <w:pPr>
        <w:spacing w:after="100"/>
      </w:pPr>
      <w:r>
        <w:t xml:space="preserve">El DCF da 181,26 USD por acción, un 63,2 % por debajo del precio, con un WACC del 9,54 % y el 59 % del valor en el terminal. Con la prima implícita del mercado (4,20 %) el valor sube a 227,63 USD: sigue un 54 % por debajo. El DCF inverso es la lectura central: para justificar 492,11 USD con nuestro margen, el precio pide un crecimiento de las ventas del 16,4 % anual en 2027-2035, casi cuatro veces el 4,2 % de nuestro caso base y seis veces el 2,5 % de 2021-2025; o, con nuestro crecimiento, una rentabilidad implícita del 5,9 %, por debajo de la tasa libre (5,22 %) más cualquier prima razonable. Es exigente frente a la historia. El matiz: el FCF de hoy (≈2,2 % de rentabilidad) está deprimido por un capex del 15-16 % de las ventas que crea volumen contratado a 15-20 años; aun con capex del 10 %, el DCF no llega a la mitad del precio. El mercado paga a Linde como un bono de crecimiento seguro, no por su caja.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industria de Europa y China sigue débil, se cancelan o retrasan proyectos de hidrógeno y el margen sigue cediendo por costes y por las terapias a domicilio: crecimiento 2 puntos menor y margen 1,5 puntos más bajo, como en el 2T26 prolongado.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≈11.000 M entra en producción en 2027-2029, el precio sigue a la inflación y el margen se mantiene en ≈38 % de EBITDA: el BPA ajustado crece ≈5-6 % al año sin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electrónica (fábricas de chips en EE. UU.) acelera el volumen, el negocio de terapias a domicilio se vende y el margen vuelve a subir: crecimiento 1,5 puntos mayor y margen 0,8 puntos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USD) · precio actual 49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176,93 USD (-64,0 %).</w:t>
      </w:r>
    </w:p>
    <w:p>
      <w:pPr>
        <w:spacing w:after="100"/>
      </w:pPr>
      <w:r>
        <w:t xml:space="preserve">En valor intrínseco, los tres escenarios quedan muy por debajo del precio (128,93, 181,26 y 216,28 USD), así que la asimetría del DCF no aporta. La asimetría que importa es la del objetivo a 12 meses: el bajista pierde un 25,7 % (PER de 20,8x sobre 17,29 USD de BPA) y el alcista gana un 9,7 % (26,0x sobre 20,54 USD), porque la regla no paga en el alcista más múltiplo que el base (la historia y los comparables no lo justifican). Asimetría de 0,32x: no compensa.</w:t>
      </w:r>
    </w:p>
    <w:p>
      <w:pPr>
        <w:pStyle w:val="Heading1"/>
      </w:pPr>
      <w:r>
        <w:t xml:space="preserve">22. Suma de partes</w:t>
      </w:r>
    </w:p>
    <w:p>
      <w:pPr>
        <w:pStyle w:val="Confianza"/>
        <w:spacing w:after="100"/>
      </w:pPr>
      <w:r>
        <w:t xml:space="preserve">Confianza: Media</w:t>
      </w:r>
    </w:p>
    <w:p>
      <w:pPr>
        <w:spacing w:after="100"/>
      </w:pPr>
      <w:r>
        <w:t xml:space="preserve">No aplica: los segmentos regionales de gases tienen el mismo perfil y no hay comparables puros de la ingeniería que muevan el valor (≈7 % de las ventas).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USD) · precio actual 49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239,77 USD (-51,3 % sobre 492,11).</w:t>
      </w:r>
    </w:p>
    <w:p>
      <w:pPr>
        <w:spacing w:after="100"/>
      </w:pPr>
      <w:r>
        <w:t xml:space="preserve">Pesos: DCF 50 %, comparables 25 % y escenarios 25 %; transacciones y suma de partes, 0 (las compras del sector son antiguas y Linde no es objetivo de compra verosímil). El DCF es el método más fiable para un negocio de contratos largos, pero con la tasa libre al 5,22 % da un valor muy inferior a lo que el mercado paga; los comparables (PER de 21,8x de mediana, 419,62 USD) se acercan más al precio porque todo el sector cotiza caro frente a su caja. La dispersión entre métodos es grande (181-420 USD frente a 492 USD de precio) y todos quedan por debajo de la cotización: el precio descuenta una calidad que ninguna de las medidas de valor paga.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(26.7x) a mitad de camino hacia abajo, hacia la mediana de 5 años (25.4x)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r>
    </w:tbl>
    <w:p>
      <w:pPr>
        <w:spacing w:after="160" w:before="0"/>
      </w:pPr>
    </w:p>
    <w:p>
      <w:pPr>
        <w:spacing w:after="100"/>
      </w:pPr>
      <w:r>
        <w:rPr>
          <w:b/>
          <w:bCs/>
        </w:rPr>
        <w:t xml:space="preserve">Objetivo a 12 meses (ponderado):</w:t>
      </w:r>
      <w:r>
        <w:t xml:space="preserve"> 475,75 USD · rentabilidad -2,1 % (base +3,8 %) · señal Mantener.</w:t>
      </w:r>
    </w:p>
    <w:p>
      <w:pPr>
        <w:keepNext/>
        <w:spacing w:after="100"/>
      </w:pPr>
      <w:r>
        <w:rPr>
          <w:b/>
          <w:bCs/>
        </w:rPr>
        <w:t xml:space="preserve">Frente al consenso (solo contraste).</w:t>
      </w:r>
    </w:p>
    <w:p>
      <w:pPr>
        <w:spacing w:after="100"/>
      </w:pPr>
      <w:r>
        <w:t xml:space="preserve">Nuestro BPA de 2027e (18,40 USD) queda un 6 % por debajo del consenso (19,62) y el de 2028e (19,41) un 11 % por debajo del de KeyCorp (21,75), la única casa con 2028e. La diferencia sale sobre todo de las recompras (el método no cuenta las no anunciadas; Linde recompra ≈1,5 % del capital al año, ≈4 % hasta 2028) y de no suponer expansión del margen tras el 2T26. El precio base (≈505 USD) queda un 7 % por debajo del objetivo medio de los analistas (545 USD): ellos ponen ≈26-28x sobre un BPA mayor; nosotros, el PER a mitad de camino hacia la mediana histórica.</w:t>
      </w:r>
    </w:p>
    <w:p>
      <w:pPr>
        <w:keepNext/>
        <w:spacing w:after="100"/>
      </w:pPr>
      <w:r>
        <w:rPr>
          <w:b/>
          <w:bCs/>
        </w:rPr>
        <w:t xml:space="preserve">Del valor intrínseco al objetivo a 12 meses.</w:t>
      </w:r>
    </w:p>
    <w:p>
      <w:pPr>
        <w:spacing w:after="100"/>
      </w:pPr>
      <w:r>
        <w:t xml:space="preserve">El valor intrínseco (239,77 USD de síntesis; 181,26 del DCF) queda un 51 % por debajo del precio y del objetivo a 12 meses (475,75 USD). No hay catalizador que cierre esa distancia en un año: el mercado lleva años pagando a Linde 25-27x su BPA adelantado y lo seguirá haciendo mientras el BPA crezca al 8-10 %. La tesis bajista (convergencia hacia el valor intrínseco) necesitaría un cambio de régimen del múltiplo, como el que ya sufrieron Air Products y Air Liquide (20-23x). Por eso la recomendación sigue al objetivo a 12 meses (Mantener), con el valor intrínseco como aviso de que no hay margen de seguridad.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margen ajustado vuelve a ≥29,5 % y de si se cumple la guía de 4,45-4,55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BPA de 2027 marcará si el crecimiento vuelve a ≥8 %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el negocio de terapias respiratorias a domicilio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quitaría el principal lastre del margen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Arranque de proyectos de la cartera (Phoenix, química y energía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contratado que sostiene el crecimiento [16]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alto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si el PER adelantado vuelve a su mínimo de cinco años (23x)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crecimiento del BPA ajustado del 11 % anual en 2021-2025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por debajo de 24x sin cambio en 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expansión del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encima de la inflación y productividad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por debajo del 29 %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industrial débil en Europa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del objetivo a 12 meses (−22 % de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pagos mínimos; electrónica y sanidad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subyacente negativo en EMEA o APAC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Proyectos de hidrógeno y energía limpia que se retrasan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(menor crecimiento de 2028-2030)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solo invierte con contrato firmado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cartera de proyectos por debajo de 8.000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con deuda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Limitado: deuda neta de ≈1,8x el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caja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2,5x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de Rusia (Amur)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Activos ya deteriorados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sentencias o embargos</w:t>
            </w:r>
          </w:p>
        </w:tc>
      </w:tr>
    </w:tbl>
    <w:p>
      <w:pPr>
        <w:spacing w:after="160" w:before="0"/>
      </w:pPr>
    </w:p>
    <w:p>
      <w:pPr>
        <w:pStyle w:val="Heading2"/>
      </w:pPr>
      <w:r>
        <w:t xml:space="preserve">Pre-mortem</w:t>
      </w:r>
    </w:p>
    <w:p>
      <w:pPr>
        <w:spacing w:after="100"/>
      </w:pPr>
      <w:r>
        <w:t xml:space="preserve">Octubre de 2029: la acción ha perdido un 40 %. La historia más probable no es un desastre operativo sino un cambio de múltiplo. El BPA ajustado siguió creciendo, pero al 5-6 % y no al 8-10 % que el mercado daba por hecho: la industria química europea cerró plantas, el volumen de granel y botellas cayó, y el margen dejó de subir porque los costes de personal y energía crecieron más que el precio. Los proyectos de hidrógeno azul en EE. UU. se retrasaron al cambiar los créditos fiscales y la cartera bajó. Con el bono de EE. UU. por encima del 5 %, el mercado dejó de pagar 27x a una empresa que crecía al 5 %, y el PER bajó a ≈18x, el de Air Liquide y Air Products. El indicador que lo habría anticipado: el margen ajustado del 2T26, el primer retroceso en años, y una guía de 2027 por debajo del 8 % de crecimiento del BPA.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 energía es ≈el mayor coste y las plantas de separación de aire consumen mucha electricidad: Linde es de los mayores consumidores industriales de electricidad del mundo, lo que la expone al precio del CO₂ en Europa. A la vez, vende hidrógeno, captura de carbono y gases para descarbonizar a terceros. En su junta de 2026 una propuesta de accionistas pidió un informe sobre compra de electricidad renovable; el consejo se opuso y no prosperó [26].</w:t>
      </w:r>
    </w:p>
    <w:p>
      <w:pPr>
        <w:pStyle w:val="Heading2"/>
      </w:pPr>
      <w:r>
        <w:t xml:space="preserve">Controversias</w:t>
      </w:r>
    </w:p>
    <w:p>
      <w:pPr>
        <w:spacing w:after="100"/>
      </w:pPr>
      <w:r>
        <w:t xml:space="preserve">Salida forzosa de Rusia en 2022: los tribunales rusos embargaron activos por el proyecto Amur y Linde registró deterioros; el litigio con Gazprom se arrastra. No se pudo comprobar el estado a la fecha de corte.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restó al margen ajustado del 2T26 el negocio de terapias a domicilio de EE. UU., y qué margen tendría el grupo sin él?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explicación de la dirección para el primer retroceso del margen en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≈11.000 M es electrónica, química y energía limpia, y qué calendario de arranque tiene cada bloque?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crecimiento de volumen de 2027-2029 de nuestro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recomprar ≈4.500 M al año con deuda mientras el capex sube al 15-16 %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neta pasó de ≈16.800 M a ≈23.100 M en 18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rendimiento sobre el capital esperan de los proyectos nuevos frente al ≈23 % del capital operativo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crea valor (prueba de sostenibilidad).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subyacente de 2026 es precio y cuánto volumen,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ha sido el motor del margen; si se agota, el modelo cambia.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unir presidencia y dirección en 2026 y con qué plazo se revisará?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 contrapeso en una empresa sin accionista de referencia.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(noticias y comentarios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lectura dominante tras el 2T26 es que el margen ha dejado de subir: «ventas récord, margen a la baja», y la guía del 3T26 por debajo del consenso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Barchart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pregunta si Linde puede justificar su prima con la demanda de gas industrial enfriándose; los defensores citan los contratos y la electrónica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y TickerSpark (blogs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Batió estimaciones pero «los márgenes cuentan una historia más complicada»; la caída del 6 % se ve como corrección de una acción cara [41,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AAII y Simply Wall St (comunidades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valoración se califica de «ultra cara» (nota F en valor; PER de ≈31 frente a 21 del sector) y se sugiere una entrada en 380-390 USD; a la vez se la presenta como compounder de calidad [43,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(alertas y comentarios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siguen en «compra» (KeyCorp sube a compra fuerte) con objetivos de 545-600 USD; algunos fondos reducen posición [30,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expansión del margen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margen ajustado bajó 60 pb en el 2T26 (29,5 %), el primer retroceso interanual en años; la empresa lo atribuye sobre todo a las terapias a domicilio de EE. UU. [21].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sobre el BPA ajustado de 2026e ronda 27,5x, en línea con su mediana de cinco años (27x) y por encima de Air Liquide (23x) y Air Products (20,6x) [43].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Electrónica y cartera de proyectos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sube a ≈11.000 M y el contrato de Phoenix (≈1.000 M) es real, pero da ingresos desde 2027-2028 [21, 40].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Compounder defensivo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ajustado ha crecido un 11 % anual de 2021 a 2025 y la guía de 2026 es +8-9 %: el crecimiento es real aunque más lento [44].</w:t>
            </w:r>
          </w:p>
        </w:tc>
      </w:tr>
    </w:tbl>
    <w:p>
      <w:pPr>
        <w:spacing w:after="160" w:before="0"/>
      </w:pPr>
    </w:p>
    <w:p>
      <w:pPr>
        <w:spacing w:after="100"/>
      </w:pPr>
      <w:r>
        <w:t xml:space="preserve">El sentimiento particular se ha enfriado desde el verano: la acción pasó de 548 a ≈490 USD y la conversación gira alrededor de si el margen ha tocado techo y de si el múltiplo (≈27x) lo descuenta. Los analistas siguen claramente compradores (objetivo medio ≈545 USD), así que hay divergencia entre profesionales y particulares, pero no es extrema: nadie habla de capitulación ni de euforia. El riesgo que señalan los foros, el margen, está recogido en el bajista del informe.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45 (16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21,6 % frente a un ROIC de 11,6 % y un incremental histórico de 4,9 %: crecimiento que la empresa no ha demostrado poder comprar. Explicación: El ROIC del motor (11,6 %) incluye ≈27.900 M de fondo de comercio de la fusión de 2018 por canje de acciones, que no se repone, y el ROIC incremental histórico (4,9 %) compara un EBIT de 2021 hundido por la amortización de la compra con el de 2025. Sin ese fondo de comercio, el capital invertido es ≈33.700 M y el NOPAT ajustado de 2025 ≈7.760 M: ≈23 %, y 1,25 veces eso (≈29 %) queda por encima del 21,6 % que supone la proyección. Además, 2,5 de los ≈4,5 puntos de crecimiento son precio, que no consume capital. Aun así se rebajó el caso base (crecimiento de 2027-2028 del 6 % al 5,5 % y margen plano en ≈38 % en vez de subir al 39 %) y el veredicto es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30,2 % en 2035e frente al 31,7 %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hay cuatro cotizadas con PER adelantado obtenible desde la nube (Air Liquide, Air Products, Nippon Sanso y Atlas Copco); el sector cotizado de gases tiene tres grandes y no hay más comparables puros. El peso de comparables en la síntesis es del 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-7,4 %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(historia anual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4T25: solo trae el trimestre por segmento (Américas 3.884 M, EMEA 2.178 M, APAC 1.726 M, Ingeniería 615 M); 2) 10-K 2025 en SEC: la red no abre sec.gov; 3) búsqueda de las cifras anuales en agregadores: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pasivo total, patrimonio y deuda de 2021-2023; arrendamientos;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2023: la red solo deja WebSearch y los extractos no traen esas líneas; 2) Stock Analysis y Barchart: datos parciales y discrepantes; 3) informe anual a los accionistas: sin extracto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y BAI de 2025; gastos generales 2023-2025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4T25; 2) 10-K 2025; 3) Stock Analysis: no aparecen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 folleto de bonos en euros de 2026; 3) prensa: no buscado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Air Liquide y Air Products: la red no los abre; 2) búsqueda de comparativas: solo múltiplos; 3) agregadores: no consultados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 MSCI y Sustainalytics; 3) prensa: no buscados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(nombres, tipo, comisiones), remuneración del consejero delegado, accionistas significativos, operaciones de directivos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en sec.gov: la red no lo abre; 2) búsqueda de la remuneración de Lamba y del consejo: los extractos no traen las tablas; 3) form4.mjs y 13F: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los directivos; guía exacta de 2023-2025 (rango de partida)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 comunicados de febrero de cada año; 3) prensa: los rangos de partida de la guía 2023-2025 no aparecen en los extractos; el cumplimiento se juzga por la prensa de cada cierre (Linde terminó cada año dentro de su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rentabilidades frente al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la red de la nube no lo abre; 2) búsqueda de beta en Stock Analysis y Yahoo: sin extracto con la cifra; 3) cálculo propio sin serie diaria: imposible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estimados;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sin WebFetch; 2) Barchart y MarketBeat: solo BPA y objetivo; 3) Yahoo: solo objetivo medio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crecimiento, márgenes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de cada uno: no abre; 2) Seeking Alpha y Alpha Spread: múltiplos sueltos de marzo-abril; 3) prensa de octubre: solo PER y capitalización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 (hilos de lectores)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sobre LIN en 2026: sin resultados; 2) Stocktwits y RSS de Seeking Alpha: la red solo deja WebSearch; 3) prensa con comentarios: se usan blogs y comunidades (AAII, Simply Wall St, TIKR)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 para el WACC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búsqueda de la beta en Yahoo y Stock Analysis: sin cifra en los extractos; 3) beta sectorial de Damodaran: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Reports Full Year and Fourth Quarter 2025 Results (comunicado y tablas)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plc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https://www.businesswire.com/news/home/20260205319632/en/Linde-Reports-Full-Year-and-Fourth-Quarter-2025-Results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ARS 2022 (cuentas de resultados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https://www.sec.gov/Archives/edgar/data/1707925/000119312523130328/d392398dars.pdf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ARS 2025 (informe anual a los accionistas): conciliación de cifras ajustadas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https://www.sec.gov/Archives/edgar/data/0001707925/000114036126017764/ef20071892_ars.pdf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Earnings Release Tables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https://mms.businesswire.com/media/20260205319632/en/2712740/1/Q4_2025_Earnings_Release_Tables_Final_en.pdf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Reports First-Quarter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Seeking Alpha PR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https://seekingalpha.com/pr/20496552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Reports Second-Quarter 2026 Results (8-K Ex. 99.1) y reacción del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 Webull,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https://www.sec.gov/Archives/edgar/data/0001707925/000165495426007052/lin_ex991.htm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EBITDA 2011-2025 (EBITDA anual 2022-2024)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https://www.macrotrends.net/stocks/charts/LIN/linde/ebitda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(cuenta de resultados 2022-2024: impuestos, minoritarios, intereses,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https://last10k.com/sec-filings/lin/0001628280-25-007990.htm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(estado de flujos, beneficio neto con minoritarios)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https://www.sec.gov/Archives/edgar/data/1707925/000162828026011430/lin-20251231.htm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2021-2025 (activo total, fondo de comercio, caja) y deuda por partidas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Barchart / Linde 10-K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https://stockanalysis.com/stocks/lin/financials/balance-sheet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(deuda total, caja, líneas de crédito, emisiones)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https://www.sec.gov/Archives/edgar/data/0001707925/000162828026051289/lin-20260630.htm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Q2 2026 earnings summary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https://quartr.com/events/linde-plc-lin-q2-2026_3geQl5n6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cash flow statement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https://www.stockopedia.com/share-prices/linde-ETR:LIN/cashflow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income statement y dividendos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Tickerleague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https://tickerleague.com/companies/LIN/financials/eps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2022 (BPA ajustado trimestral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https://www.sec.gov/Archives/edgar/data/1707925/000165495422010130/lin_ex991.htm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Q4 2025 / Q1 2026 earnings summaries (cartera de proyectos)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https://quartr.com/events/linde-plc-lin-q1-2026_3geQQzT7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historia de la compañía y fusión con Praxair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https://www.linde.com/about-linde/history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Appoints Sanjiv Lamba as Chairman &amp;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https://www.linde.com/news-and-media/2025/linde-appoints-sanjiv-lamba-as-chairman-,-a-,-ceo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to Have New CEO, Chairman on March 1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Distribution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https://www.inddist.com/staffing-changes/news/21796635/linde-to-have-new-ceo-chairman-on-march-1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Products presentation to Airgas shareholders (transacciones precedentes)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Airgas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https://www.sec.gov/Archives/edgar/data/0000804212/000119312510205153/ddefa14a.htm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(LIN) Q2 2026: ventas +9 %, margen a la baja; contrato de gases ultrapuros en Phoenix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Linevest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https://www.webull.com/news/15331345164018688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gases market worldwide to surpass USD 150.43 billion by 2032 (Vyansa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https://www.bolsamania.com/nota-de-prensa/mercados/industrial-gases-market-worldwide-to-surpass-usd-15043-billion-by-2032-driven-by-steady-industrial-demand-says-vyansa-intelligence--22082582.html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Industrial Gases Market (105.800 M USD en 2025; TCAC 5,2 %)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https://www.marketresearchfuture.com/de/reports/industrial-gases-market-6508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and Airgas: assessing the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https://www.gasworld.com/story/air-liquide-and-airgas-assessing-the-acquisition/2080652.article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vs. Air Products: racing for the chip boom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https://finance.yahoo.com/markets/stocks/articles/linde-lin-vs-air-products-221001302.html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https://www.sec.gov/Archives/edgar/data/0001707925/000119312526325127/lin-20260728.htm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Announces CEO and Chairman Succession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https://www.media-outreach.vn/news/2021/10/25/100822/linde-announces-ceo-and-chairman-succession/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DEF 14A 2026 (proxy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https://www.sec.gov/Archives/edgar/data/0001707925/000119312526192209/lin-20260429.htm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Linde's Q2 2026 earnings: what to expect (consenso de BPA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https://www.barchart.com/story/news/3407233/linde-s-q2-2026-earnings-what-to-expect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 Linde upgraded to strong buy at KeyCorp (estimaciones 2026-2028; objetivo medio 545,14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https://www.marketbeat.com/instant-alerts/analyst-linde-nasdaq-lin-upgraded-to-strong-buy-at-keycorp-2026-09-11/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Equities analysts issue forecasts for Linde FY2027 earnings (objetivo medio 548,67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https://www.marketbeat.com/instant-alerts/equities-analysts-issue-forecasts-for-linde-fy2027-earnings-2026-07-30/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(LIN) cotización: cierre previo 492,11 USD, rango de 52 semanas 387,78-548,20, objetivo medio 544,30, resultados el 29-oct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Robinhood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price history (precio real mensual; diciembre de 2022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https://www.digrin.com/stocks/detail/LIN/price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- 33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https://macrotrends.net/stocks/charts/LIN/linde/stock-price-history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Liquide: MarketScreener (PER 2026e 23x) y ad-hoc-news (capitalización 107.700 M EUR, 9-oct-26)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https://au.marketscreener.com/quote/stock/AIR-LIQUIDE-4605/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Sanso Holdings: valuation metrics (PER y EV/EBITDA adelantados)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https://seekingalpha.com/symbol/NPXYY/valuation/metrics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PER de los próximos 12 meses (nota D del informe de Spirax-Sarco del 14-oct-26)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https://www.marketscreener.com/quote/stock/ATLAS-COPCO-AB-6491086/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Treasury yields, 13-oct-2026 (bono a 10 años 5,22 %)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Linde justify its premium while industrial gas demand cools?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https://www.barchart.com/story/news/3562944/can-linde-justify-its-premium-while-industrial-gas-demand-cools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beat street estimates in Q2 earnings but margins tell a messier 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https://www.tikr.com/de/blog/linde-beat-street-estimates-in-q2-earnings-but-margins-tell-a-messier-story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Linde plc (LIN) drops 6% after Q2 earnings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TickerSpark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https://tickerspark.ai/market/linde-plc-lin-drops-6-after-q2-earnings-outlook-1785506790107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Linde plc (LIN) overvalued?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https://www.aaii.com/investingideas/article/497521-is-linde-plc-lin-overvalued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Time to reassess Linde (LIN) after strong run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https://finance.yahoo.com/markets/stocks/articles/time-reassess-linde-lin-strong-011234992.html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Janus Henderson decreases stock position in Linde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https://www.marketbeat.com/instant-alerts/filing-janus-henderson-group-plc-decreases-stock-position-in-linde-plc-lin-2026-08-03/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77,3 %</w:t>
      </w:r>
      <w:r>
        <w:t xml:space="preserve"> · Secciones con menos del 60 % de campos cubiertos: </w:t>
      </w:r>
      <w:r>
        <w:rPr>
          <w:b/>
          <w:bCs/>
        </w:rPr>
        <w:t xml:space="preserve">gobierno, bolsa</w:t>
      </w:r>
      <w:r>
        <w:t xml:space="preserve"> · Generado el 14 oct 2026.</w:t>
      </w:r>
    </w:p>
    <w:p>
      <w:pPr>
        <w:pStyle w:val="Nota"/>
        <w:spacing w:after="100"/>
      </w:pPr>
      <w:r>
        <w:t xml:space="preserve">Análisis hecho desde la nube con la red limitada a la búsqueda web: sec.gov, la web de inversores de Linde y los proveedores de datos no se pudieron abrir, así que las cifras salen de los extractos de búsqueda de los comunicados de resultados, del 10-K y del informe anual, y de agregadores (Stock Analysis, Macrotrends, Stockopedia, Barchart), cruzadas cuando fue posible; lo que no cuadró está en null y en los huecos. Confianza de los datos de núcleo: media en la cuenta de resultados y los flujos (cifras de la empresa), baja en balance (2021-2023 incompleto, de agregadores), comparables (solo PER, de fechas distintas) y bolsa (sin beta ni serie diaria). Cotiza solo en Nasdaq (LIN), en USD; cuentas en US GAAP, ejercicio natural. Precio: cierre del 13-oct-26 (492,11 USD), porque el 14-oct la sesión no había cerrado. Acciones diluidas: 464,6 M (beneficio neto del 2T26 ÷ BPA diluido). Minoritarios del puente estimados (160 M de beneficio × 15). El BPA del objetivo a 12 meses y el PER histórico están en base ajustada de la empresa (sin la amortización de la compra de Linde AG ni los cargos de reestructuración).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Linde plc (LIN)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492,11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(387,78 – 548,20)</c:v>
                </c:pt>
                <c:pt idx="1">
                  <c:v>Comparables: PER NTM (375,34 – 468,22)</c:v>
                </c:pt>
                <c:pt idx="2">
                  <c:v>DCF (WACC y g ± 0,5) (155,38 – 216,25)</c:v>
                </c:pt>
                <c:pt idx="3">
                  <c:v>Escenarios (bajista – alcista) (128,93 – 216,28)</c:v>
                </c:pt>
                <c:pt idx="4">
                  <c:v>DCF con la prima implícita del mercado (4,2 %)</c:v>
                </c:pt>
                <c:pt idx="5">
                  <c:v>Precio actual (492,11)</c:v>
                </c:pt>
              </c:strCache>
            </c:strRef>
          </c:cat>
          <c:val>
            <c:numRef>
              <c:f>Hoja1!$B$2:$B$7</c:f>
              <c:numCache>
                <c:formatCode>#,##0</c:formatCode>
                <c:ptCount val="6"/>
                <c:pt idx="0">
                  <c:v>387.78</c:v>
                </c:pt>
                <c:pt idx="1">
                  <c:v>375.34</c:v>
                </c:pt>
                <c:pt idx="2">
                  <c:v>155.38</c:v>
                </c:pt>
                <c:pt idx="3">
                  <c:v>128.93</c:v>
                </c:pt>
                <c:pt idx="4">
                  <c:v>203.55</c:v>
                </c:pt>
                <c:pt idx="5">
                  <c:v>489.65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(387,78 – 548,20)</c:v>
                </c:pt>
                <c:pt idx="1">
                  <c:v>Comparables: PER NTM (375,34 – 468,22)</c:v>
                </c:pt>
                <c:pt idx="2">
                  <c:v>DCF (WACC y g ± 0,5) (155,38 – 216,25)</c:v>
                </c:pt>
                <c:pt idx="3">
                  <c:v>Escenarios (bajista – alcista) (128,93 – 216,28)</c:v>
                </c:pt>
                <c:pt idx="4">
                  <c:v>DCF con la prima implícita del mercado (4,2 %)</c:v>
                </c:pt>
                <c:pt idx="5">
                  <c:v>Precio actual (492,11)</c:v>
                </c:pt>
              </c:strCache>
            </c:strRef>
          </c:cat>
          <c:val>
            <c:numRef>
              <c:f>Hoja1!$C$2:$C$7</c:f>
              <c:numCache>
                <c:formatCode>#,##0</c:formatCode>
                <c:ptCount val="6"/>
                <c:pt idx="0">
                  <c:v>160.42000000000007</c:v>
                </c:pt>
                <c:pt idx="1">
                  <c:v>92.88000000000005</c:v>
                </c:pt>
                <c:pt idx="2">
                  <c:v>60.870000000000005</c:v>
                </c:pt>
                <c:pt idx="3">
                  <c:v>87.35</c:v>
                </c:pt>
                <c:pt idx="4">
                  <c:v>53.039999999999964</c:v>
                </c:pt>
                <c:pt idx="5">
                  <c:v>4.920000000000016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2032e</c:v>
                </c:pt>
              </c:strCache>
            </c:strRef>
          </c:cat>
          <c:val>
            <c:numRef>
              <c:f>Hoja1!$B$2:$B$3</c:f>
              <c:numCache>
                <c:formatCode>#,##0</c:formatCode>
                <c:ptCount val="2"/>
                <c:pt idx="0">
                  <c:v>107200</c:v>
                </c:pt>
                <c:pt idx="1">
                  <c:v>150430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1</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Linde</c:v>
                </c:pt>
                <c:pt idx="1">
                  <c:v>Air Liquide</c:v>
                </c:pt>
                <c:pt idx="2">
                  <c:v>Air Products</c:v>
                </c:pt>
                <c:pt idx="3">
                  <c:v>Nippon Sanso</c:v>
                </c:pt>
                <c:pt idx="4">
                  <c:v>Messer</c:v>
                </c:pt>
              </c:strCache>
            </c:strRef>
          </c:cat>
          <c:val>
            <c:numRef>
              <c:f>Hoja1!$B$2:$B$6</c:f>
              <c:numCache>
                <c:formatCode>0.0"%"</c:formatCode>
                <c:ptCount val="5"/>
                <c:pt idx="0">
                  <c:v>26.3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2</c:v>
                </c:pt>
                <c:pt idx="3">
                  <c:v>4</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30793</c:v>
                </c:pt>
                <c:pt idx="1">
                  <c:v>33364</c:v>
                </c:pt>
                <c:pt idx="2">
                  <c:v>32854</c:v>
                </c:pt>
                <c:pt idx="3">
                  <c:v>33005</c:v>
                </c:pt>
                <c:pt idx="4">
                  <c:v>33986</c:v>
                </c:pt>
                <c:pt idx="5">
                  <c:v>36535</c:v>
                </c:pt>
                <c:pt idx="6">
                  <c:v>38544</c:v>
                </c:pt>
                <c:pt idx="7">
                  <c:v>40664</c:v>
                </c:pt>
                <c:pt idx="8">
                  <c:v>42698</c:v>
                </c:pt>
                <c:pt idx="9">
                  <c:v>44619</c:v>
                </c:pt>
                <c:pt idx="10">
                  <c:v>46404</c:v>
                </c:pt>
                <c:pt idx="11">
                  <c:v>48028</c:v>
                </c:pt>
                <c:pt idx="12">
                  <c:v>49709</c:v>
                </c:pt>
                <c:pt idx="13">
                  <c:v>51200</c:v>
                </c:pt>
                <c:pt idx="14">
                  <c:v>52736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9619</c:v>
                </c:pt>
                <c:pt idx="1">
                  <c:v>9573</c:v>
                </c:pt>
                <c:pt idx="2">
                  <c:v>11840</c:v>
                </c:pt>
                <c:pt idx="3">
                  <c:v>12415</c:v>
                </c:pt>
                <c:pt idx="4">
                  <c:v>12686</c:v>
                </c:pt>
                <c:pt idx="5">
                  <c:v>13737</c:v>
                </c:pt>
                <c:pt idx="6">
                  <c:v>14531</c:v>
                </c:pt>
                <c:pt idx="7">
                  <c:v>15371</c:v>
                </c:pt>
                <c:pt idx="8">
                  <c:v>16182</c:v>
                </c:pt>
                <c:pt idx="9">
                  <c:v>16955</c:v>
                </c:pt>
                <c:pt idx="10">
                  <c:v>17633</c:v>
                </c:pt>
                <c:pt idx="11">
                  <c:v>18251</c:v>
                </c:pt>
                <c:pt idx="12">
                  <c:v>18889</c:v>
                </c:pt>
                <c:pt idx="13">
                  <c:v>19456</c:v>
                </c:pt>
                <c:pt idx="14">
                  <c:v>20040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41.7</c:v>
                </c:pt>
                <c:pt idx="2">
                  <c:v>46.8</c:v>
                </c:pt>
                <c:pt idx="3">
                  <c:v>48.1</c:v>
                </c:pt>
                <c:pt idx="4">
                  <c:v>48.8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31.2</c:v>
                </c:pt>
                <c:pt idx="1">
                  <c:v>28.7</c:v>
                </c:pt>
                <c:pt idx="2">
                  <c:v>36</c:v>
                </c:pt>
                <c:pt idx="3">
                  <c:v>37.6</c:v>
                </c:pt>
                <c:pt idx="4">
                  <c:v>37.3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16.2</c:v>
                </c:pt>
                <c:pt idx="1">
                  <c:v>16.1</c:v>
                </c:pt>
                <c:pt idx="2">
                  <c:v>24.4</c:v>
                </c:pt>
                <c:pt idx="3">
                  <c:v>26.2</c:v>
                </c:pt>
                <c:pt idx="4">
                  <c:v>26.3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12.4</c:v>
                </c:pt>
                <c:pt idx="1">
                  <c:v>12.4</c:v>
                </c:pt>
                <c:pt idx="2">
                  <c:v>18.9</c:v>
                </c:pt>
                <c:pt idx="3">
                  <c:v>19.9</c:v>
                </c:pt>
                <c:pt idx="4">
                  <c:v>20.3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2T25</c:v>
                </c:pt>
                <c:pt idx="1">
                  <c:v>3T25</c:v>
                </c:pt>
                <c:pt idx="2">
                  <c:v>4T25</c:v>
                </c:pt>
                <c:pt idx="3">
                  <c:v>1T26</c:v>
                </c:pt>
                <c:pt idx="4">
                  <c:v>2T26</c:v>
                </c:pt>
              </c:strCache>
            </c:strRef>
          </c:cat>
          <c:val>
            <c:numRef>
              <c:f>Hoja1!$B$2:$B$6</c:f>
              <c:numCache>
                <c:formatCode>0.0"%"</c:formatCode>
                <c:ptCount val="5"/>
                <c:pt idx="1">
                  <c:v>3</c:v>
                </c:pt>
                <c:pt idx="2">
                  <c:v>5.8</c:v>
                </c:pt>
                <c:pt idx="3">
                  <c:v>8</c:v>
                </c:pt>
                <c:pt idx="4">
                  <c:v>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2T25</c:v>
                </c:pt>
                <c:pt idx="1">
                  <c:v>3T25</c:v>
                </c:pt>
                <c:pt idx="2">
                  <c:v>4T25</c:v>
                </c:pt>
                <c:pt idx="3">
                  <c:v>1T26</c:v>
                </c:pt>
                <c:pt idx="4">
                  <c:v>2T26</c:v>
                </c:pt>
              </c:strCache>
            </c:strRef>
          </c:cat>
          <c:val>
            <c:numRef>
              <c:f>Hoja1!$C$2:$C$6</c:f>
              <c:numCache>
                <c:formatCode>0.0"%"</c:formatCode>
                <c:ptCount val="5"/>
                <c:pt idx="3">
                  <c:v>3</c:v>
                </c:pt>
                <c:pt idx="4">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6639</c:v>
                </c:pt>
                <c:pt idx="1">
                  <c:v>5691</c:v>
                </c:pt>
                <c:pt idx="2">
                  <c:v>5518</c:v>
                </c:pt>
                <c:pt idx="3">
                  <c:v>4926</c:v>
                </c:pt>
                <c:pt idx="4">
                  <c:v>5089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3826</c:v>
                </c:pt>
                <c:pt idx="1">
                  <c:v>4147</c:v>
                </c:pt>
                <c:pt idx="2">
                  <c:v>6199</c:v>
                </c:pt>
                <c:pt idx="3">
                  <c:v>6565</c:v>
                </c:pt>
                <c:pt idx="4">
                  <c:v>6898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-132.4</c:v>
                </c:pt>
                <c:pt idx="1">
                  <c:v>-97.4</c:v>
                </c:pt>
                <c:pt idx="2">
                  <c:v>-123.5</c:v>
                </c:pt>
                <c:pt idx="3">
                  <c:v>26.5</c:v>
                </c:pt>
                <c:pt idx="4">
                  <c:v>11.6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9.5</c:v>
                </c:pt>
                <c:pt idx="1">
                  <c:v>9.5</c:v>
                </c:pt>
                <c:pt idx="2">
                  <c:v>9.5</c:v>
                </c:pt>
                <c:pt idx="3">
                  <c:v>9.5</c:v>
                </c:pt>
                <c:pt idx="4">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3">
                  <c:v>34.5</c:v>
                </c:pt>
                <c:pt idx="4">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-0.29</c:v>
                </c:pt>
                <c:pt idx="1">
                  <c:v>-0.57</c:v>
                </c:pt>
                <c:pt idx="2">
                  <c:v>-0.39</c:v>
                </c:pt>
                <c:pt idx="3">
                  <c:v>1.35</c:v>
                </c:pt>
                <c:pt idx="4">
                  <c:v>1.73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2189</c:v>
                </c:pt>
                <c:pt idx="3">
                  <c:v>2655</c:v>
                </c:pt>
                <c:pt idx="4">
                  <c:v>2811</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4562</c:v>
                </c:pt>
                <c:pt idx="3">
                  <c:v>4451</c:v>
                </c:pt>
                <c:pt idx="4">
                  <c:v>4578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31.5</c:v>
                </c:pt>
                <c:pt idx="1">
                  <c:v>-5.8</c:v>
                </c:pt>
                <c:pt idx="2">
                  <c:v>25.9</c:v>
                </c:pt>
                <c:pt idx="3">
                  <c:v>1.9</c:v>
                </c:pt>
                <c:pt idx="4">
                  <c:v>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18.5</c:v>
                </c:pt>
                <c:pt idx="1">
                  <c:v>16.6</c:v>
                </c:pt>
                <c:pt idx="2">
                  <c:v>16.7</c:v>
                </c:pt>
                <c:pt idx="3">
                  <c:v>17.6</c:v>
                </c:pt>
                <c:pt idx="4">
                  <c:v>17.6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17.6</c:v>
                </c:pt>
                <c:pt idx="1">
                  <c:v>17.6</c:v>
                </c:pt>
                <c:pt idx="2">
                  <c:v>17.6</c:v>
                </c:pt>
                <c:pt idx="3">
                  <c:v>17.6</c:v>
                </c:pt>
                <c:pt idx="4">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Linde</c:v>
                </c:pt>
                <c:pt idx="1">
                  <c:v>Air Liquide</c:v>
                </c:pt>
                <c:pt idx="2">
                  <c:v>Air Products</c:v>
                </c:pt>
                <c:pt idx="3">
                  <c:v>Nippon Sanso</c:v>
                </c:pt>
                <c:pt idx="4">
                  <c:v>Atlas Copco</c:v>
                </c:pt>
              </c:strCache>
            </c:strRef>
          </c:cat>
          <c:val>
            <c:numRef>
              <c:f>Hoja1!$B$2:$B$6</c:f>
              <c:numCache>
                <c:formatCode>0.0"x"</c:formatCode>
                <c:ptCount val="5"/>
                <c:pt idx="3">
                  <c:v>10.6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Airgas</c:v>
                </c:pt>
                <c:pt idx="1">
                  <c:v>Negocio de gases de BOC (EE. UU.)</c:v>
                </c:pt>
                <c:pt idx="2">
                  <c:v>BOC Group</c:v>
                </c:pt>
                <c:pt idx="3">
                  <c:v>Messer Griesheim (parte)</c:v>
                </c:pt>
              </c:strCache>
            </c:strRef>
          </c:cat>
          <c:val>
            <c:numRef>
              <c:f>Hoja1!$B$2:$B$5</c:f>
              <c:numCache>
                <c:formatCode>0.0"x"</c:formatCode>
                <c:ptCount val="4"/>
                <c:pt idx="0">
                  <c:v>13.4</c:v>
                </c:pt>
                <c:pt idx="1">
                  <c:v>9.7</c:v>
                </c:pt>
                <c:pt idx="2">
                  <c:v>10.9</c:v>
                </c:pt>
                <c:pt idx="3">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5965</c:v>
                </c:pt>
                <c:pt idx="1">
                  <c:v>5928</c:v>
                </c:pt>
                <c:pt idx="2">
                  <c:v>6275</c:v>
                </c:pt>
                <c:pt idx="3">
                  <c:v>6611</c:v>
                </c:pt>
                <c:pt idx="4">
                  <c:v>6933</c:v>
                </c:pt>
                <c:pt idx="5">
                  <c:v>7431</c:v>
                </c:pt>
                <c:pt idx="6">
                  <c:v>7920</c:v>
                </c:pt>
                <c:pt idx="7">
                  <c:v>8446</c:v>
                </c:pt>
                <c:pt idx="8">
                  <c:v>8955</c:v>
                </c:pt>
                <c:pt idx="9">
                  <c:v>9487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45119</c:v>
                </c:pt>
                <c:pt idx="1">
                  <c:v>64609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492,11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128.93</c:v>
                </c:pt>
                <c:pt idx="1">
                  <c:v>181.26</c:v>
                </c:pt>
                <c:pt idx="2">
                  <c:v>216.28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492,11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(387,78 – 548,20)</c:v>
                </c:pt>
                <c:pt idx="1">
                  <c:v>Comparables: PER NTM (375,34 – 468,22)</c:v>
                </c:pt>
                <c:pt idx="2">
                  <c:v>DCF (WACC y g ± 0,5) (155,38 – 216,25)</c:v>
                </c:pt>
                <c:pt idx="3">
                  <c:v>Escenarios (bajista – alcista) (128,93 – 216,28)</c:v>
                </c:pt>
                <c:pt idx="4">
                  <c:v>DCF con la prima implícita del mercado (4,2 %)</c:v>
                </c:pt>
                <c:pt idx="5">
                  <c:v>Precio actual (492,11)</c:v>
                </c:pt>
              </c:strCache>
            </c:strRef>
          </c:cat>
          <c:val>
            <c:numRef>
              <c:f>Hoja1!$B$2:$B$7</c:f>
              <c:numCache>
                <c:formatCode>#,##0</c:formatCode>
                <c:ptCount val="6"/>
                <c:pt idx="0">
                  <c:v>387.78</c:v>
                </c:pt>
                <c:pt idx="1">
                  <c:v>375.34</c:v>
                </c:pt>
                <c:pt idx="2">
                  <c:v>155.38</c:v>
                </c:pt>
                <c:pt idx="3">
                  <c:v>128.93</c:v>
                </c:pt>
                <c:pt idx="4">
                  <c:v>203.55</c:v>
                </c:pt>
                <c:pt idx="5">
                  <c:v>489.65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(387,78 – 548,20)</c:v>
                </c:pt>
                <c:pt idx="1">
                  <c:v>Comparables: PER NTM (375,34 – 468,22)</c:v>
                </c:pt>
                <c:pt idx="2">
                  <c:v>DCF (WACC y g ± 0,5) (155,38 – 216,25)</c:v>
                </c:pt>
                <c:pt idx="3">
                  <c:v>Escenarios (bajista – alcista) (128,93 – 216,28)</c:v>
                </c:pt>
                <c:pt idx="4">
                  <c:v>DCF con la prima implícita del mercado (4,2 %)</c:v>
                </c:pt>
                <c:pt idx="5">
                  <c:v>Precio actual (492,11)</c:v>
                </c:pt>
              </c:strCache>
            </c:strRef>
          </c:cat>
          <c:val>
            <c:numRef>
              <c:f>Hoja1!$C$2:$C$7</c:f>
              <c:numCache>
                <c:formatCode>#,##0</c:formatCode>
                <c:ptCount val="6"/>
                <c:pt idx="0">
                  <c:v>160.42000000000007</c:v>
                </c:pt>
                <c:pt idx="1">
                  <c:v>92.88000000000005</c:v>
                </c:pt>
                <c:pt idx="2">
                  <c:v>60.870000000000005</c:v>
                </c:pt>
                <c:pt idx="3">
                  <c:v>87.35</c:v>
                </c:pt>
                <c:pt idx="4">
                  <c:v>53.039999999999964</c:v>
                </c:pt>
                <c:pt idx="5">
                  <c:v>4.920000000000016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