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Lonza Group AG</w:t>
      </w:r>
    </w:p>
    <w:p>
      <w:pPr>
        <w:spacing w:after="60"/>
        <w:rPr>
          <w:color w:val="52514E"/>
          <w:sz w:val="22"/>
          <w:szCs w:val="22"/>
        </w:rPr>
      </w:pPr>
      <w:r>
        <w:rPr>
          <w:color w:val="52514E"/>
          <w:sz w:val="22"/>
          <w:szCs w:val="22"/>
        </w:rPr>
        <w:t xml:space="preserve">LONN · SIX Swiss Exchange (también en SGX como cotización secundaria) · ISIN CH0013841017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570,20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654,39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+15,6 % (base +13,5 %)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456,97 CHF · mercado 565,91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40.028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Lonza Group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LONN / CH0013841017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 (también en SGX como cotización secundaria)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Herramientas y servicios de ciencias de la vida (CDMO)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Basilea · 1897</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www.lonza.com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570,20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597,80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70,2</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40.028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41.286 M CHF</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654,39 CHF</w:t>
      </w:r>
      <w:r>
        <w:t xml:space="preserve"> frente a 570,20 · Rentabilidad a 12 meses </w:t>
      </w:r>
      <w:r>
        <w:rPr>
          <w:b/>
          <w:bCs/>
        </w:rPr>
        <w:t xml:space="preserve">+15,6 % (base +13,5 %)</w:t>
      </w:r>
      <w:r>
        <w:t xml:space="preserve"> · Valor intrínseco 456,97 CHF · con la prima implícita del mercado: 565,91 (-0,8 %) · Alcista / bajista +5,4 % / -52,7 %</w:t>
      </w:r>
    </w:p>
    <w:p>
      <w:pPr>
        <w:spacing w:after="100"/>
      </w:pPr>
      <w:r>
        <w:rPr>
          <w:b/>
        </w:rPr>
        <w:t xml:space="preserve">La recomendación y por qué.</w:t>
      </w:r>
      <w:r>
        <w:t xml:space="preserve"> Mantener, con convicción baja. Nuestro objetivo a 12 meses es de 654,39 CHF (rentabilidad ponderada del 15,6 % con dividendo y del 13,5 % en el caso base), pero el valor intrínseco es de 456,97 CHF, un 19,9 % por debajo del precio de 570,20 CHF, así que no se cumple la condición de valor real para comprar. El objetivo medio de los analistas (681 CHF) queda por encima de nuestro objetivo y de nuestro valor [32]. La razón principal: el mercado paga a Lonza unas 28 veces el beneficio de 2027 por un crecimiento que exige más capital del que la empresa ha demostrado poder rentabilizar. La convicción es baja porque las reglas discrepan (con nuestro WACC daría Vender; con la prima del mercado, Mantener) y porque la diferencia es de tasa; subiría si la caja libre operativa pasa de 1.000 M anuales con el capex por debajo del 15 % de las ventas.</w:t>
      </w:r>
    </w:p>
    <w:p>
      <w:pPr>
        <w:spacing w:after="100"/>
      </w:pPr>
      <w:r>
        <w:rPr>
          <w:b/>
        </w:rPr>
        <w:t xml:space="preserve">El negocio.</w:t>
      </w:r>
      <w:r>
        <w:t xml:space="preserve"> Lonza es, tras vender Capsules &amp; Health Ingredients, un fabricante por encargo (CDMO) puro de biológicos y moléculas complejas, con un foso estrecho: costes de cambio de 12-24 meses y escala en biorreactores [20, 22]. El margen CORE EBITDA ha pasado del 30,2 % en 2024 al 34,8 % en el 1S26 [1, 3]. El ROIC del motor es del 9,3 % (11,9 % según la empresa, sin los activos de CHI en venta) frente a un WACC del 6,61 % [15]. Sostenibilidad: </w:t>
      </w:r>
      <w:r>
        <w:rPr>
          <w:b/>
        </w:rPr>
        <w:t xml:space="preserve">En parte</w:t>
      </w:r>
      <w:r>
        <w:t xml:space="preserve">. La reinversión proyectada solo financia un 1,9 % de crecimiento al ROIC actual frente al 6,1 % proyectado; parte se explica por el margen y la capacidad ya pagada, y hemos rebajado el caso base.</w:t>
      </w:r>
    </w:p>
    <w:p>
      <w:pPr>
        <w:spacing w:after="100"/>
      </w:pPr>
      <w:r>
        <w:rPr>
          <w:b/>
        </w:rPr>
        <w:t xml:space="preserve">Finanzas.</w:t>
      </w:r>
      <w:r>
        <w:t xml:space="preserve"> Ventas del negocio continuado de 6.531 M CHF en 2025 (+21,7 % a tipos constantes) y guía de 2026 del 11-12 % con margen del 33-34 % [1, 3]. La caja libre operativa sigue baja (545 M en 2025) por un capex del ≈21 % de las ventas, aunque mejora (426 M en el 1S26) [1, 6]. Deuda neta de 1,4 veces el EBITDA, que bajará con los 1.700 M de la venta de CHI; recompra de 500 M [13].</w:t>
      </w:r>
    </w:p>
    <w:p>
      <w:pPr>
        <w:spacing w:after="100"/>
      </w:pPr>
      <w:r>
        <w:rPr>
          <w:b/>
        </w:rPr>
        <w:t xml:space="preserve">Valoración.</w:t>
      </w:r>
      <w:r>
        <w:t xml:space="preserve"> El DCF da 446,65 CHF; con la prima implícita del mercado (4,2 %), 584,01. El DCF inverso dice que el precio descuenta un crecimiento del 9,1 % anual en 2027-2035 (nuestro base: 5,8 %) o un margen del 41,6 % (base: 36 %). A 12 meses, el PER de la regla común (27,8x en el base, el actual) sobre nuestro CORE EPS de 2028e (23,1 CHF, un 9 % por debajo del consenso por la divisa) da la rentabilidad ponderada del 15,6 %. Discrepamos del mercado en el capital que cuesta crecer, no en el margen.</w:t>
      </w:r>
    </w:p>
    <w:p>
      <w:pPr>
        <w:spacing w:after="100"/>
      </w:pPr>
      <w:r>
        <w:rPr>
          <w:b/>
        </w:rPr>
        <w:t xml:space="preserve">Riesgos y catalizadores.</w:t>
      </w:r>
      <w:r>
        <w:t xml:space="preserve"> El mayor riesgo es una sobrecapacidad en anticuerpos en 2027-2029 (el bajista vale 269,78 CHF por DCF y 448,40 a 12 meses) y un capex que no baje. Catalizadores: actualización del 3T el 20 de octubre, cierre de CHI y recompra en el 2S26 y guía de 2027 en enero. El sentimiento es positivo y mejora tras el día del inversor; no hay euforia, y los particulares dudan de la caja libre, que es también nuestra duda.</w:t>
      </w:r>
    </w:p>
    <w:p>
      <w:pPr>
        <w:spacing w:after="100"/>
      </w:pPr>
      <w:r>
        <w:rPr>
          <w:b/>
        </w:rPr>
        <w:t xml:space="preserve">Qué cambiaría la decisión.</w:t>
      </w:r>
      <w:r>
        <w:t xml:space="preserve"> Compraríamos por debajo de 456,97 CHF y venderíamos por encima de 732,65 CHF. Subiríamos el valor si la empresa publica un capex a medio plazo por debajo del 14 % de las ventas con crecimiento del 11-13 %, o si el margen semestral pasa del 36 %; lo bajaríamos si el margen cae por debajo del 33 %.</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(la tesis de valor es a más de un año) · Objetivo a 12 meses: </w:t>
      </w:r>
      <w:r>
        <w:rPr>
          <w:b/>
          <w:bCs/>
        </w:rPr>
        <w:t xml:space="preserve">654,39 CHF</w:t>
      </w:r>
      <w:r>
        <w:t xml:space="preserve"> (rentabilidad +15,6 % (base +13,5 %)) · Valor intrínseco: 456,97 CHF (-19,9 % sobre 570,20) · con la prima implícita del mercado: 565,91 (-0,8 %)</w:t>
      </w:r>
    </w:p>
    <w:p>
      <w:pPr>
        <w:spacing w:after="100"/>
      </w:pPr>
      <w:r>
        <w:t xml:space="preserve">Lonza es el mayor CDMO occidental de biológicos y, tras vender CHI a Lone Star por 2.300 M CHF de valor empresa, un negocio puro de fabricación por encargo [13]. Crece a doble dígito a tipos constantes (+21,7 % en 2025, +16,0 % en el 1S26) y su margen CORE EBITDA ha subido del 30,2 % al 34,8 % en dos años al llenar plantas [1, 3]. Los costes de cambio regulatorios y la escala le dan un foso estrecho.</w:t>
      </w:r>
    </w:p>
    <w:p>
      <w:pPr>
        <w:spacing w:after="100"/>
      </w:pPr>
      <w:r>
        <w:t xml:space="preserve">El precio de 570,20 CHF descuenta un crecimiento del 9,1 % anual en 2027-2035 o un margen del 41,6 %, y 27,8 veces nuestro beneficio de 2027. Los analistas, casi todos con recomendación de compra, esperan 681 CHF [32].</w:t>
      </w:r>
    </w:p>
    <w:p>
      <w:pPr>
        <w:spacing w:after="100"/>
      </w:pPr>
      <w:r>
        <w:t xml:space="preserve">Para invertir hay que creer que Lonza puede crecer al 9-10 % durante una década con un capex que baje al 13-14 % de las ventas, es decir, que el capital nuevo rinda el triple que el actual. Nosotros creemos que el margen subirá, pero que el crecimiento seguirá pidiendo mucho capital: a este precio el 12 meses es razonable y el valor a largo plazo, no.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654,39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 × 19,00 = 448,40 · 27,8x × 23,10 = 642,18 · 33,9x × 26,10 = 884,79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 / 13,5 %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681,00 (nuestro base -5,7 %)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456,97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 / -52,7 %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 frente a 6,6 % y 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5,4 %)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565,91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(6,1 % anual proyectado; financiable al ROIC actual: 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456,97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456,97 y 732,65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732,65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456,97 CHF: pasaría a Comprar (cumple las tres condiciones).</w:t>
      </w:r>
    </w:p>
    <w:p>
      <w:pPr>
        <w:pStyle w:val="ListParagraph"/>
        <w:numPr>
          <w:ilvl w:val="0"/>
          <w:numId w:val="2"/>
        </w:numPr>
        <w:spacing w:after="60"/>
      </w:pPr>
      <w:r>
        <w:t xml:space="preserve">Precio por encima de 732,65 CHF: Vender.</w:t>
      </w:r>
    </w:p>
    <w:p>
      <w:pPr>
        <w:pStyle w:val="ListParagraph"/>
        <w:numPr>
          <w:ilvl w:val="0"/>
          <w:numId w:val="2"/>
        </w:numPr>
        <w:spacing w:after="60"/>
      </w:pPr>
      <w:r>
        <w:t xml:space="preserve">Margen CORE EBITDA semestral por debajo del 33 %: rebajaríamos el base y el objetivo.</w:t>
      </w:r>
    </w:p>
    <w:p>
      <w:pPr>
        <w:pStyle w:val="ListParagraph"/>
        <w:numPr>
          <w:ilvl w:val="0"/>
          <w:numId w:val="2"/>
        </w:numPr>
        <w:spacing w:after="60"/>
      </w:pPr>
      <w:r>
        <w:t xml:space="preserve">Guía de capex a medio plazo por debajo del 14 % de las ventas con crecimiento del 11-13 %: subiríamos el valor intrínseco hacia el precio.</w:t>
      </w:r>
    </w:p>
    <w:p>
      <w:pPr>
        <w:pStyle w:val="Heading2"/>
      </w:pPr>
      <w:r>
        <w:t xml:space="preserve">Dónde discrepamos del mercado</w:t>
      </w:r>
    </w:p>
    <w:p>
      <w:pPr>
        <w:keepNext/>
        <w:spacing w:after="100"/>
      </w:pPr>
      <w:r>
        <w:rPr>
          <w:b/>
          <w:bCs/>
        </w:rPr>
        <w:t xml:space="preserve">Lo que descuenta el precio.</w:t>
      </w:r>
    </w:p>
    <w:p>
      <w:pPr>
        <w:spacing w:after="100"/>
      </w:pPr>
      <w:r>
        <w:t xml:space="preserve">Crecimiento del 9,1 % anual durante nueve años más, con un margen que sube al 37-39 % en 2031 y una caja libre que se dispara cuando baje el capex [31].</w:t>
      </w:r>
    </w:p>
    <w:p>
      <w:pPr>
        <w:keepNext/>
        <w:spacing w:after="100"/>
      </w:pPr>
      <w:r>
        <w:rPr>
          <w:b/>
          <w:bCs/>
        </w:rPr>
        <w:t xml:space="preserve">Lo que creemos nosotros.</w:t>
      </w:r>
    </w:p>
    <w:p>
      <w:pPr>
        <w:spacing w:after="100"/>
      </w:pPr>
      <w:r>
        <w:t xml:space="preserve">El margen sube al 36 %, pero el crecimiento en francos es del 8-9 % hasta 2029 y luego baja, y exige un capex del 15-19 % de las ventas durante años.</w:t>
      </w:r>
    </w:p>
    <w:p>
      <w:pPr>
        <w:keepNext/>
        <w:spacing w:after="100"/>
      </w:pPr>
      <w:r>
        <w:rPr>
          <w:b/>
          <w:bCs/>
        </w:rPr>
        <w:t xml:space="preserve">Por qué podemos tener razón.</w:t>
      </w:r>
    </w:p>
    <w:p>
      <w:pPr>
        <w:spacing w:after="100"/>
      </w:pPr>
      <w:r>
        <w:t xml:space="preserve">La historia de Lonza es de capex del 20 % de las ventas y ROIC del 9-12 % [1, 15]; las plantas nuevas de la competencia pueden quitar poder de precio a partir de 2027.</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570,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Margen en máximos y al alza</w:t>
      </w:r>
      <w:r>
        <w:t xml:space="preserve">: 34,8 % en el 1S26 frente al 30,2 % de 2024 [1, 3].</w:t>
      </w:r>
    </w:p>
    <w:p>
      <w:pPr>
        <w:pStyle w:val="ListParagraph"/>
        <w:numPr>
          <w:ilvl w:val="0"/>
          <w:numId w:val="2"/>
        </w:numPr>
        <w:spacing w:after="60"/>
      </w:pPr>
      <w:r>
        <w:rPr>
          <w:b/>
        </w:rPr>
        <w:t xml:space="preserve">CDMO puro con capacidad en EE. UU.</w:t>
      </w:r>
      <w:r>
        <w:t xml:space="preserve">: Vacaville (≈330.000 litros) y Portsmouth frente a la ley BIOSECURE [21].</w:t>
      </w:r>
    </w:p>
    <w:p>
      <w:pPr>
        <w:pStyle w:val="ListParagraph"/>
        <w:numPr>
          <w:ilvl w:val="0"/>
          <w:numId w:val="2"/>
        </w:numPr>
        <w:spacing w:after="60"/>
      </w:pPr>
      <w:r>
        <w:rPr>
          <w:b/>
        </w:rPr>
        <w:t xml:space="preserve">Caja de CHI</w:t>
      </w:r>
      <w:r>
        <w:t xml:space="preserve">: 1.700 M al cierre y recompra de 500 M [13].</w:t>
      </w:r>
    </w:p>
    <w:p>
      <w:pPr>
        <w:pStyle w:val="ListParagraph"/>
        <w:numPr>
          <w:ilvl w:val="0"/>
          <w:numId w:val="2"/>
        </w:numPr>
        <w:spacing w:after="60"/>
      </w:pPr>
      <w:r>
        <w:rPr>
          <w:b/>
        </w:rPr>
        <w:t xml:space="preserve">Rentabilidad a 12 meses del 15,6 %</w:t>
      </w:r>
      <w:r>
        <w:t xml:space="preserve"> con el PER actual (27,8x) y BPA creciendo al 15 % anual.</w:t>
      </w:r>
    </w:p>
    <w:p>
      <w:pPr>
        <w:pStyle w:val="Heading2"/>
      </w:pPr>
      <w:r>
        <w:t xml:space="preserve">En contra</w:t>
      </w:r>
    </w:p>
    <w:p>
      <w:pPr>
        <w:pStyle w:val="ListParagraph"/>
        <w:numPr>
          <w:ilvl w:val="0"/>
          <w:numId w:val="2"/>
        </w:numPr>
        <w:spacing w:after="60"/>
      </w:pPr>
      <w:r>
        <w:rPr>
          <w:b/>
        </w:rPr>
        <w:t xml:space="preserve">Valor intrínseco de 456,97 CHF</w:t>
      </w:r>
      <w:r>
        <w:t xml:space="preserve">, un 19,9 % por debajo del precio.</w:t>
      </w:r>
    </w:p>
    <w:p>
      <w:pPr>
        <w:pStyle w:val="ListParagraph"/>
        <w:numPr>
          <w:ilvl w:val="0"/>
          <w:numId w:val="2"/>
        </w:numPr>
        <w:spacing w:after="60"/>
      </w:pPr>
      <w:r>
        <w:rPr>
          <w:b/>
        </w:rPr>
        <w:t xml:space="preserve">Capital intensivo</w:t>
      </w:r>
      <w:r>
        <w:t xml:space="preserve">: capex del ≈21 % de las ventas en 2025 y caja libre de 545 M [1].</w:t>
      </w:r>
    </w:p>
    <w:p>
      <w:pPr>
        <w:pStyle w:val="ListParagraph"/>
        <w:numPr>
          <w:ilvl w:val="0"/>
          <w:numId w:val="2"/>
        </w:numPr>
        <w:spacing w:after="60"/>
      </w:pPr>
      <w:r>
        <w:rPr>
          <w:b/>
        </w:rPr>
        <w:t xml:space="preserve">El precio descuenta un 9,1 % de crecimiento anual</w:t>
      </w:r>
      <w:r>
        <w:t xml:space="preserve"> en 2027-2035.</w:t>
      </w:r>
    </w:p>
    <w:p>
      <w:pPr>
        <w:pStyle w:val="ListParagraph"/>
        <w:numPr>
          <w:ilvl w:val="0"/>
          <w:numId w:val="2"/>
        </w:numPr>
        <w:spacing w:after="60"/>
      </w:pPr>
      <w:r>
        <w:rPr>
          <w:b/>
        </w:rPr>
        <w:t xml:space="preserve">Franco</w:t>
      </w:r>
      <w:r>
        <w:t xml:space="preserve">: restó ≈5 puntos de crecimiento en el 1S26 (+16,0 % frente a +11,2 %) [4].</w:t>
      </w:r>
    </w:p>
    <w:p>
      <w:pPr>
        <w:pStyle w:val="Heading2"/>
      </w:pPr>
      <w:r>
        <w:t xml:space="preserve">Qué tiene que pasar para que la tesis funcione</w:t>
      </w:r>
    </w:p>
    <w:p>
      <w:pPr>
        <w:spacing w:after="100"/>
      </w:pPr>
      <w:r>
        <w:t xml:space="preserve">La tesis depende de que el capex baje sin frenar el crecimiento: si en 2027 el capex vuelve al 18-19 % de las ventas y la caja libre operativa no supera los 800 M, el mercado tendrá que bajar el múltiplo. La señal contraria: margen semestral por encima del 36 % con capex por debajo del 15 %.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CORE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utilización de las plantas.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18 %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la caja libre y la prueba de sostenibilidad.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tipos constantes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pide 11-13 %.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libre operativa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800 M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lo que el precio ya descuenta.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43,9x / 27,3x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(2022-2025)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 · 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Lonza nació en 1897 como fabricante de electricidad y carburo en Gampel y Lonza (Valais), se convirtió en química fina en Visp y desde los años ochenta en fabricante por encargo de principios activos y, después, de biológicos. En 2017 compró Capsugel (cápsulas) por 5.500 M USD; en 2021 vendió Specialty Ingredients a Bain y Cinven; en 2024 compró a Roche la planta de Vacaville; y en marzo de 2026 acordó vender Capsules &amp; Health Ingredients a Lone Star para quedarse como CDMO puro [20,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el Valais suizo (energía y carburo).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Capsugel (cápsulas duras), 5.500 M USD.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Lonza Specialty Ingredients a Bain Capital y Cinven.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 Genentech (Roche) de la planta de Vacaville, ≈330.000 litros de biorreactores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Wolfgang Wienand (antes primer ejecutivo de Siegfried) asume como primer ejecutivo el 1-jul.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de venta de CHI a Lone Star (valor empresa 2.300 M CHF): Lonza queda como CDMO puro [20].</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Lonza es el mayor fabricante por encargo (CDMO) de medicamentos biológicos y químicos del mundo occidental. Desarrolla y fabrica para farmacéuticas y biotecnológicas anticuerpos monoclonales y otras proteínas en biorreactores de mamífero y microbianos (Integrated Biologics), moléculas pequeñas, péptidos y bioconjugados como los ADC (Advanced Synthesis) y terapias celulares y génicas, ARNm y productos biológicos especiales (Specialized Modalities). Trabaja desde Visp (Suiza), Portsmouth (EE. UU.), Vacaville (EE. UU.), Singapur, Slough (Reino Unido) y otras plantas. Tras vender Capsules &amp; Health Ingredients (CHI) en 2026 será un CDMO puro [20].</w:t>
      </w:r>
    </w:p>
    <w:p>
      <w:pPr>
        <w:pStyle w:val="Heading2"/>
      </w:pPr>
      <w:r>
        <w:t xml:space="preserve">Cómo gana dinero</w:t>
      </w:r>
    </w:p>
    <w:p>
      <w:pPr>
        <w:spacing w:after="100"/>
      </w:pPr>
      <w:r>
        <w:t xml:space="preserve">Cobra por desarrollar procesos y por fabricar lotes comerciales con contratos plurianuales que suelen llevar compromisos mínimos de compra y, en las grandes ampliaciones, inversiones cofinanciadas por el cliente. El margen depende de la utilización de las plantas (coste fijo alto: un biorreactor vacío pierde dinero, uno lleno da márgenes del 35-40 % de EBITDA), de la mezcla (comercial frente a clínico) y del arranque de capacidad nueva, que resta margen durante uno o dos años. Por eso el margen CORE EBITDA bajó al 29,8 % en 2023 y ha subido al 34,8 % en el 1S26 al llenarse capacidad.</w:t>
      </w:r>
    </w:p>
    <w:p>
      <w:pPr>
        <w:pStyle w:val="Heading2"/>
      </w:pPr>
      <w:r>
        <w:t xml:space="preserve">Clientes, recurrencia y poder de precios</w:t>
      </w:r>
    </w:p>
    <w:p>
      <w:pPr>
        <w:spacing w:after="100"/>
      </w:pPr>
      <w:r>
        <w:t xml:space="preserve">Grandes farmacéuticas y biotecnológicas; el mayor contrato conocido fue el de Moderna (ARNm) en 2020-2022. La empresa no publica la concentración de clientes en los extractos disponibles (hueco). Los contratos comerciales son a varios años y cambiar de fabricante un biológico aprobado exige revalidar el proceso ante la FDA y la EMA (12-24 meses), lo que da costes de cambio altos [22].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a tipos constantes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del 11-12 %, con el segundo semestre más flojo por calendario de Advanced Synthesis y una base exigente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CORE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elevada al 33-34 % desde «más del 32 %»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 (2025,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del capex de 2026 pasa a 2027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operativa (antes de compras)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M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beneficio y menos capex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ROIC (definición de la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del informe anual [15].</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la fabricación por encargo (CDMO) de principios activos y medicamentos para farmacéuticas y biotecnológicas, sobre todo biológicos (anticuerpos, proteínas, ADC, terapias celulares y génicas), a escala mundial. No hemos podido leer un estudio de mercado con cifra fiable desde este entorno (hueco): la sección describe la estructura y los motores con datos de las empresas [19,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Externalización de la fabricación de biológicos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farmacéuticas venden plantas propias a los CDMO (Genentech-Vacaville a Lonza, 1.200 M USD)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ADC, péptidos y nuevas modalidades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Lonza invierte en bioconjugados y su plataforma Advanced Synthesis lidera el crecimiento del 1S26 [3,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Relocalización en EE. UU. y ley BIOSECURE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de Lonza en Portsmouth y Vacaville; WuXi Biologics expuesta a la ley [19,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las biotecnológicas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fase clínica depende de la financiación; en 2023 la caída del biotech y el fin de los contratos de Moderna bajaron el margen al 29,8 %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Capacidad nueva en Asia y de las farmacéuticas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Samsung Biologics y WuXi amplían a cientos de miles de litros [19].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actores con capacidad comercial grande, pero Samsung y WuXi compiten en precio y amplían capacidad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farmacéuticas negocian fuerte, pero una vez aprobado el proceso cambiar de planta cuesta 12-24 meses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 y consumibles de varios fabricantes (Thermo Fisher, Danaher, Sartorius).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Plantas de mil millones y años de historial regulatorio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alternativa es fabricar en casa; la tendencia va hacia fuera [21].</w:t>
            </w:r>
          </w:p>
        </w:tc>
      </w:tr>
    </w:tbl>
    <w:p>
      <w:pPr>
        <w:spacing w:after="160" w:before="0"/>
      </w:pPr>
    </w:p>
    <w:p>
      <w:pPr>
        <w:pStyle w:val="Heading2"/>
      </w:pPr>
      <w:r>
        <w:t xml:space="preserve">Ciclo</w:t>
      </w:r>
    </w:p>
    <w:p>
      <w:pPr>
        <w:spacing w:after="100"/>
      </w:pPr>
      <w:r>
        <w:t xml:space="preserve">Tras el bache de 2023 (fin de la demanda de vacunas y frenazo del biotech: margen del 29,8 % y caída del 21,9 % de la acción), la demanda ha vuelto: Lonza creció un 21,7 % a tipos constantes en 2025 y un 16,0 % en el 1S26 [1, 3, 35]. En 2020-2021 el sector vivió una burbuja de vacunas y tipos cero.</w:t>
      </w:r>
    </w:p>
    <w:p>
      <w:pPr>
        <w:pStyle w:val="Heading2"/>
      </w:pPr>
      <w:r>
        <w:t xml:space="preserve">Regulación</w:t>
      </w:r>
    </w:p>
    <w:p>
      <w:pPr>
        <w:spacing w:after="100"/>
      </w:pPr>
      <w:r>
        <w:t xml:space="preserve">Las plantas dependen de las inspecciones de la FDA, la EMA y Swissmedic; un aviso de incumplimiento para una planta entera. En EE. UU., la ley BIOSECURE (restricción a proveedores biotecnológicos chinos) y los aranceles a los medicamentos importados favorecen la capacidad local que tiene Lonza [24, 45].</w:t>
      </w:r>
    </w:p>
    <w:p>
      <w:pPr>
        <w:pStyle w:val="Heading2"/>
      </w:pPr>
      <w:r>
        <w:t xml:space="preserve">Tendencias y disrupción</w:t>
      </w:r>
    </w:p>
    <w:p>
      <w:pPr>
        <w:spacing w:after="100"/>
      </w:pPr>
      <w:r>
        <w:t xml:space="preserve">Los ADC, los péptidos (agonistas GLP-1) y las terapias celulares crecen más que los anticuerpos clásicos; Lonza invierte en todas. El riesgo es la sobrecapacidad en anticuerpos de 2027-2028 si las ampliaciones de Asia y de las propias farmacéuticas llegan a la vez [19, 20].</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CDMO occidental en biológicos; compite con Samsung Biologics y WuXi Biologics (Asia), Thermo Fisher (Patheon), Fujifilm Diosynth y Catalent (Novo Holdings) [19, 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Samsung Biologics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207940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biorreactores grandes en Songdo; crece con contratos de grandes farmacéuticas; PER a plazo ≈41x (marzo de 2026).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WuXi Biologics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2269</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21.790 M RMB de ventas (+16,7 %) y &gt;260.000 litros; expuesto a la ley BIOSECURE de EE. UU.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 (Patheon)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TMO</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CDMO dentro de un grupo de instrumentos y consumibles.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Fujifilm Diosynth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Ampliaciones grandes en Dinamarca y Carolina del Norte.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Siegfried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SFZN</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CDMO de moléculas pequeñas; 13 plantas en siete países [23].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fabricación por encargo.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biológico aprobado necesita revalidar el proceso para cambiar de planta (12-24 meses de trabajo regulatorio)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regulatorio y de calidad de 40 años en biológicos; ROIC del 11,9 % [A15].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Samsung y WuXi construyen más barato; Lonza compite por fiabilidad y tecnología.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Pocos actores con capacidad comercial grande de mamífero; Vacaville añade ≈330.000 litros [3].</w:t>
            </w:r>
          </w:p>
        </w:tc>
      </w:tr>
    </w:tbl>
    <w:p>
      <w:pPr>
        <w:spacing w:after="160" w:before="0"/>
      </w:pPr>
    </w:p>
    <w:p>
      <w:pPr>
        <w:pStyle w:val="Heading2"/>
      </w:pPr>
      <w:r>
        <w:t xml:space="preserve">Amenazas</w:t>
      </w:r>
    </w:p>
    <w:p>
      <w:pPr>
        <w:spacing w:after="100"/>
      </w:pPr>
      <w:r>
        <w:t xml:space="preserve">La capacidad nueva de Samsung Biologics, Fujifilm y las grandes farmacéuticas que fabrican en casa puede bajar la utilización del sector a partir de 2027-2028; WuXi Biologics, si BIOSECURE no le cierra EE. UU., compite en precio. A favor: BIOSECURE y los aranceles a medicamentos empujan a fabricar en EE. UU. y Europa, donde Lonza tiene plantas [B6].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p>
      <w:pPr>
        <w:spacing w:after="100"/>
      </w:pPr>
      <w:r>
        <w:t xml:space="preserve">Crecimiento anual compuesto 2022-2025: ingresos </w:t>
      </w:r>
      <w:r>
        <w:rPr>
          <w:b/>
          <w:bCs/>
        </w:rPr>
        <w:t xml:space="preserve">1,6 %</w:t>
      </w:r>
      <w:r>
        <w:t xml:space="preserve">, EBITDA </w:t>
      </w:r>
      <w:r>
        <w:rPr>
          <w:b/>
          <w:bCs/>
        </w:rPr>
        <w:t xml:space="preserve">1,1 %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Las ventas del grupo pasaron de 6.223 M CHF en 2022 a 6.717 M en 2023; tras sacar CHI, el negocio continuado pasó de 5.480 M en 2024 a 6.531 M en 2025 (+19,2 % en francos y +21,7 % a tipos constantes), con Vacaville consolidada desde octubre de 2024 [1, 7, 10]. El margen CORE EBITDA bajó del 32,1 % de 2022 al 29,8 % de 2023 (fin de los contratos de vacunas y arranque de capacidad) y ha subido al 30,2 % en 2024, al 31,6 % en 2025 y al 34,8 % en el 1S26 por la utilización de las plantas [1, 3, 10]. El beneficio atribuido del negocio continuado fue de 909 M en 2025 (BPA diluido 13,00) y de 591 M en el 1S26 [2, 5]. En 2025 el beneficio del grupo fue negativo por el deterioro de CHI (el fondo de comercio bajó de 3.370 M a 1.960 M) [8].</w:t>
      </w:r>
    </w:p>
    <w:p>
      <w:pPr>
        <w:pStyle w:val="Heading2"/>
      </w:pPr>
      <w:r>
        <w:t xml:space="preserve">Ajustes y partidas no recurrentes</w:t>
      </w:r>
    </w:p>
    <w:p>
      <w:pPr>
        <w:spacing w:after="100"/>
      </w:pPr>
      <w:r>
        <w:t xml:space="preserve">Lonza publica cifras CORE que excluyen la amortización de intangibles comprados, deterioros, reestructuración y costes de compras: CORE EPS de 15,08 CHF en 2025 frente a 13,04 de BPA NIIF básico, y 13,12 frente a 8,51 en 2024 [1]. Usamos el CORE EBITDA en la cuenta, el DCF y los múltiplos, y el CORE EPS en el PER histórico y el objetivo a 12 meses. El resultado financiero (−158 M) y los impuestos (173 M) de 2025 son estimación propia (tipo del 16 % sobre el beneficio y el resultado de explotación de ≈1.240 M)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Lo que dijo la dirección en las últimas presentaciones</w:t>
      </w:r>
    </w:p>
    <w:p>
      <w:pPr>
        <w:spacing w:after="100"/>
      </w:pPr>
      <w:r>
        <w:t xml:space="preserve">En julio (1S26) la dirección presentó ventas de 3.370 M (+16,0 % a tipos constantes, +11,2 % en francos), un margen CORE EBITDA del 34,8 % (+4,4 puntos, frente al 33,2 % que esperaban los analistas) y una caja libre operativa de 426 M (116 M un año antes) [3, 4, 6]. Subió la guía de margen de 2026 al 33-34 % y mantuvo la de ventas (+11-12 %), lo que implica un segundo semestre más lento por el calendario de Advanced Synthesis, una base exigente y Vacaville plana en 2026 [4]. La acción cayó un 4,9 % ese día [42]. En enero (2025) el mensaje era de crecimiento por encima del 20 % y margen al alza; entre una y otra la dirección pasó a hablar de margen y caja más que de crecimiento. El día del inversor del 13-14 de octubre en Vacaville trajo objetivos de margen a 2031 por encima de lo esperado: los analistas pasan al 37-39 %, frente a un consenso del 35,7 % [28, 31]. No hemos podido leer las transcripciones (hueco).</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Compra de la planta de Genentech (Roche) en Vacaville (California) por 1.200 M USD, consolidada desde el 1-oct-2024 [1].). Los ratios de balance de ese año (días, circulante, deuda neta / EBITDA, ROIC) y los indicadores de calidad contable no son comparables con los anteriores.</w:t>
      </w:r>
    </w:p>
    <w:p>
      <w:pPr>
        <w:spacing w:after="100"/>
      </w:pPr>
      <w:r>
        <w:t xml:space="preserve">Balance holgado: deuda neta de 1,4 veces el CORE EBITDA a fin de 2025, que bajará por debajo de 1 vez con el cobro de CHI aunque se pague la recompra [1, 13]. La caja bajó de 1.711 M a 719 M en 2025 por el capex y la compra de Vacaville [8]. En el puente restamos 2.000 M por CHI (1.700 M en efectivo y 300 M, prudentes, por el 40 % retenido).</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Acumulado 2024-2025: FCF </w:t>
      </w:r>
      <w:r>
        <w:rPr>
          <w:b/>
          <w:bCs/>
        </w:rPr>
        <w:t xml:space="preserve">1.147</w:t>
      </w:r>
      <w:r>
        <w:t xml:space="preserve">, conversión </w:t>
      </w:r>
      <w:r>
        <w:rPr>
          <w:b/>
          <w:bCs/>
        </w:rPr>
        <w:t xml:space="preserve">76 %</w:t>
      </w:r>
      <w:r>
        <w:t xml:space="preserve"> del beneficio neto; adquisiciones 1.116, dividendos 564, recompras 0.</w:t>
      </w:r>
    </w:p>
    <w:p>
      <w:pPr>
        <w:spacing w:after="100"/>
      </w:pPr>
      <w:r>
        <w:t xml:space="preserve">Lonza invierte mucho: capex del grupo de 1.417 M en 2024 y 1.373 M en 2025 (≈21 % de las ventas del negocio continuado) y 1.653 M en 2023 [1, 14]. La caja libre operativa antes de compras fue de 313 M en 2024 y 545 M en 2025 en el negocio continuado (674 M en el grupo), y de 426 M en el 1S26 con el capex bajando al 15,7 % de las ventas [1, 6]. El flujo operativo de la tabla es estimación propia: caja libre operativa del grupo + capex. Buena parte del capex de 2022-2025 es de crecimiento (Visp Ibex, Portsmouth, Vacaville); el de mantenimiento no se publica (estimamos ≈6-8 % de las ventas).</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p>
      <w:pPr>
        <w:spacing w:after="160" w:before="0"/>
      </w:pPr>
    </w:p>
    <w:p>
      <w:pPr>
        <w:pStyle w:val="Heading2"/>
      </w:pPr>
      <w:r>
        <w:t xml:space="preserve">Ajustes, criterios contables y remuneración en acciones</w:t>
      </w:r>
    </w:p>
    <w:p>
      <w:pPr>
        <w:spacing w:after="100"/>
      </w:pPr>
      <w:r>
        <w:t xml:space="preserve">Cuentas auditadas por Deloitte, reelegido en 2026 [25]. Las cifras CORE quitan cada año partidas que se repiten (amortización de intangibles comprados, costes de integración y reestructuración): en 2025 el CORE EPS (15,08) supera al BPA NIIF (13,04) en un 16 % [1]. El deterioro de CHI de 2025 (≈1.400 M de fondo de comercio menos) [8] confirma que la compra de Capsugel en 2017 (5.500 M USD) destruyó valor. Altman Z 3,01 (zona segura); Piotroski y Beneish no se pueden calcular sin el balance de dos años.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 persistente entre CORE y NIIF</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15,08 frente a 13,04 de BPA en 2025 y 13,12 frente a 8,51 en 2024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 CHI</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3.370 M a 1.960 M en 2025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Reexpresiones por cambios de perímetro y de segmentos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 interrumpida y tres plataformas nuevas en 2025; 2021 reexpresado por la política de APM [12, 18].</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6,6 %.</w:t>
      </w:r>
    </w:p>
    <w:p>
      <w:pPr>
        <w:spacing w:after="100"/>
      </w:pPr>
      <w:r>
        <w:t xml:space="preserve">ROIC del 9,3 % en 2025 según el motor (NOPAT de 1.042 M sobre 11.228 M de capital, con los activos de CHI); la empresa publica el 11,9 % (10,9 % en 2024 y 8,7 % en 2023) [15]. Frente a un WACC del 6,61 %, crea valor, pero con un margen corto (2,7 puntos con el motor y ≈5 con la cifra de la empresa). El ROIC lo mueve el margen: la rotación es baja (≈0,6 veces el capital) porque las plantas valen más que lo que facturan hasta que se llenan. Un CDMO de moléculas pequeñas como Siegfried rinde algo menos; Samsung Biologics, más con plantas llenas [23].</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dic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3.258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719 M a dic-2025 (1.711 M a dic-2024) [8]; 1.700 M en efectivo esperados al cierre de la venta de CHI en el 2S26 [13].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0" name="Gráfico 10"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Covenants, pasivos fuera de la deuda y contingencias</w:t>
      </w:r>
    </w:p>
    <w:p>
      <w:pPr>
        <w:spacing w:after="100"/>
      </w:pPr>
      <w:r>
        <w:t xml:space="preserve">El pasivo relevante es la deuda financiera (bonos en francos y euros), que solo tenemos en neto: 3.258 M a diciembre de 2025 (1,4 veces el CORE EBITDA), con CHI incluida [1]. La venta de CHI aportará 1.700 M en efectivo al cierre (2S26) y una participación del 40 % con derecho preferente en la salida futura; la empresa espera al menos 3.000 M sin descontar en total [13]. De ahí saldrá una recompra acelerada de 500 M. No hemos podido leer las notas de pensiones, provisiones ni litigios (hueco).</w:t>
      </w:r>
    </w:p>
    <w:p>
      <w:pPr>
        <w:pStyle w:val="Heading1"/>
      </w:pPr>
      <w:r>
        <w:t xml:space="preserve">12. Asignación de capital</w:t>
      </w:r>
    </w:p>
    <w:p>
      <w:pPr>
        <w:pStyle w:val="Confianza"/>
        <w:spacing w:after="100"/>
      </w:pPr>
      <w:r>
        <w:t xml:space="preserve">Confianza: Media</w:t>
      </w:r>
    </w:p>
    <w:p>
      <w:pPr>
        <w:spacing w:after="100"/>
      </w:pPr>
      <w:r>
        <w:t xml:space="preserve">Dividendo de 5,00 CHF con cargo a 2025 (+25 %), dentro de la política de repartir el 35-45 % del CORE beneficio [1, 17]. Recompra acelerada de 500 M al cobrar la venta de CHI [13]. La prioridad es el capex orgánico (modelo «CDMO Organic Growth») y compras pequeñas de plantas.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 biológica de Genentech en Vacaville (EE. UU.), ≈330.000 litros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terminada en 2025; ventas de 2026 planas frente a 2025 por calendario; clave para la utilización de capacidad en 2027-2030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Capsules &amp; Health Ingredients a Lone Star (desinversión)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1.700 M en efectivo + 40 % retenido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esperado en el 2S26; recompra de 500 M al cobrar [13].</w:t>
            </w:r>
          </w:p>
        </w:tc>
      </w:tr>
    </w:tbl>
    <w:p>
      <w:pPr>
        <w:spacing w:after="160" w:before="0"/>
      </w:pPr>
    </w:p>
    <w:p>
      <w:pPr>
        <w:spacing w:after="100"/>
      </w:pPr>
      <w:r>
        <w:t xml:space="preserve">El historial es mixto. Capsugel (2017) acabó vendida con deterioro; Specialty Ingredients se vendió en 2021 a buen precio; Vacaville (2024, 1.200 M USD por ≈330.000 litros) parece una compra barata frente al coste de construir [21]. La dirección actual (desde 2024) ha simplificado la empresa y ha subido el margen 4,6 puntos en dos años [1, 3]. El ROIC del 11,9 % (2025) está por encima del WACC pero lejos de los CDMO de moléculas pequeñas de los años buenos [15].</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Wolfgang Wienand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de Siegfried de 2019 a 2024, donde dobló el tamaño del grupo con compras de plantas a farmacéuticas [27]. En Lonza ha sacado CHI, integrado Vacaville y llevado el margen CORE EBITDA del 30,2 % (2024 reexpresado) al 34,8 % del 1S26 [A1, A3].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Philippe Deecke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presenta con el primer ejecutivo el día del inversor de octubre de 2026 [28].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Jean-Marc Huët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no ejecutivo, reelegido en la junta de mayo de 2026 [25].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CDMO +20 % aprox. a tipos constantes y mejora del margen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+21,7 % y margen CORE EBITDA del 31,6 % (+1,4 p.)</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2024-2028 (plan de 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+11-13 % anual a tipos constantes (12-15 % desde mayo de 2024), margen CORE EBITDA 32-34 %, ROIC de dos cifras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2026e en la parte alta del margen (33-34 %) y ROIC del 11,9 % en 2025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Wolfgang Wienand llegó en julio de 2024 desde Siegfried, tras una etapa de inestabilidad (salida de Pierre-Alain Ruffieux en 2023) [27]. En dos años ha cumplido las guías: 2025 con +21,7 % de ventas y margen del 31,6 %, y 2026 con la guía de margen elevada en julio [1, 3]. El mercado le reprocha cierta prudencia en la guía de ventas [42]. El día del inversor de octubre de 2026 fijó objetivos a 2031 por encima de lo esperado [31].</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Jean-Marc Huët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Angelica Kohlmann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 Mäder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Meline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Eric Drapé</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Claudia Süssmuth-Dyckerhoff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Sami Atiya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Stephen Fry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informe de remuneraciones de 2025 obtuvo un 88,80 % a favor y un 11,00 % en contra en la junta del 8-may-2026, con el 62,58 % del capital representado [26]. No hemos podido leer las métricas del variable (hueco).</w:t>
      </w:r>
    </w:p>
    <w:p>
      <w:pPr>
        <w:pStyle w:val="Heading2"/>
      </w:pPr>
      <w:r>
        <w:t xml:space="preserve">Operaciones vinculadas, estructura de control y defensas</w:t>
      </w:r>
    </w:p>
    <w:p>
      <w:pPr>
        <w:spacing w:after="100"/>
      </w:pPr>
      <w:r>
        <w:t xml:space="preserve">Sin accionista de control: el capital está repartido entre fondos internacionales. Una acción, un voto. El consejo, presidido por Jean-Marc Huët, renovó tres puestos en 2026 (Sami Atiya, Stephen Fry y Claudia Süssmuth-Dyckerhoff) [25].</w:t>
      </w:r>
    </w:p>
    <w:p>
      <w:pPr>
        <w:pStyle w:val="Heading2"/>
      </w:pPr>
      <w:r>
        <w:t xml:space="preserve">Señales de alerta</w:t>
      </w:r>
    </w:p>
    <w:p>
      <w:pPr>
        <w:pStyle w:val="ListParagraph"/>
        <w:numPr>
          <w:ilvl w:val="0"/>
          <w:numId w:val="2"/>
        </w:numPr>
        <w:spacing w:after="60"/>
      </w:pPr>
      <w:r>
        <w:t xml:space="preserve">Ninguna relevante detectada en los extractos de búsqueda (la junta de 2026 aprobó todos los puntos); no se pudo revisar el informe de gobierno ni el registro de operaciones de directivos de la SIX.</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(22-jul-2026): ventas +11-12 % a tipos constantes y margen CORE EBITDA del 33-34 % (antes, «más del 32 %») [3]. Plan 2024-2028 (2023): ventas +11-13 % anual a tipos constantes, margen del 32-34 % y ROIC de dos cifras [17]. El día del inversor de octubre de 2026 subió los objetivos de margen a 2031 (los analistas pasan al 37-39 %)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aktien.guide (27-28 analistas) [33]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aktien.guide [33]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 [33]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681,00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550,00 – 835,00</w:t>
            </w:r>
          </w:p>
        </w:tc>
      </w:tr>
    </w:tbl>
    <w:p>
      <w:pPr>
        <w:spacing w:after="160" w:before="0"/>
      </w:pPr>
    </w:p>
    <w:p>
      <w:pPr>
        <w:pStyle w:val="Heading2"/>
      </w:pPr>
      <w:r>
        <w:t xml:space="preserve">Revisiones de estimaciones</w:t>
      </w:r>
    </w:p>
    <w:p>
      <w:pPr>
        <w:spacing w:after="100"/>
      </w:pPr>
      <w:r>
        <w:t xml:space="preserve">Las estimaciones de BPA han subido tras la mejora del margen de julio; los objetivos medios se mantienen en torno a 676-681 CHF desde el verano [32, 33]. Tras el día del inversor se esperan subidas de margen en los modelos [31]. Solo tenemos una fuente de BPA (aktien.guide) y otra de objetivos (Investing.com).</w:t>
      </w:r>
    </w:p>
    <w:p>
      <w:pPr>
        <w:pStyle w:val="Heading1"/>
      </w:pPr>
      <w:r>
        <w:t xml:space="preserve">17. Múltiplos frente a su historia</w:t>
      </w:r>
    </w:p>
    <w:p>
      <w:pPr>
        <w:pStyle w:val="Confianza"/>
        <w:spacing w:after="100"/>
      </w:pPr>
      <w:r>
        <w:t xml:space="preserve">Confianza: Media</w:t>
      </w:r>
    </w:p>
    <w:p>
      <w:pPr>
        <w:spacing w:after="160" w:before="0"/>
      </w:pPr>
    </w:p>
    <w:p>
      <w:pPr>
        <w:spacing w:after="100"/>
      </w:pPr>
      <w:r>
        <w:t xml:space="preserve">Sobre el CORE EPS, Lonza cotizó a 60,1x en 2021 (burbuja), 30,7x en 2022, 28,5x en 2023, 40,8x en 2024 y 35,7x en 2025 [1, 12, 34, 35]. Hoy cotiza a 27,8x nuestro CORE EPS de 2027e: por debajo de su mediana de cuatro años (33,2x) porque el BPA crece deprisa con el margen. El cambio estructural es la salida de CHI y la mejora del margen.</w:t>
      </w:r>
    </w:p>
    <w:p>
      <w:pPr>
        <w:pStyle w:val="Heading1"/>
      </w:pPr>
      <w:r>
        <w:t xml:space="preserve">18. Comparables cotizados</w:t>
      </w:r>
    </w:p>
    <w:p>
      <w:pPr>
        <w:pStyle w:val="Confianza"/>
        <w:spacing w:after="100"/>
      </w:pPr>
      <w:r>
        <w:t xml:space="preserve">Confianza: Baja</w:t>
      </w:r>
    </w:p>
    <w:p>
      <w:pPr>
        <w:spacing w:after="100"/>
      </w:pPr>
      <w:r>
        <w:t xml:space="preserve">CDMO cotizados (Samsung Biologics, WuXi Biologics, Siegfried) y proveedores de servicios y equipos para biofarmacia (Thermo Fisher, Danaher, Charles River) [37, 38, 39, 40]. Faltan Bachem y Fujifilm (sin PER fiable) y Catalent ya no cotiza. Solo tenemos el PER de los próximos 12 meses de los tres CDMO; los demás datos son de los informes del repo del mismo día.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Lonza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Samsung Biologics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WuXi Biologics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Siegfried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Danaher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Charles River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 / 24,0x / 24,3x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782,12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23,0x / 24,3x / 24,4x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509,29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Lonza cotiza a 27,3x el BPA de consenso de los próximos 12 meses, por encima de la mediana de comparables (24,3x) y muy por debajo de Samsung Biologics (≈41x) [37]. La prima frente a WuXi (22,6x) y Siegfried (18,7x) se explica por el margen (34,8 %) y por el riesgo político de WuXi [38, 39]. Por EV/EBITDA de los últimos 12 meses, la mediana (24,0x) daría 773,87 CHF, pero sale de tres empresas que no son CDMO; damos más peso al PER.</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El plan 2024-2028 pide +11-13 % anual a tipos constantes [17] y la guía de 2026 es +11-12 % [3]; en francos, la divisa ha restado ≈5 puntos en el 1S26 (+16,0 % frente a +11,2 %) [4]. Proyectamos +8,5 % en francos en 2026 (fijo), +9,0 % en 2027 y +8,5 % en 2028, y luego una bajada hasta el 2 % en 2035. El caso base está rebajado por la prueba de sostenibilidad (≈0,5-1 punto anual menos que el plan menos la divisa). El consenso de ventas (7.300 / 8.200 / 9.100 M) es más alto [33].</w:t>
      </w:r>
    </w:p>
    <w:p>
      <w:pPr>
        <w:keepNext/>
        <w:spacing w:after="100"/>
      </w:pPr>
      <w:r>
        <w:rPr>
          <w:b/>
          <w:bCs/>
        </w:rPr>
        <w:t xml:space="preserve">Márgenes.</w:t>
      </w:r>
    </w:p>
    <w:p>
      <w:pPr>
        <w:spacing w:after="100"/>
      </w:pPr>
      <w:r>
        <w:t xml:space="preserve">Margen CORE EBITDA del 33,5 % en 2026 (guía 33-34 %) que sube al 36 % en 2029 y se queda ahí [3]. Es menos que el 37-39 % que los analistas leen en los objetivos del día del inversor a 2031 [31] porque la capacidad nueva de Asia puede bajar precios a partir de 2027-2028.</w:t>
      </w:r>
    </w:p>
    <w:p>
      <w:pPr>
        <w:keepNext/>
        <w:spacing w:after="100"/>
      </w:pPr>
      <w:r>
        <w:rPr>
          <w:b/>
          <w:bCs/>
        </w:rPr>
        <w:t xml:space="preserve">Inversión y circulante.</w:t>
      </w:r>
    </w:p>
    <w:p>
      <w:pPr>
        <w:spacing w:after="100"/>
      </w:pPr>
      <w:r>
        <w:t xml:space="preserve">Capex del 17 % en 2026 (guía de la «mitad del rango de los mid-to-upper teens») y del 19 % en 2027-2028 (parte del capex de 2026 pasa a 2027) [20, 45], que baja hasta el 13,5 % en 2035, por encima de la amortización (12,5 %) para financiar el crecimiento final. El circulante va dentro del capex (no tenemos su histórico). Amortización del 11-12,5 % de las ventas (cuadra el CORE EPS de 2025 con un 11 %).</w:t>
      </w:r>
    </w:p>
    <w:p>
      <w:pPr>
        <w:keepNext/>
        <w:spacing w:after="100"/>
      </w:pPr>
      <w:r>
        <w:rPr>
          <w:b/>
          <w:bCs/>
        </w:rPr>
        <w:t xml:space="preserve">Coste del capital.</w:t>
      </w:r>
    </w:p>
    <w:p>
      <w:pPr>
        <w:spacing w:after="100"/>
      </w:pPr>
      <w:r>
        <w:t xml:space="preserve">Tasa libre del 0,54 % (bono de la Confederación a 10 años, la misma que en los informes de Roche y Givaudan del repo); beta 1,0 (estimada: CDMO más cíclico que la farmacia; sin datos de bolsa); prima de mercado del 5,5 % más 1 punto adicional por la tasa libre suiza anormalmente baja; deuda al 2 % y 8 % del capital. WACC 6,61 %. Con la prima implícita del mercado (4,2 %) [41], el DCF sube a 584,01 CHF: la recomendación depende de la tasa.</w:t>
      </w:r>
    </w:p>
    <w:p>
      <w:pPr>
        <w:keepNext/>
        <w:spacing w:after="100"/>
      </w:pPr>
      <w:r>
        <w:rPr>
          <w:b/>
          <w:bCs/>
        </w:rPr>
        <w:t xml:space="preserve">Valor terminal.</w:t>
      </w:r>
    </w:p>
    <w:p>
      <w:pPr>
        <w:spacing w:after="100"/>
      </w:pPr>
      <w:r>
        <w:t xml:space="preserve">Gordon con un 1,0 % en francos (inflación suiza esperada ≈0,5-1 % y tasa libre del 0,54 %); el valor terminal es el 68 % del total. No usamos la etapa de transición: el ROIC del motor (9,3 %) no supera al WACC en 5 puntos.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416,90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570,41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 M (21 %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(ROIC 9,3 %)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w:t>
            </w:r>
          </w:p>
        </w:tc>
      </w:tr>
    </w:tbl>
    <w:p>
      <w:pPr>
        <w:spacing w:after="160" w:before="0"/>
      </w:pPr>
    </w:p>
    <w:p>
      <w:pPr>
        <w:spacing w:after="100"/>
      </w:pPr>
      <w:r>
        <w:t xml:space="preserve">La proyección reinvierte el 21 % del NOPAT. Con el ROIC del último ejercicio (9,3 %), eso financia un crecimiento del 1,9 % anual, frente al 6,1 % de ingresos proyectado. Supone que el capital nuevo rinde un 32,2 %.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arranque de capacidad en Visp, Portsmouth y Singapur y ADC (+9,5); precio y mezcla +2; divisa −3 (el 1S26 restó ≈5 puntos) [3,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+9: Vacaville empieza a llenarse tras un 2026 plano [3]; precio +2; divisa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+8,5 con la capacidad nueva; precio +2; divisa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+8; precio +2; divisa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+7 a medida que se llenan las plantas; precio +2; divisa −2.</w:t>
            </w:r>
          </w:p>
        </w:tc>
      </w:tr>
    </w:tbl>
    <w:p>
      <w:pPr>
        <w:spacing w:after="160" w:before="0"/>
      </w:pPr>
    </w:p>
    <w:p>
      <w:pPr>
        <w:spacing w:after="100"/>
      </w:pPr>
      <w:r>
        <w:t xml:space="preserve">El foso es estrecho pero real (costes de cambio de 12-24 meses y escala en biológicos) y la empresa ha demostrado crecer: +21,7 % en 2025 y +16 % en el 1S26 [1, 3]. La prueba de reinversión falla: con el ROIC del motor (9,3 %, que incluye los activos de CHI) la reinversión proyectada financia un 1,9 % anual frente al 6,1 % proyectado, y el capital nuevo tendría que rendir un 32,2 %. Parte de la diferencia se explica (ROIC sin CHI ≈12 %, margen del 31,6 % al 36 % y plantas ya pagadas sin llenar), pero no toda: rebajamos el caso base (crecimiento de 2027-2032 0,5-1 punto por debajo del plan y capex del 19 % en 2027-2028). Cuota final: sin dato de mercado (hueco).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(base: 5,8 %)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41,6 % (base: 36,0 %)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 (WACC: 6,6 %)</w:t>
            </w:r>
          </w:p>
        </w:tc>
      </w:tr>
    </w:tbl>
    <w:p>
      <w:pPr>
        <w:spacing w:after="160" w:before="0"/>
      </w:pPr>
    </w:p>
    <w:p>
      <w:pPr>
        <w:spacing w:after="100"/>
      </w:pPr>
      <w:r>
        <w:t xml:space="preserve">El DCF base da 446,65 CHF por acción, un 21,7 % por debajo del precio, con un valor terminal del 68 % del total. El DCF inverso dice que el precio de 570,20 CHF descuenta un crecimiento de ventas del 9,1 % anual en 2027-2035 (nuestro base: 5,8 %) o un margen del 41,6 % (nuestro base: 36 %), o una rentabilidad del 5,5 % frente a un WACC del 6,61 %. Es exigente: supone que Lonza mantiene el ritmo de su plan durante nueve años más y con poco capital, algo que solo ha hecho en la etapa de las vacunas. Con la prima implícita del mercado (4,2 %) el valor sube a 584,01 CHF, en línea con el precio: el mercado paga a Lonza como a un activo de calidad con tasa baja. La distancia entre nuestro valor y el precio es sobre todo de tasa de descuento y de capital necesario para crecer, no de márgenes.</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capacidad nueva de Samsung, Fujifilm y las farmacéuticas llega a la vez en 2027-2028, la utilización baja como en 2023 y el margen se queda cerca del 33 %; ventas 4 puntos por debajo del base cada año.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Lonza llena Vacaville y Visp, crece un 8-9 % en francos hasta 2029 y el margen llega al 36 %, con un capex que baja despacio del 19 % al 13,5 % de las ventas.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601,06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ADC, péptidos y relocalización en EE. UU. empujan el volumen 3 puntos por encima del base y el margen llega al 37,5 %, el centro de lo que el mercado lee en los objetivos a 2031.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alor por acción por escenario (CHF) · precio actual 570,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rPr>
          <w:b/>
          <w:bCs/>
        </w:rPr>
        <w:t xml:space="preserve">Valor ponderado por probabilidad:</w:t>
      </w:r>
      <w:r>
        <w:t xml:space="preserve"> 441,04 CHF (-22,7 %).</w:t>
      </w:r>
    </w:p>
    <w:p>
      <w:pPr>
        <w:spacing w:after="100"/>
      </w:pPr>
      <w:r>
        <w:t xml:space="preserve">Bajista 269,78, base 446,65 y alcista 601,06 CHF por acción: el alcista apenas supera el precio (+5,4 %) y el bajista pierde un 52,7 %. Por DCF la asimetría es mala; a 12 meses, con la regla de múltiplos, es buena (2,58x), porque el PER del bajista no baja tanto. La diferencia muestra que el precio descansa en el múltiplo, no en los flujos.</w:t>
      </w:r>
    </w:p>
    <w:p>
      <w:pPr>
        <w:pStyle w:val="Heading1"/>
      </w:pPr>
      <w:r>
        <w:t xml:space="preserve">22. Suma de partes</w:t>
      </w:r>
    </w:p>
    <w:p>
      <w:pPr>
        <w:pStyle w:val="Confianza"/>
        <w:spacing w:after="100"/>
      </w:pPr>
      <w:r>
        <w:t xml:space="preserve">Confianza: Baja</w:t>
      </w:r>
    </w:p>
    <w:p>
      <w:pPr>
        <w:spacing w:after="100"/>
      </w:pPr>
      <w:r>
        <w:t xml:space="preserve">No aplica: tras la venta de CHI, Lonza es un solo negocio CDMO con tres plataformas sin cifras separadas.</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7" name="Gráfico 17" descr="Valor por acción según cada método (CHF) · precio actual 570,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537,11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573,05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456,97 CHF (-19,9 % sobre 570,20).</w:t>
      </w:r>
    </w:p>
    <w:p>
      <w:pPr>
        <w:spacing w:after="100"/>
      </w:pPr>
      <w:r>
        <w:t xml:space="preserve">Pesos: DCF 50 %, escenarios 30 % y comparables 20 %. El DCF es el método más útil en un negocio de capital intensivo, pero depende mucho de la tasa: con nuestro WACC (6,61 %) da 446,65 CHF y con la prima del mercado 584,01. Los comparables por PER dan 506,68 y por EV/EBITDA 773,87, una dispersión que refleja que los comparables no son CDMO puros. Valor intrínseco de 456,97 CHF, un 19,9 % por debajo del precio. Los analistas (681 CHF de media) están por encima de todo nuestro rango salvo del alcista a 12 meses [32].</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448,40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642,18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884,79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+56,0 %</w:t>
            </w:r>
          </w:p>
        </w:tc>
      </w:tr>
    </w:tbl>
    <w:p>
      <w:pPr>
        <w:spacing w:after="160" w:before="0"/>
      </w:pPr>
    </w:p>
    <w:p>
      <w:pPr>
        <w:spacing w:after="100"/>
      </w:pPr>
      <w:r>
        <w:rPr>
          <w:b/>
          <w:bCs/>
        </w:rPr>
        <w:t xml:space="preserve">Objetivo a 12 meses (ponderado):</w:t>
      </w:r>
      <w:r>
        <w:t xml:space="preserve"> 654,39 CHF · rentabilidad +15,6 % (base +13,5 %) · señal Mantener.</w:t>
      </w:r>
    </w:p>
    <w:p>
      <w:pPr>
        <w:keepNext/>
        <w:spacing w:after="100"/>
      </w:pPr>
      <w:r>
        <w:rPr>
          <w:b/>
          <w:bCs/>
        </w:rPr>
        <w:t xml:space="preserve">Frente al consenso (solo contraste).</w:t>
      </w:r>
    </w:p>
    <w:p>
      <w:pPr>
        <w:spacing w:after="100"/>
      </w:pPr>
      <w:r>
        <w:t xml:space="preserve">Nuestro CORE EPS de 2028e (23,1 CHF) queda un 9 % por debajo del consenso (25,44) [33] porque proyectamos ventas en francos menores (8.380 M frente a 9.100 M: descontamos ≈2 puntos de divisa al año) y un margen que llega al 36 % y no al 37-39 %. Nuestro objetivo a 12 meses (654,39 CHF) queda un 5,7 % por debajo del objetivo medio de los analistas (681 CHF) [32]; el PER del base (27,8x) es el actual, no el histórico.</w:t>
      </w:r>
    </w:p>
    <w:p>
      <w:pPr>
        <w:keepNext/>
        <w:spacing w:after="100"/>
      </w:pPr>
      <w:r>
        <w:rPr>
          <w:b/>
          <w:bCs/>
        </w:rPr>
        <w:t xml:space="preserve">Del valor intrínseco al objetivo a 12 meses.</w:t>
      </w:r>
    </w:p>
    <w:p>
      <w:pPr>
        <w:spacing w:after="100"/>
      </w:pPr>
      <w:r>
        <w:t xml:space="preserve">El objetivo a 12 meses (654,39 CHF, +15,6 % con dividendo) queda un 43 % por encima del valor intrínseco (456,97 CHF). La distancia es de tasa y de capital: el mercado paga 27-28 veces el beneficio de 2027 y nuestro DCF exige más inversión para el crecimiento que proyectamos. Para cerrarla haría falta que la caja libre suba de verdad (más de 1.000 M al año antes de 2028) o que el margen llegue al 37-39 % que leen los analistas en los objetivos a 2031. Tesis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cualitativa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de 2026 (ventas +11-12 % y margen 33-34 %)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de CHI a Lone Star y recompra acelerada de 500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1.700 M en caja; ≈1,2 % de las acciones recompradas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con los objetivos a 2031; capex de 2027 (parte trasladada de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 comercial de Vacaville tras un 2026 plano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margen; clave del crecimiento de 2027-2028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Ley BIOSECURE y aranceles a medicamentos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Desvío de clientes desde WuXi hacia CDMO occidentales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Sobrecapacidad en anticuerpos en 2027-2029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Sector</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a −50 % (escenario bajista: 269,78 CHF)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con compromisos mínimos y costes de cambio altos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Utilización y margen por debajo del 33 %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insuficiente: capex que no baja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guiado a la baja (15,7 % en el 1S26)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&gt; 18 % de las ventas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Franco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en las mismas divisas que las ventas en EE. UU.</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entre crecimiento a tipos constantes y en francos &gt; 4 puntos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descuento: múltiplo de 28x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(base × 0,85 = 448,40 CHF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BPA del 15 % anual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los tipos reales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o retraso de un gran contrato o de un producto de un cliente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diversificada en tres plataformas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Fracasos clínicos de clientes grandes (Vaxcyte, ADC)</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o inspección regulatoria en una planta grande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 regulatorio largo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Cartas de advertencia de la FDA</w:t>
            </w:r>
          </w:p>
        </w:tc>
      </w:tr>
    </w:tbl>
    <w:p>
      <w:pPr>
        <w:spacing w:after="160" w:before="0"/>
      </w:pPr>
    </w:p>
    <w:p>
      <w:pPr>
        <w:pStyle w:val="Heading2"/>
      </w:pPr>
      <w:r>
        <w:t xml:space="preserve">Pre-mortem</w:t>
      </w:r>
    </w:p>
    <w:p>
      <w:pPr>
        <w:spacing w:after="100"/>
      </w:pPr>
      <w:r>
        <w:t xml:space="preserve">Octubre de 2029: la acción vale 340 CHF. En 2027 Lonza arrancó Vacaville y las ampliaciones de Visp justo cuando Samsung Biologics, Fujifilm y dos grandes farmacéuticas abrían capacidad propia; varios biosimilares y anticuerpos de clientes se retrasaron y la utilización cayó, como en 2023. El margen, que el mercado ya daba por hecho en el 37-39 %, se quedó en el 32-33 %, y el capex, comprometido, siguió en el 17-18 % de las ventas: la caja libre no pasó de 500 M. El franco restó otros 3 puntos al año. El PER bajó de 28x a 20x, como el de Siegfried y WuXi, sobre un BPA un 15 % inferior al esperado. Señales que lo habrían anticipado: un margen semestral por debajo del 33 %, la diferencia entre el crecimiento a tipos constantes y en francos y el capex de 2027 por encima de la guía.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capex hace falta para crecer al 11-13 % a tipos constantes hasta 2031 y qué parte de la capacidad está ya pagada?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crecimiento proyectado es financiable (nuestra prueba falla).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Utilización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utilización tienen hoy Vacaville, Visp Ibex y Portsmouth?</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depende de llenarlas.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supuestos de precio y mezcla sostienen el objetivo de margen a 2031?</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ya descuenta un 41,6 % de margen o un 9,1 % de crecimiento.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vale hoy el 40 % retenido y cuándo se espera la salida?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valoramos en 300 M; la empresa espera hasta 1.300 M más sin descontar.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efecto divisa espera en 2027 con el franco actual?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base y el consenso.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peso tienen los diez primeros clientes en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se publica en los extractos y mide el riesgo de un contrato.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2"/>
        <w:gridCol w:w="963"/>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 independientes)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Lonza aprovecha la externalización de las farmacéuticas; no es barata y tiene pocos catalizadores a corto plazo, pero el potencial a varios años es sólido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boerse-express (análisis y comentario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Todos los analistas recomiendan comprar, pero el mercado reaccionó con frialdad a cifras fuertes; la duda es cuándo se vuelve positiva y estable la caja libre [45].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cash.ch (prensa con debate de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1S26 la acción cayó un 4,9 % porque la guía de ventas implica un segundo semestre más lento; se debate si es una ocasión de compra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cash.ch / payoff.ch (notas de mercado de octubre)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acción sube con la vacuna de Vaxcyte (cliente) y con el día del inversor, en el que los nuevos objetivos de margen superan lo esperado [46, 47, 48].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y día del inversor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CORE EBITDA pasó del 30,2 % (2024) al 34,8 % (1S26) y la guía 2026 es del 33-34 % [A1, A3]; los nuevos objetivos a 2031 aún no están verificados en un documento de la empresa.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 ventas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+21,7 % en 2025 a una guía del 11-12 % en 2026 a tipos constantes; en francos el crecimiento es 3-5 puntos menor [A1, A4].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y capex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libre operativa del 1S26 (426 M) ya mejora; el capex sigue en el 15-17 % de las ventas [A6].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relocalización en EE. UU. y BIOSECURE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Vacaville y Portsmouth dan capacidad en EE. UU.; la ley BIOSECURE puede desviar clientes de WuXi [B1, B3].</w:t>
            </w:r>
          </w:p>
        </w:tc>
      </w:tr>
    </w:tbl>
    <w:p>
      <w:pPr>
        <w:spacing w:after="160" w:before="0"/>
      </w:pPr>
    </w:p>
    <w:p>
      <w:pPr>
        <w:spacing w:after="100"/>
      </w:pPr>
      <w:r>
        <w:t xml:space="preserve">El sentimiento es positivo y mejora desde el verano: el día del inversor del 13-14 de octubre y la noticia de Vaxcyte han vuelto a llevar la acción hacia 570-576 CHF, cerca del máximo de 597,80. No hay euforia: los particulares dudan de la caja libre y del frenazo de ventas de 2026, y los analistas son casi unánimes en comprar. Para nosotros, la discrepancia útil es que el consenso de analistas es muy alcista mientras la caja libre sigue baja: es el punto que vigilar.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1 explicados. Fuentes: 48 (13 primarias); citas distintas en el texto: 43.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32,2 % frente a un ROIC de 9,3 %: crecimiento que la empresa no ha demostrado poder comprar. Explicación: El ROIC del motor (9,3 %) usa un capital invertido de 11.228 M que incluye CHI (en venta por 2.300 M de valor empresa); sin CHI ronda el 12 %, y la empresa publica el 11,9 % [15]. Además, parte del crecimiento del NOPAT viene del margen (del 31,6 % al 36 %) y de llenar capacidad ya pagada (Vacaville, Visp; capex del 21 % de las ventas en 2024-2025). Aun así la prueba falla: rebajamos el caso base (crecimiento 2027-2032 0,5-1 punto por debajo del plan y capex al 19 % de las ventas en 2027-2028) y el veredicto es «En parte».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-5,7 %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 del PER en la misma base que el actual (regla v3)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per_historico no lleva base: "adelantado" (precio de cierre ÷ BPA del año siguiente): el motor aplica la regla v2 antigua, sesgada contra las empresas baratas. En un informe nuevo, rellena la historia adelantada.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 fuentes (13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9, 11, 16, 36, 43.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completa 2022-2024 (EBIT, impuestos, resultado financiero, BPA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2022-2024 en lonza.com y SGX (no abren: solo WebSearch); 2) Stock Analysis y TipRanks (extractos con definiciones distintas y bases mezcladas); 3) derivar con CORE EBITDA y beneficio neto (sí: EBITDA y beneficio; el resto no se puede derivar)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2021 (solo ventas 5.409 M y CORE EPS reexpresado 12,67); 2) Stock Analysis (sin EBITDA en el extracto); 3) TipRanks (EBITDA 1.380 M con otra definición, no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en cifras (Integrated Biologics, Advanced Synthesis, Specialized Modalities)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2025 (tres plataformas nuevas, cifras no en el extracto); 2) nota de resultados del 1S26; 3) prensa (AWP, Reuters): sin cifras por plataforma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balance por años 2021-2024 y circulante (existencias, clientes, proveedores, deuda bruta)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2) Stock Analysis (solo activo total, caja y fondo de comercio); 3) Google Finance (solo patrimonio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flujos 2022-2023 y desglose 2024-2025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 Stock Analysis (grupo, definición distinta); 3) derivar: flujo operativo = caja libre operativa de Lonza + capex (estimación marcada)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mercado y márgenes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de Samsung Biologics y WuXi (no abren); 2) rankings sectoriales (sin cuotas); 3) prensa (sin cifras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2) MSCI/Sustainalytics; 3) prensa: sin extracto útil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del primer ejecutivo, participaciones significativas y 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remuneraciones 2025 (no abre); 2) SIX, participaciones significativas y operaciones de directivos (no abre); 3)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de los directivos en el capital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remuneraciones; 2) SIX;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exacto del 13 y del 14-oct, mínimo de 52 semanas, volumen y flotante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y SIX (red bloqueada); 2) finanzen.ch (solo cotizaciones intradía: 570,20 el 13-oct por la tarde, 575,60 el 14-oct por la mañana); 3) otros agregadores (fechas mezcladas)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beta, volatilidad, caída máxima y posiciones cortas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(red bloqueada); 2) Yahoo/Investing (no abren); 3) prensa (solo variaciones sueltas)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y EBIT de consenso, revisiones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abre); 2) Investing (solo objetivos); 3) aktien.guide (BPA y ventas, sin 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precedentes CDMO con múltiplo (Catalent-Novo Holdings 2024, Vacaville, CHI)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las operaciones (no abren); 2) prensa (sin EBITDA de las plantas); 3) CHI: valor empresa 2.300 M sin EBITDA publicado en el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capitalización, crecimiento y márgenes de Samsung Biologics, WuXi Biologics y Siegfried; Bachem y Fujifilm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y Stock Analysis (no abren); 2) Yahoo/aktien.guide (solo PER); 3) informes del repo (solo TMO, DHR, CRL)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foros suizos (finanzen.ch Forum)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Reddit/Stocktwits (sin hilos); 2) búsqueda de foros alemanes y suizos (sin hilos); 3) Seeking Alpha y prensa con comentarios (usados)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final (tamaño del mercado CDMO en 2030)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presentaciones de Lonza (no abren); 2) estudios de mercado (sin cifra fiable en los extractos); 3) competidores (solo escala)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serie y crecimiento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de Lonza; 2) estudios de mercado CDMO; 3) rankings sectoriales: sin cifra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Full-Year Results 2025 Report (negocio continuado: ventas 6.531 M CHF, CORE EBITDA 2.064 M y 31,6 %, 2024 reexpresado 1.653 M y 30,2 %; BPA 13,04 / 13,00 diluido frente a 8,51 / 8,49; CORE EPS 15,08 / 15,03 frente a 13,12 / 13,10; deuda neta del grupo 3.258 M, 1,4x; caja libre operativa 545 M continuado y 674 M grupo; capex del grupo 1.373 M y 1.417 M; ROIC 11,9 % y 10,9 %).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Lonza Group AG (vía SGX)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https://links.sgx.com/1.0.0/corporate-announcements/JX40DSPFWE3XG83V/873319_20260128_Lonza%20Full-Year%20Results%202025%20Report_FINAL.pdf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Lonza FY2025 revenue at CHF 6.53 billion, profit at CHF 909 million; resultado de explotación ≈1.240 M.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iTiger / 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https://www.itiger.com/news/1159765677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22-jul-2026: H1 2026 (ventas 3,4 mil M, +16,0 % a tipos constantes, CORE EBITDA 1,2 mil M y 34,8 %, guía de margen 2026 al 33-34 %, ventas +11-12 % a tipos constantes).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https://www.lonza.com/news/2026-07-22-06-30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H1 core EBITDA climbs 27.4% to CHF 1.2 billion; revenue rises 11.2% to CHF 3.37 billion.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VZ VermögensZentrum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https://www.vermoegenszentrum.ch/en/stock-exchange-and-markets/news/lonza-h1-core-ebitda-climbs-274-chf-12-billion-revenue-rises-112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H1 Results Climb (beneficio atribuido 591 M frente a 426 M; BPA básico 8,16 frente a 5,67).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VZ VermögensZentrum (RTTNews)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https://www.vermoegenszentrum.ch/en/stock-exchange-and-markets/news/lonza-h1-results-climb-lifts-fy26-core-ebitda-margin-view-backs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 (LONN.SW): caja libre operativa del 1S26 de 426 M frente a 116 M; capex 530 M (15,7 % de las ventas).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TickerSpark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https://tickerspark.ai/ticker/lonn.sw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 (SWX:LONN) Income Statement (ventas 5.409 / 6.223 / 6.717 / 5.480 / 6.531 M en 2021-2025, LTM jun-26).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https://stockanalysis.com/quote/swx/LONN/financials/income-statement/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 (SWX:LONN) Balance Sheet (activo total 17.907 M, caja 719 M frente a 1.711 M, fondo de comercio 1.960 M frente a 3.370 M).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https://stockanalysis.com/quote/swx/LONN/financials/balance-sheet/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 (LONN:SWX) — patrimonio neto ≈7.970 M a dic-2025.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https://www.google.com/finance/quote/LONN:SWX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Results 2023 Report y APM Report (ventas 6,7 mil M, +10,9 % a tipos constantes; CORE EBITDA 1.999 M y 29,8 %; 2022: 1.995 M y 32,1 %).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 (vía SGX)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https://links.sgx.com/1.0.0/corporate-announcements/P8Q4WTGBULWJZ930/783989_20240126_Report_Lonza%20Full-Year%20Results%202023_Final.pdf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income statement (beneficio neto 1.220 M en 2022, 654 M en 2023, 636 M en 2024).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https://www.tipranks.com/stocks/ch:lonn/financials/income-statement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Results 2022 y 2023 (CORE EPS básico 14,74 en 2022 y 12,40 en 2023; 12,67 en 2021 reexpresado).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 (vía SGX)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https://links.sgx.com/1.0.0/corporate-announcements/PIM4U11C683G6K4V/744737_20230125_Report_Lonza%20Full-Year%20Results%202022_Final.pdf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06-mar-2026: venta de Capsules &amp; Health Ingredients a Lone Star (valor empresa 2.300 M CHF, 1.700 M en efectivo al cierre, 40 % retenido, ≥3.000 M sin descontar; recompra de 500 M).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https://www.lonza.com/news/2026-03-06-18-05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 (SWX:LONN) Cash Flow Statement (flujo operativo 1.156 / 1.274 / 1.388 M y capex 1.321 / 1.381 / 1.653 M en 2025 / 2024 / 2023, grupo).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https://stockanalysis.com/quote/swx/LONN/financials/cash-flow-statement/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 Financial highlights (serie de ROIC a diez años: 8,7 % en 2023, 10,9 % en 2024, 11,9 % en 2025).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https://www.lonza.com/annualreport/2025/financials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delivers solid 2024 performance with CER sales in line with prior year and 29.0% CORE EBITDA margin.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https://finanzen.ch/nachrichten/aktien/lonza-delivers-solid-2024-performance-with-cer-sales-in-line-with-prior-year-and-29-0-core-ebitda-margin-1034280425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2023: guía 2024-2028 (ventas +11-13 % a tipos constantes, margen CORE EBITDA 32-34 %, ROIC de dos cifras; reparto del 35-45 %).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https://lonza.com/news/2023-10-17-07-00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2025 restated financial information (CORE EPS 1S25 del negocio continuado 6,44; 7,52 del grupo).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https://www.lonza.com/-/media/F84FECCF566A4E92BB4C0B8945D9B46A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 CDMO companies 2026 ranked (WuXi Biologics: 21.790 M RMB de ventas, +16,7 %, &gt;260.000 litros).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IntuitionLabs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https://intuitionlabs.ai/articles/top-cdmo-companies-2026-ranked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completes transformation to pure-play CDMO with agreement to divest Capsules &amp; Health Ingredients.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Manufacturing Chemist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https://manufacturingchemist.com/lonza-completes-transformation-to-pure-play-cdmo-with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übernimmt Roche-Werk in den USA (Vacaville, 1.200 M USD + ≈500 M de ampliación; ≈330.000 litros).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moneycab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https://www.moneycab.com/schweiz/lonza-uebernimmt-roche-werk-in-den-usa/amp/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narrow moat según Morningstar; resiliencia del CDMO (resumen de conferencia).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 / Morgan Stanley Healthcare Conference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https://quartr.com/events/lonza-group-ag-lonn-morgan-stanley-24th-annual-global-healthcare-conference_oqg6dXog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Siegfried vs Samsung Biologics — perfil (Siegfried: 13 plantas en siete países).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rfp.wiki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https://www.rfp.wiki/specialty-industries/healthcare-life-sciences/pharmaceutical-companies/cdmos-contract-development-manufacturing-organizations/siegfried/samsung-biologics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Ausblick Lonza: Fortsetzung der Wachstumsstory erwartet (Vacaville y su utilización, motor central).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https://www.cash.ch/news/ausblick-lonza-fortsetzung-der-wachstumsstory-erwartet-954757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Announces Results of the 2026 Annual General Meeting (Jean-Marc Huët reelegido presidente; dividendo 5,00 CHF; Deloitte auditor).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 (vía 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https://live.deutsche-boerse.com/news/LonzaAnnounces-Results-of-the-2026Annual-General-Meeting--All-Motions-Proposed-by-Board-of-DirectorsApproved-b599c513-f566-4273-9876-f2d9a8e8316a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Ergebnisse der Abstimmung an der ordentlichen Generalversammlung vom 8. Mai 2026 (informe de remuneraciones: 88,80 % a favor, 11,00 % en contra; 43.948.424 acciones representadas, 62,58 % del capital).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https://de.marketscreener.com/boerse-nachrichten/lonza-annual-general-meeting-document-voting-results-agm-2026-ce7f5bdbdd8ef623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 — Management (Wolfgang Wienand, primer ejecutivo desde el 1-jul-2024; antes primer ejecutivo de Siegfried 2019-2024).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https://simplywall.st/stocks/de/pharmaceuticals-biotech/fra-lo31/lonza-group-shares/management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Capital Markets Day 2026 (13-14 de octubre en Vacaville; Wolfgang Wienand y Philippe Deecke).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https://www.lonza.com/investor-relations/agenda-and-events/capital-markets-day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Aktie News: Lonza am Dienstagnachmittag tiefer (13-oct-2026: −0,7 % a 570,20 CHF).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https://www.finanzen.ch/nachrichten/aktien/lonza-aktie-kursbewegung-13-10-2026-1031803606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Aktie News: Anleger greifen bei Lonza am Vormittag zu (14-oct-2026: 575,60 CHF; máximo de 52 semanas 597,80 CHF el 25-ago-2026).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https://www.finanzen.ch/nachrichten/aktien/lonza-aktie-kursbewegung-14-10-2026-1031805294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Markt: Lonza nach neuen Margenzielen gesucht (objetivos del día del inversor; los analistas pasan a un margen del 37-39 % en 2031; consenso 35,7 %).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finanzen.ch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https://www.finanzen.ch/nachrichten/aktien/markt-lonza-nach-neuen-margenzielen-gesucht-1036624723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 (LONN) — consenso: objetivo medio ≈681 CHF, 23 analistas, rango 550-835; 21 comprar, 3 mantener, 0 vender; próximo informe 20-oct-2026.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https://www.investing.com/equities/lonza-grp-consensus-estimates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Kursziel / Prognose (BPA medio 18,11 CHF en 2026, 21,65 en 2027 y 25,44 en 2028; 27 analistas; ventas 7,3 / 8,2 / 9,1 mil M).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 / stocksguide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https://aktien.guide/kursziel/Lonza-CH0013841017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Information (cierre de 2021: 761,6 CHF; 2024: 535,8; 2025: 537,8).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 — informes anuales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https://www.lonza.com/annualreport/2025/pages/investor-information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Information 2023 y 2022 (cierre de 2023: 353,7 CHF; 2022: 453,1 CHF).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 — informes anuales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https://www.lonza.com/annualreport/2023/pages/investor-information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AG — capitalización ≈38.900 M CHF; PER 53x.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https://www.simplywall.st/stocks/ch/pharmaceuticals-biotech/vtx-lonn/lonza-group-shares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Samsung Biologics stock analysis March 2026 (PER a plazo ≈41x).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StockHub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https://stockhub.kr/en/insights/view_38e21fbd7fba578b-samsung-biologics-stock-analysis-march-2026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WuXi Biologics (WXIBF): PER a plazo 22,57 (23-sep-2026), cotización 6,45 USD el 9-oct-2026.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https://finance.yahoo.com/quote/WXIBF/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Siegfried Holding: PER estimado 2026 de 18,70 (03-ago-2026).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https://aktien.guide/kursziel/Siegfried-Holding-reg-CH1429326825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Thermo Fisher, Danaher y Charles River (PER a plazo 24,3x, 24,4x y 24,2x) tomados de los informes del repo del 14-oct-2026 (thermo-fisher, danaher).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propios del repo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ERP by month (oct-2026: 4,20 %, T12m with sustainable payout).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Lonza-Aktien nach Halbjahreszahlen deutlich unter Druck (cierre del 22-jul-2026: 536,40 CHF, −4,89 %).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 / VZ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https://www.cash.ch/news/top-news/setzt-diese-abgestrafte-smi-aktie-am-donnerstag-zu-einer-gegenbewegung-an-955196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 von Lonza steht laut ZKB vor kometenhaftem Aufstieg (valor justo 766 CHF; crecimiento del 12,6 % anual 2026-2030).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https://www.cash.ch/news/top-news/aktie-von-lonza-steht-laut-zkb-vor-kometenhaftem-aufstieg-940758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Group Continues To Leverage Biopharma's Optimization Push (Seeking Alpha: no está barata, potencial sólido, pocos catalizadores cercanos).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https://seekingalpha.com/article/4863960-lonza-group-continues-to-leverage-biopharmas-optimization-push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Lonza Aktie kaufen oder verkaufen? Analyse &amp; Prognose 2026 (reacción tibia del mercado a cifras fuertes; dudas sobre la caja libre).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boerse-express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https://www.boerse-express.com/analyse/lonza-aktie-kaufen-oder-verkaufen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idea: Lonza — good is after all good enough.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payoff.ch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https://www.payoff.ch/en/news/trading-idea-lonza-good-is-after-all-good-enough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Neue Einnahmequelle für Lonza: Analyst sieht Potenzial bei Impfstoff (Vaxcyte).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https://www.cash.ch/news/top-news/neue-einnahmequelle-fur-lonza-analyst-sieht-potenzial-bei-impfstoff-974593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Börsen-Ticker: Lonza stark (resultados positivos de Vaxcyte, cliente de Lonza).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https://www.cash.ch/top-news/borsen-ticker/borsen-ticker-schweizer-aktienmarkt-ruckt-vor-lonza-stark-partners-group-gefragt-logitech-dreht-ins-plus-974364</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70,3 %</w:t>
      </w:r>
      <w:r>
        <w:t xml:space="preserve"> · Secciones con menos del 60 % de campos cubiertos: </w:t>
      </w:r>
      <w:r>
        <w:rPr>
          <w:b/>
          <w:bCs/>
        </w:rPr>
        <w:t xml:space="preserve">gobierno, bolsa, transacciones, esg, balance</w:t>
      </w:r>
      <w:r>
        <w:t xml:space="preserve"> · Generado el 14 oct 2026.</w:t>
      </w:r>
    </w:p>
    <w:p>
      <w:pPr>
        <w:pStyle w:val="Nota"/>
        <w:spacing w:after="100"/>
      </w:pPr>
      <w:r>
        <w:t xml:space="preserve">Análisis hecho desde la nube con la red limitada a la búsqueda web: la web de inversores de Lonza, los PDF del informe anual 2025 y del semestre, la SIX y los proveedores de datos no se pudieron abrir, así que las cifras salen de los extractos de búsqueda de los comunicados (Lonza vía SGX y lonza.com), de AWP, finanzen.ch, Stock Analysis, Investing.com y aktien.guide, con la URL como fuente. Precio: 570,20 CHF, última cotización publicada del 13-oct-2026 por la tarde (sesión cerrada); el 14-oct cotizaba a 575,60 CHF a media mañana, durante el día del inversor [29, 30]. Perímetro: 2022-2023 son del grupo con Capsules &amp; Health Ingredients (CHI); 2024-2025, del negocio continuado (CDMO) reexpresado tras el acuerdo de venta de CHI [1, 13]. El EBITDA es el CORE EBITDA de la empresa (sin amortización de intangibles comprados ni partidas especiales). La deuda neta de diciembre de 2025 (3.258 M) incluye CHI; la deuda bruta (3.977 M) es estimación propia = deuda neta + caja. Sin balance por años ni flujos de 2022-2023: el ROIC del motor (9,3 %) incluye los activos de CHI en venta y queda por debajo del publicado por la empresa (11,9 %).</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Lonza Group AG (LONN)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570,20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(550,00 – 835,00)</c:v>
                </c:pt>
                <c:pt idx="1">
                  <c:v>Comparables: PER NTM (480,56 – 509,29)</c:v>
                </c:pt>
                <c:pt idx="2">
                  <c:v>DCF (WACC y g ± 0,5) (383,27 – 537,11)</c:v>
                </c:pt>
                <c:pt idx="3">
                  <c:v>Escenarios (bajista – alcista) (269,78 – 601,06)</c:v>
                </c:pt>
                <c:pt idx="4">
                  <c:v>DCF con la prima implícita del mercado (4,2 %)</c:v>
                </c:pt>
                <c:pt idx="5">
                  <c:v>Precio actual (570,20)</c:v>
                </c:pt>
              </c:strCache>
            </c:strRef>
          </c:cat>
          <c:val>
            <c:numRef>
              <c:f>Hoja1!$B$2:$B$7</c:f>
              <c:numCache>
                <c:formatCode>#,##0</c:formatCode>
                <c:ptCount val="6"/>
                <c:pt idx="0">
                  <c:v>550</c:v>
                </c:pt>
                <c:pt idx="1">
                  <c:v>480.56</c:v>
                </c:pt>
                <c:pt idx="2">
                  <c:v>383.27</c:v>
                </c:pt>
                <c:pt idx="3">
                  <c:v>269.78</c:v>
                </c:pt>
                <c:pt idx="4">
                  <c:v>518.33</c:v>
                </c:pt>
                <c:pt idx="5">
                  <c:v>567.35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(550,00 – 835,00)</c:v>
                </c:pt>
                <c:pt idx="1">
                  <c:v>Comparables: PER NTM (480,56 – 509,29)</c:v>
                </c:pt>
                <c:pt idx="2">
                  <c:v>DCF (WACC y g ± 0,5) (383,27 – 537,11)</c:v>
                </c:pt>
                <c:pt idx="3">
                  <c:v>Escenarios (bajista – alcista) (269,78 – 601,06)</c:v>
                </c:pt>
                <c:pt idx="4">
                  <c:v>DCF con la prima implícita del mercado (4,2 %)</c:v>
                </c:pt>
                <c:pt idx="5">
                  <c:v>Precio actual (570,20)</c:v>
                </c:pt>
              </c:strCache>
            </c:strRef>
          </c:cat>
          <c:val>
            <c:numRef>
              <c:f>Hoja1!$C$2:$C$7</c:f>
              <c:numCache>
                <c:formatCode>#,##0</c:formatCode>
                <c:ptCount val="6"/>
                <c:pt idx="0">
                  <c:v>285</c:v>
                </c:pt>
                <c:pt idx="1">
                  <c:v>28.730000000000018</c:v>
                </c:pt>
                <c:pt idx="2">
                  <c:v>153.84000000000003</c:v>
                </c:pt>
                <c:pt idx="3">
                  <c:v>331.28</c:v>
                </c:pt>
                <c:pt idx="4">
                  <c:v>148.37</c:v>
                </c:pt>
                <c:pt idx="5">
                  <c:v>5.699999999999932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Lonza</c:v>
                </c:pt>
                <c:pt idx="1">
                  <c:v>Samsung Biologics</c:v>
                </c:pt>
                <c:pt idx="2">
                  <c:v>WuXi Biologics</c:v>
                </c:pt>
                <c:pt idx="3">
                  <c:v>Thermo Fisher (Patheon)</c:v>
                </c:pt>
                <c:pt idx="4">
                  <c:v>Fujifilm Diosynth</c:v>
                </c:pt>
                <c:pt idx="5">
                  <c:v>Siegfried</c:v>
                </c:pt>
              </c:strCache>
            </c:strRef>
          </c:cat>
          <c:val>
            <c:numRef>
              <c:f>Hoja1!$B$2:$B$7</c:f>
              <c:numCache>
                <c:formatCode>0.0"%"</c:formatCode>
                <c:ptCount val="6"/>
                <c:pt idx="0">
                  <c:v>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4</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2022</c:v>
                </c:pt>
                <c:pt idx="1">
                  <c:v>2023</c:v>
                </c:pt>
                <c:pt idx="2">
                  <c:v>2024</c:v>
                </c:pt>
                <c:pt idx="3">
                  <c:v>2025</c:v>
                </c:pt>
                <c:pt idx="4">
                  <c:v>2026e</c:v>
                </c:pt>
                <c:pt idx="5">
                  <c:v>2027e</c:v>
                </c:pt>
                <c:pt idx="6">
                  <c:v>2028e</c:v>
                </c:pt>
                <c:pt idx="7">
                  <c:v>2029e</c:v>
                </c:pt>
                <c:pt idx="8">
                  <c:v>2030e</c:v>
                </c:pt>
                <c:pt idx="9">
                  <c:v>2031e</c:v>
                </c:pt>
                <c:pt idx="10">
                  <c:v>2032e</c:v>
                </c:pt>
                <c:pt idx="11">
                  <c:v>2033e</c:v>
                </c:pt>
                <c:pt idx="12">
                  <c:v>2034e</c:v>
                </c:pt>
                <c:pt idx="13">
                  <c:v>2035e</c:v>
                </c:pt>
              </c:strCache>
            </c:strRef>
          </c:cat>
          <c:val>
            <c:numRef>
              <c:f>Hoja1!$B$2:$B$15</c:f>
              <c:numCache>
                <c:formatCode>#,##0</c:formatCode>
                <c:ptCount val="14"/>
                <c:pt idx="0">
                  <c:v>6223</c:v>
                </c:pt>
                <c:pt idx="1">
                  <c:v>6717</c:v>
                </c:pt>
                <c:pt idx="2">
                  <c:v>5480</c:v>
                </c:pt>
                <c:pt idx="3">
                  <c:v>6531</c:v>
                </c:pt>
                <c:pt idx="4">
                  <c:v>7086</c:v>
                </c:pt>
                <c:pt idx="5">
                  <c:v>7724</c:v>
                </c:pt>
                <c:pt idx="6">
                  <c:v>8380</c:v>
                </c:pt>
                <c:pt idx="7">
                  <c:v>9051</c:v>
                </c:pt>
                <c:pt idx="8">
                  <c:v>9684</c:v>
                </c:pt>
                <c:pt idx="9">
                  <c:v>10265</c:v>
                </c:pt>
                <c:pt idx="10">
                  <c:v>10779</c:v>
                </c:pt>
                <c:pt idx="11">
                  <c:v>11210</c:v>
                </c:pt>
                <c:pt idx="12">
                  <c:v>11546</c:v>
                </c:pt>
                <c:pt idx="13">
                  <c:v>11777</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2022</c:v>
                </c:pt>
                <c:pt idx="1">
                  <c:v>2023</c:v>
                </c:pt>
                <c:pt idx="2">
                  <c:v>2024</c:v>
                </c:pt>
                <c:pt idx="3">
                  <c:v>2025</c:v>
                </c:pt>
                <c:pt idx="4">
                  <c:v>2026e</c:v>
                </c:pt>
                <c:pt idx="5">
                  <c:v>2027e</c:v>
                </c:pt>
                <c:pt idx="6">
                  <c:v>2028e</c:v>
                </c:pt>
                <c:pt idx="7">
                  <c:v>2029e</c:v>
                </c:pt>
                <c:pt idx="8">
                  <c:v>2030e</c:v>
                </c:pt>
                <c:pt idx="9">
                  <c:v>2031e</c:v>
                </c:pt>
                <c:pt idx="10">
                  <c:v>2032e</c:v>
                </c:pt>
                <c:pt idx="11">
                  <c:v>2033e</c:v>
                </c:pt>
                <c:pt idx="12">
                  <c:v>2034e</c:v>
                </c:pt>
                <c:pt idx="13">
                  <c:v>2035e</c:v>
                </c:pt>
              </c:strCache>
            </c:strRef>
          </c:cat>
          <c:val>
            <c:numRef>
              <c:f>Hoja1!$C$2:$C$15</c:f>
              <c:numCache>
                <c:formatCode>#,##0</c:formatCode>
                <c:ptCount val="14"/>
                <c:pt idx="0">
                  <c:v>1995</c:v>
                </c:pt>
                <c:pt idx="1">
                  <c:v>1999</c:v>
                </c:pt>
                <c:pt idx="2">
                  <c:v>1653</c:v>
                </c:pt>
                <c:pt idx="3">
                  <c:v>2064</c:v>
                </c:pt>
                <c:pt idx="4">
                  <c:v>2374</c:v>
                </c:pt>
                <c:pt idx="5">
                  <c:v>2665</c:v>
                </c:pt>
                <c:pt idx="6">
                  <c:v>2975</c:v>
                </c:pt>
                <c:pt idx="7">
                  <c:v>3258</c:v>
                </c:pt>
                <c:pt idx="8">
                  <c:v>3486</c:v>
                </c:pt>
                <c:pt idx="9">
                  <c:v>3696</c:v>
                </c:pt>
                <c:pt idx="10">
                  <c:v>3880</c:v>
                </c:pt>
                <c:pt idx="11">
                  <c:v>4036</c:v>
                </c:pt>
                <c:pt idx="12">
                  <c:v>4157</c:v>
                </c:pt>
                <c:pt idx="13">
                  <c:v>4240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c:formatCode>
                <c:ptCount val="4"/>
                <c:pt idx="0">
                  <c:v>32.1</c:v>
                </c:pt>
                <c:pt idx="1">
                  <c:v>29.8</c:v>
                </c:pt>
                <c:pt idx="2">
                  <c:v>30.2</c:v>
                </c:pt>
                <c:pt idx="3">
                  <c:v>31.6</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c:formatCode>
                <c:ptCount val="4"/>
                <c:pt idx="3">
                  <c:v>19</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Hoja1!$A$2:$A$5</c:f>
              <c:strCache>
                <c:ptCount val="4"/>
                <c:pt idx="0">
                  <c:v>2022</c:v>
                </c:pt>
                <c:pt idx="1">
                  <c:v>2023</c:v>
                </c:pt>
                <c:pt idx="2">
                  <c:v>2024</c:v>
                </c:pt>
                <c:pt idx="3">
                  <c:v>2025</c:v>
                </c:pt>
              </c:strCache>
            </c:strRef>
          </c:cat>
          <c:val>
            <c:numRef>
              <c:f>Hoja1!$D$2:$D$5</c:f>
              <c:numCache>
                <c:formatCode>0"%"</c:formatCode>
                <c:ptCount val="4"/>
                <c:pt idx="0">
                  <c:v>19.6</c:v>
                </c:pt>
                <c:pt idx="1">
                  <c:v>9.7</c:v>
                </c:pt>
                <c:pt idx="2">
                  <c:v>10.9</c:v>
                </c:pt>
                <c:pt idx="3">
                  <c:v>13.9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1S25</c:v>
                </c:pt>
                <c:pt idx="1">
                  <c:v>2S25</c:v>
                </c:pt>
                <c:pt idx="2">
                  <c:v>1S26</c:v>
                </c:pt>
              </c:strCache>
            </c:strRef>
          </c:cat>
          <c:val>
            <c:numRef>
              <c:f>Hoja1!$B$2:$B$4</c:f>
              <c:numCache>
                <c:formatCode>0.0"%"</c:formatCode>
                <c:ptCount val="3"/>
                <c:pt idx="2">
                  <c:v>11.2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Hoja1!$A$2:$A$4</c:f>
              <c:strCache>
                <c:ptCount val="3"/>
                <c:pt idx="0">
                  <c:v>1S25</c:v>
                </c:pt>
                <c:pt idx="1">
                  <c:v>2S25</c:v>
                </c:pt>
                <c:pt idx="2">
                  <c:v>1S26</c:v>
                </c:pt>
              </c:strCache>
            </c:strRef>
          </c:cat>
          <c:val>
            <c:numRef>
              <c:f>Hoja1!$C$2:$C$4</c:f>
              <c:numCache>
                <c:formatCode>0.0"%"</c:formatCode>
                <c:ptCount val="3"/>
                <c:pt idx="2">
                  <c:v>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Hoja1!$A$2:$A$3</c:f>
              <c:strCache>
                <c:ptCount val="2"/>
                <c:pt idx="0">
                  <c:v>2024</c:v>
                </c:pt>
                <c:pt idx="1">
                  <c:v>2025</c:v>
                </c:pt>
              </c:strCache>
            </c:strRef>
          </c:cat>
          <c:val>
            <c:numRef>
              <c:f>Hoja1!$B$2:$B$3</c:f>
              <c:numCache>
                <c:formatCode>#,##0</c:formatCode>
                <c:ptCount val="2"/>
                <c:pt idx="0">
                  <c:v>473</c:v>
                </c:pt>
                <c:pt idx="1">
                  <c:v>674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Hoja1!$A$2:$A$3</c:f>
              <c:strCache>
                <c:ptCount val="2"/>
                <c:pt idx="0">
                  <c:v>2024</c:v>
                </c:pt>
                <c:pt idx="1">
                  <c:v>2025</c:v>
                </c:pt>
              </c:strCache>
            </c:strRef>
          </c:cat>
          <c:val>
            <c:numRef>
              <c:f>Hoja1!$C$2:$C$3</c:f>
              <c:numCache>
                <c:formatCode>#,##0</c:formatCode>
                <c:ptCount val="2"/>
                <c:pt idx="0">
                  <c:v>600</c:v>
                </c:pt>
                <c:pt idx="1">
                  <c:v>909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c:formatCode>
                <c:ptCount val="4"/>
                <c:pt idx="3">
                  <c:v>9.3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c:formatCode>
                <c:ptCount val="4"/>
                <c:pt idx="0">
                  <c:v>6.6</c:v>
                </c:pt>
                <c:pt idx="1">
                  <c:v>6.6</c:v>
                </c:pt>
                <c:pt idx="2">
                  <c:v>6.6</c:v>
                </c:pt>
                <c:pt idx="3">
                  <c:v>6.6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Hoja1!$A$2:$A$5</c:f>
              <c:strCache>
                <c:ptCount val="4"/>
                <c:pt idx="0">
                  <c:v>2022</c:v>
                </c:pt>
                <c:pt idx="1">
                  <c:v>2023</c:v>
                </c:pt>
                <c:pt idx="2">
                  <c:v>2024</c:v>
                </c:pt>
                <c:pt idx="3">
                  <c:v>2025</c:v>
                </c:pt>
              </c:strCache>
            </c:strRef>
          </c:cat>
          <c:val>
            <c:numRef>
              <c:f>Hoja1!$D$2:$D$5</c:f>
              <c:numCache>
                <c:formatCode>0"%"</c:formatCode>
                <c:ptCount val="4"/>
                <c:pt idx="3">
                  <c:v>11.4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2025</c:v>
                </c:pt>
              </c:strCache>
            </c:strRef>
          </c:cat>
          <c:val>
            <c:numRef>
              <c:f>Hoja1!$B$2</c:f>
              <c:numCache>
                <c:formatCode>0.0"x"</c:formatCode>
                <c:ptCount val="1"/>
                <c:pt idx="0">
                  <c:v>1.58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1060</c:v>
                </c:pt>
                <c:pt idx="1">
                  <c:v>56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282</c:v>
                </c:pt>
                <c:pt idx="1">
                  <c:v>282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0</c:v>
                </c:pt>
                <c:pt idx="1">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Independiente</c:v>
                </c:pt>
              </c:strCache>
            </c:strRef>
          </c:cat>
          <c:val>
            <c:numRef>
              <c:f>Hoja1!$B$2</c:f>
              <c:numCache>
                <c:formatCode>0</c:formatCode>
                <c:ptCount val="1"/>
                <c:pt idx="0">
                  <c:v>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Lonza</c:v>
                </c:pt>
                <c:pt idx="1">
                  <c:v>Samsung Biologics</c:v>
                </c:pt>
                <c:pt idx="2">
                  <c:v>WuXi Biologics</c:v>
                </c:pt>
                <c:pt idx="3">
                  <c:v>Siegfried</c:v>
                </c:pt>
                <c:pt idx="4">
                  <c:v>Thermo Fisher</c:v>
                </c:pt>
                <c:pt idx="5">
                  <c:v>Danaher</c:v>
                </c:pt>
                <c:pt idx="6">
                  <c:v>Charles River Laboratories</c:v>
                </c:pt>
              </c:strCache>
            </c:strRef>
          </c:cat>
          <c:val>
            <c:numRef>
              <c:f>Hoja1!$B$2:$B$8</c:f>
              <c:numCache>
                <c:formatCode>0.0"x"</c:formatCode>
                <c:ptCount val="7"/>
                <c:pt idx="4">
                  <c:v>21.3</c:v>
                </c:pt>
                <c:pt idx="6">
                  <c:v>15.9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914</c:v>
                </c:pt>
                <c:pt idx="1">
                  <c:v>909</c:v>
                </c:pt>
                <c:pt idx="2">
                  <c:v>1060</c:v>
                </c:pt>
                <c:pt idx="3">
                  <c:v>1276</c:v>
                </c:pt>
                <c:pt idx="4">
                  <c:v>1465</c:v>
                </c:pt>
                <c:pt idx="5">
                  <c:v>1659</c:v>
                </c:pt>
                <c:pt idx="6">
                  <c:v>1853</c:v>
                </c:pt>
                <c:pt idx="7">
                  <c:v>1987</c:v>
                </c:pt>
                <c:pt idx="8">
                  <c:v>2106</c:v>
                </c:pt>
                <c:pt idx="9">
                  <c:v>2207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10587</c:v>
                </c:pt>
                <c:pt idx="1">
                  <c:v>22026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570,20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269.78</c:v>
                </c:pt>
                <c:pt idx="1">
                  <c:v>446.65</c:v>
                </c:pt>
                <c:pt idx="2">
                  <c:v>601.06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570,20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(550,00 – 835,00)</c:v>
                </c:pt>
                <c:pt idx="1">
                  <c:v>Comparables: PER NTM (480,56 – 509,29)</c:v>
                </c:pt>
                <c:pt idx="2">
                  <c:v>DCF (WACC y g ± 0,5) (383,27 – 537,11)</c:v>
                </c:pt>
                <c:pt idx="3">
                  <c:v>Escenarios (bajista – alcista) (269,78 – 601,06)</c:v>
                </c:pt>
                <c:pt idx="4">
                  <c:v>DCF con la prima implícita del mercado (4,2 %)</c:v>
                </c:pt>
                <c:pt idx="5">
                  <c:v>Precio actual (570,20)</c:v>
                </c:pt>
              </c:strCache>
            </c:strRef>
          </c:cat>
          <c:val>
            <c:numRef>
              <c:f>Hoja1!$B$2:$B$7</c:f>
              <c:numCache>
                <c:formatCode>#,##0</c:formatCode>
                <c:ptCount val="6"/>
                <c:pt idx="0">
                  <c:v>550</c:v>
                </c:pt>
                <c:pt idx="1">
                  <c:v>480.56</c:v>
                </c:pt>
                <c:pt idx="2">
                  <c:v>383.27</c:v>
                </c:pt>
                <c:pt idx="3">
                  <c:v>269.78</c:v>
                </c:pt>
                <c:pt idx="4">
                  <c:v>518.33</c:v>
                </c:pt>
                <c:pt idx="5">
                  <c:v>567.35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(550,00 – 835,00)</c:v>
                </c:pt>
                <c:pt idx="1">
                  <c:v>Comparables: PER NTM (480,56 – 509,29)</c:v>
                </c:pt>
                <c:pt idx="2">
                  <c:v>DCF (WACC y g ± 0,5) (383,27 – 537,11)</c:v>
                </c:pt>
                <c:pt idx="3">
                  <c:v>Escenarios (bajista – alcista) (269,78 – 601,06)</c:v>
                </c:pt>
                <c:pt idx="4">
                  <c:v>DCF con la prima implícita del mercado (4,2 %)</c:v>
                </c:pt>
                <c:pt idx="5">
                  <c:v>Precio actual (570,20)</c:v>
                </c:pt>
              </c:strCache>
            </c:strRef>
          </c:cat>
          <c:val>
            <c:numRef>
              <c:f>Hoja1!$C$2:$C$7</c:f>
              <c:numCache>
                <c:formatCode>#,##0</c:formatCode>
                <c:ptCount val="6"/>
                <c:pt idx="0">
                  <c:v>285</c:v>
                </c:pt>
                <c:pt idx="1">
                  <c:v>28.730000000000018</c:v>
                </c:pt>
                <c:pt idx="2">
                  <c:v>153.84000000000003</c:v>
                </c:pt>
                <c:pt idx="3">
                  <c:v>331.28</c:v>
                </c:pt>
                <c:pt idx="4">
                  <c:v>148.37</c:v>
                </c:pt>
                <c:pt idx="5">
                  <c:v>5.699999999999932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