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L’Oréal S.A.</w:t>
      </w:r>
    </w:p>
    <w:p>
      <w:pPr>
        <w:spacing w:after="60"/>
        <w:rPr>
          <w:color w:val="52514E"/>
          <w:sz w:val="22"/>
          <w:szCs w:val="22"/>
        </w:rPr>
      </w:pPr>
      <w:r>
        <w:rPr>
          <w:color w:val="52514E"/>
          <w:sz w:val="22"/>
          <w:szCs w:val="22"/>
        </w:rPr>
        <w:t xml:space="preserve">OR.PA · Euronext París · ISIN FR0000120321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379,60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446,88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+19,6 % (base +20,9 %)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284,54 EUR · mercado 345,60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203.086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L’Oréal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OR.PA / FR0000120321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Cosmética y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Clichy (París)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www.loreal-finance.com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379,60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338,85 – 408,35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203.086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215.336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446,88 EUR</w:t>
      </w:r>
      <w:r>
        <w:t xml:space="preserve"> frente a 379,60 · Rentabilidad a 12 meses </w:t>
      </w:r>
      <w:r>
        <w:rPr>
          <w:b/>
          <w:bCs/>
        </w:rPr>
        <w:t xml:space="preserve">+19,6 % (base +20,9 %)</w:t>
      </w:r>
      <w:r>
        <w:t xml:space="preserve"> · Valor intrínseco 284,54 EUR · con la prima implícita del mercado: 345,60 (-9,0 %) · Alcista / bajista -14,5 % / -47,2 %</w:t>
      </w:r>
    </w:p>
    <w:p>
      <w:pPr>
        <w:spacing w:after="100"/>
      </w:pPr>
      <w:r>
        <w:rPr>
          <w:b/>
        </w:rPr>
        <w:t xml:space="preserve">La recomendación y por qué.</w:t>
      </w:r>
      <w:r>
        <w:t xml:space="preserve"> Mantener, con convicción media. Con nuestro BPA y la regla común de múltiplos, el objetivo a 12 meses es de 414,22 EUR frente a 379,6 EUR (precio estimado con la capitalización del 9 de octubre): +11,0 % con el dividendo y +10,3 % en el caso base, a cuatro y dos puntos de los umbrales de compra (15 % y 12 %). El objetivo medio de los analistas, 417,79 EUR, coincide con nuestro base (−1,6 %). Lo que impide comprar es el valor: el valor intrínseco es de 284,54 EUR, un 25,0 % por debajo del precio, y solo compraríamos por debajo de esa cifra. Las dos reglas del valor intrínseco (con nuestro WACC y con la prima del mercado) dicen lo mismo: el precio ya paga la calidad. La convicción es media porque las tres lecturas coinciden (12 meses, consenso y valor) y el precio está lejos de los umbrales; subiría con un 3T26 por encima del +6 % comparable que permita revisar el BPA al alza, y bajaría si el crecimiento cae del 4 %.</w:t>
      </w:r>
    </w:p>
    <w:p>
      <w:pPr>
        <w:spacing w:after="100"/>
      </w:pPr>
      <w:r>
        <w:rPr>
          <w:b/>
        </w:rPr>
        <w:t xml:space="preserve">El negocio.</w:t>
      </w:r>
      <w:r>
        <w:t xml:space="preserve"> L’Oréal es el líder mundial de la belleza, con ≈14,7 % de un mercado de ≈300.000 M EUR, 37 marcas internacionales y un margen operativo que ha subido cada año, del 19,1 % de 2021 al 20,2 % de 2025 y al 21,3 % en el 1S26 [1, 2]. Con el capital total, su ROIC es del ≈18 %, unos 10 puntos sobre el WACC del 7,81 %. </w:t>
      </w:r>
      <w:r>
        <w:rPr>
          <w:b/>
        </w:rPr>
        <w:t xml:space="preserve">Sostenibilidad: Sí</w:t>
      </w:r>
      <w:r>
        <w:t xml:space="preserve">: proyectamos un 5,0 % anual, el mercado más medio punto y las compras ya hechas, con una reinversión del 7 % del NOPAT y la cuota del 14,7 % al 15,3 %.</w:t>
      </w:r>
    </w:p>
    <w:p>
      <w:pPr>
        <w:spacing w:after="100"/>
      </w:pPr>
      <w:r>
        <w:rPr>
          <w:b/>
        </w:rPr>
        <w:t xml:space="preserve">Sector y ciclo.</w:t>
      </w:r>
      <w:r>
        <w:t xml:space="preserve"> La belleza es defensiva y crece de forma estable: la dirección espera un 4,5-5 % en 2026, tras ≈4 % en 2025 [2]. L’Oréal volvió a acelerar en 2026 (+6,8 % comparable en el 1S26) tras un 2025 flojo (+4,0 %), con emergentes y dermocosmética a doble dígito y China aún débil [2, 10].</w:t>
      </w:r>
    </w:p>
    <w:p>
      <w:pPr>
        <w:spacing w:after="100"/>
      </w:pPr>
      <w:r>
        <w:rPr>
          <w:b/>
        </w:rPr>
        <w:t xml:space="preserve">Finanzas.</w:t>
      </w:r>
      <w:r>
        <w:t xml:space="preserve"> Ventas de 44.053 M en 2025 y flujo de caja neto de 7.200 M [1]. La deuda neta pasó de 2.051 M a 12.700 M en el 1S26 por Kering Beauté (≈4.000 M) y el segundo 10 % de Galderma: ≈1,1 veces el EBITDA, cómodo [3, 8]. Las participaciones en Sanofi (7,2 %) y Galderma (20 %) valen ≈13.700 M, unos 25,6 EUR por acción.</w:t>
      </w:r>
    </w:p>
    <w:p>
      <w:pPr>
        <w:spacing w:after="100"/>
      </w:pPr>
      <w:r>
        <w:rPr>
          <w:b/>
        </w:rPr>
        <w:t xml:space="preserve">Equipo y gobierno.</w:t>
      </w:r>
      <w:r>
        <w:t xml:space="preserve"> La familia Bettencourt Meyers (34,7 %) y Nestlé (20,1 %) suman el 55 % del capital; Nestlé es accionista, no una participación de L’Oréal, y podría vender [20]. Hieronimus (consejero delegado desde 2021) y Agon (presidente) dan continuidad [26].</w:t>
      </w:r>
    </w:p>
    <w:p>
      <w:pPr>
        <w:spacing w:after="100"/>
      </w:pPr>
      <w:r>
        <w:rPr>
          <w:b/>
        </w:rPr>
        <w:t xml:space="preserve">Valoración.</w:t>
      </w:r>
      <w:r>
        <w:t xml:space="preserve"> El DCF da 277,40 EUR (−26,9 %): a 379,6 EUR el mercado descuenta un crecimiento del 9,4 % anual frente a nuestro 4,9 %, o una rentabilidad del 6,5 % frente a un WACC del 7,81 %. Con la prima del mercado (4,2 %) el DCF sube a 350,35 EUR, aún por debajo del precio. A 12 meses, el PER actual (26,4 veces nuestro BPA de 2027e) está por debajo de su mediana limpia de cinco años (31,7x): es barata frente a su historia y cara frente a su coste de capital.</w:t>
      </w:r>
    </w:p>
    <w:p>
      <w:pPr>
        <w:spacing w:after="100"/>
      </w:pPr>
      <w:r>
        <w:rPr>
          <w:b/>
        </w:rPr>
        <w:t xml:space="preserve">Riesgos y catalizadores.</w:t>
      </w:r>
      <w:r>
        <w:t xml:space="preserve"> El riesgo mayor es que la belleza se normalice al 3-4 % y L’Oréal pierda la prima de crecimiento (bajista a 12 meses: 309,34 EUR, −16,6 %). Catalizadores: ventas del 3T26 el 21-23 de octubre (con una base fácil, +4,2 % en el 3T25), los resultados de 2026 en febrero y la licencia de Gucci desde julio de 2027.</w:t>
      </w:r>
    </w:p>
    <w:p>
      <w:pPr>
        <w:spacing w:after="100"/>
      </w:pPr>
      <w:r>
        <w:rPr>
          <w:b/>
        </w:rPr>
        <w:t xml:space="preserve">Qué cambiaría la decisión.</w:t>
      </w:r>
      <w:r>
        <w:t xml:space="preserve"> Compraríamos por debajo de 284,54 EUR, el valor intrínseco. Venderíamos por encima de 468,24 EUR, o si el crecimiento comparable cae por debajo del 4 % dos trimestres seguidos, que llevaría el base hacia el bajista.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446,88 EUR</w:t>
      </w:r>
      <w:r>
        <w:t xml:space="preserve"> (rentabilidad +19,6 % (base +20,9 %)) · Valor intrínseco: 284,54 EUR (-25,0 % sobre 379,60) · con la prima implícita del mercado: 345,60 (-9,0 %)</w:t>
      </w:r>
    </w:p>
    <w:p>
      <w:pPr>
        <w:spacing w:after="100"/>
      </w:pPr>
      <w:r>
        <w:t xml:space="preserve">L’Oréal es la mejor empresa de un sector defensivo: líder mundial de la belleza con un margen operativo que sube cada año, un ROIC del ≈18 % y un balance que digiere 7.500 M de compras en un semestre sin pasar de 1,1 veces el EBITDA [1, 3]. Tras un 2025 flojo, ha vuelto a crecer un 6-7 % comparable en 2026.</w:t>
      </w:r>
    </w:p>
    <w:p>
      <w:pPr>
        <w:spacing w:after="100"/>
      </w:pPr>
      <w:r>
        <w:t xml:space="preserve">A 379,6 EUR el mercado paga 26 veces el beneficio de 2027e: poco para L’Oréal (su mediana limpia es de 31,7 veces), mucho para un negocio que crecerá un 5 % orgánico. El DCF inverso pide un 9,4 % anual de crecimiento con nuestro coste de capital: el valor intrínseco (284,54 EUR) queda un 25 % por debajo.</w:t>
      </w:r>
    </w:p>
    <w:p>
      <w:pPr>
        <w:spacing w:after="100"/>
      </w:pPr>
      <w:r>
        <w:t xml:space="preserve">Para invertir hay que aceptar una rentabilidad parecida al crecimiento del BPA (8-9 % anual más el 1,9 % de dividendo) sin margen de seguridad. Es una empresa para tener, no para comprar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 × 13,81 = 320,39 · 29,0x × 15,58 = 451,82 · 33,6x × 16,77 = 563,47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 / 20,9 %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417,79 (nuestro base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-47,2 %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345,60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284,54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284,54 y 504,53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504,53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284,54 EUR, pasaríamos a Comprar.</w:t>
      </w:r>
    </w:p>
    <w:p>
      <w:pPr>
        <w:pStyle w:val="ListParagraph"/>
        <w:numPr>
          <w:ilvl w:val="0"/>
          <w:numId w:val="2"/>
        </w:numPr>
        <w:spacing w:after="60"/>
      </w:pPr>
      <w:r>
        <w:t xml:space="preserve">Si el precio supera 468,24 EUR, pasaríamos a Vender.</w:t>
      </w:r>
    </w:p>
    <w:p>
      <w:pPr>
        <w:pStyle w:val="ListParagraph"/>
        <w:numPr>
          <w:ilvl w:val="0"/>
          <w:numId w:val="2"/>
        </w:numPr>
        <w:spacing w:after="60"/>
      </w:pPr>
      <w:r>
        <w:t xml:space="preserve">Si el crecimiento comparable cae por debajo del 4 % dos trimestres seguidos, rebajaríamos el base hacia el bajista.</w:t>
      </w:r>
    </w:p>
    <w:p>
      <w:pPr>
        <w:pStyle w:val="ListParagraph"/>
        <w:numPr>
          <w:ilvl w:val="0"/>
          <w:numId w:val="2"/>
        </w:numPr>
        <w:spacing w:after="60"/>
      </w:pPr>
      <w:r>
        <w:t xml:space="preserve">Si L’Oréal recompra el 20,1 % de Nestlé con deuda y Sanofi,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L’Oréal seguirá creciendo por encima del mercado durante una década y merece un múltiplo de 26 veces, el de un activo refugio de calidad.</w:t>
      </w:r>
    </w:p>
    <w:p>
      <w:pPr>
        <w:keepNext/>
        <w:spacing w:after="100"/>
      </w:pPr>
      <w:r>
        <w:rPr>
          <w:b/>
          <w:bCs/>
        </w:rPr>
        <w:t xml:space="preserve">Lo que creemos nosotros.</w:t>
      </w:r>
    </w:p>
    <w:p>
      <w:pPr>
        <w:spacing w:after="100"/>
      </w:pPr>
      <w:r>
        <w:t xml:space="preserve">Coincidimos con el consenso en el beneficio (BPA de 15,58 EUR en 2028e frente a 15,63) y en el objetivo a 12 meses. Discrepamos en el valor a largo plazo: con un coste de capital del 7,8 %, el precio exige crecer al doble que el mercado.</w:t>
      </w:r>
    </w:p>
    <w:p>
      <w:pPr>
        <w:keepNext/>
        <w:spacing w:after="100"/>
      </w:pPr>
      <w:r>
        <w:rPr>
          <w:b/>
          <w:bCs/>
        </w:rPr>
        <w:t xml:space="preserve">Por qué podemos tener razón.</w:t>
      </w:r>
    </w:p>
    <w:p>
      <w:pPr>
        <w:spacing w:after="100"/>
      </w:pPr>
      <w:r>
        <w:t xml:space="preserve">La calidad es real, pero el precio ya la paga; la rentabilidad a 12 meses depende de que el múltiplo no baje.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al alza</w:t>
      </w:r>
      <w:r>
        <w:t xml:space="preserve">: 21,3 % operativo en el 1S26, récord [2].</w:t>
      </w:r>
    </w:p>
    <w:p>
      <w:pPr>
        <w:pStyle w:val="ListParagraph"/>
        <w:numPr>
          <w:ilvl w:val="0"/>
          <w:numId w:val="2"/>
        </w:numPr>
        <w:spacing w:after="60"/>
      </w:pPr>
      <w:r>
        <w:rPr>
          <w:b/>
        </w:rPr>
        <w:t xml:space="preserve">Vuelta al crecimiento</w:t>
      </w:r>
      <w:r>
        <w:t xml:space="preserve">: +6,8 % comparable en el 1S26 frente a +4,0 % en 2025 [1, 2].</w:t>
      </w:r>
    </w:p>
    <w:p>
      <w:pPr>
        <w:pStyle w:val="ListParagraph"/>
        <w:numPr>
          <w:ilvl w:val="0"/>
          <w:numId w:val="2"/>
        </w:numPr>
        <w:spacing w:after="60"/>
      </w:pPr>
      <w:r>
        <w:rPr>
          <w:b/>
        </w:rPr>
        <w:t xml:space="preserve">Compras que suman crecimiento</w:t>
      </w:r>
      <w:r>
        <w:t xml:space="preserve">: Kering Beauté desde abril de 2026 y Gucci desde julio de 2027 [17, 18].</w:t>
      </w:r>
    </w:p>
    <w:p>
      <w:pPr>
        <w:pStyle w:val="ListParagraph"/>
        <w:numPr>
          <w:ilvl w:val="0"/>
          <w:numId w:val="2"/>
        </w:numPr>
        <w:spacing w:after="60"/>
      </w:pPr>
      <w:r>
        <w:rPr>
          <w:b/>
        </w:rPr>
        <w:t xml:space="preserve">Participaciones líquidas</w:t>
      </w:r>
      <w:r>
        <w:t xml:space="preserve">: Sanofi y Galderma, ≈25,6 EUR por acción.</w:t>
      </w:r>
    </w:p>
    <w:p>
      <w:pPr>
        <w:pStyle w:val="ListParagraph"/>
        <w:numPr>
          <w:ilvl w:val="0"/>
          <w:numId w:val="2"/>
        </w:numPr>
        <w:spacing w:after="60"/>
      </w:pPr>
      <w:r>
        <w:rPr>
          <w:b/>
        </w:rPr>
        <w:t xml:space="preserve">PER bajo para su historia</w:t>
      </w:r>
      <w:r>
        <w:t xml:space="preserve">: 26,4 veces frente a 31,7 de mediana.</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284,54 EUR (−25,0 %).</w:t>
      </w:r>
    </w:p>
    <w:p>
      <w:pPr>
        <w:pStyle w:val="ListParagraph"/>
        <w:numPr>
          <w:ilvl w:val="0"/>
          <w:numId w:val="2"/>
        </w:numPr>
        <w:spacing w:after="60"/>
      </w:pPr>
      <w:r>
        <w:rPr>
          <w:b/>
        </w:rPr>
        <w:t xml:space="preserve">Crecimiento implícito exigente</w:t>
      </w:r>
      <w:r>
        <w:t xml:space="preserve">: 9,4 % anual frente al 4,5 % del mercado.</w:t>
      </w:r>
    </w:p>
    <w:p>
      <w:pPr>
        <w:pStyle w:val="ListParagraph"/>
        <w:numPr>
          <w:ilvl w:val="0"/>
          <w:numId w:val="2"/>
        </w:numPr>
        <w:spacing w:after="60"/>
      </w:pPr>
      <w:r>
        <w:rPr>
          <w:b/>
        </w:rPr>
        <w:t xml:space="preserve">China y comercio de viaje</w:t>
      </w:r>
      <w:r>
        <w:t xml:space="preserve"> todavía débiles [6, 25].</w:t>
      </w:r>
    </w:p>
    <w:p>
      <w:pPr>
        <w:pStyle w:val="ListParagraph"/>
        <w:numPr>
          <w:ilvl w:val="0"/>
          <w:numId w:val="2"/>
        </w:numPr>
        <w:spacing w:after="60"/>
      </w:pPr>
      <w:r>
        <w:rPr>
          <w:b/>
        </w:rPr>
        <w:t xml:space="preserve">Más deuda</w:t>
      </w:r>
      <w:r>
        <w:t xml:space="preserve">: de 2.051 a 12.700 M en seis meses [3, 8].</w:t>
      </w:r>
    </w:p>
    <w:p>
      <w:pPr>
        <w:pStyle w:val="ListParagraph"/>
        <w:numPr>
          <w:ilvl w:val="0"/>
          <w:numId w:val="2"/>
        </w:numPr>
        <w:spacing w:after="60"/>
      </w:pPr>
      <w:r>
        <w:rPr>
          <w:b/>
        </w:rPr>
        <w:t xml:space="preserve">Nestlé podría vender</w:t>
      </w:r>
      <w:r>
        <w:t xml:space="preserve"> su 20,1 %.</w:t>
      </w:r>
    </w:p>
    <w:p>
      <w:pPr>
        <w:pStyle w:val="Heading2"/>
      </w:pPr>
      <w:r>
        <w:t xml:space="preserve">Qué tiene que pasar para que la tesis funcione</w:t>
      </w:r>
    </w:p>
    <w:p>
      <w:pPr>
        <w:spacing w:after="100"/>
      </w:pPr>
      <w:r>
        <w:t xml:space="preserve">La tesis depende de que L’Oréal siga creciendo por encima del mercado (5 % orgánico o más) mientras sube el margen. La señal de que no se cumple sería un crecimiento comparable por debajo del 4 % en el 3T26 y el 4T26 con Gran Consumo estancado: el bajista, con el PER hacia 22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supera al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+0,2 puntos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 de Asia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ajustado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y el comercio de viaje.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más compras o para recomprar a Nestlé.</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L’Oréal Luxe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Kering Beauté.</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 / 26,2x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L’Oréal nació en 1909 en París, cuando el químico Eugène Schueller fundó una empresa de tintes para el pelo. Su hija Liliane Bettencourt fue la primera accionista durante décadas, y en 1974 Nestlé entró en el capital en un pacto con la familia. Con Lindsay Owen-Jones (1988-2006) y Jean-Paul Agon (2006-2021) se convirtió en el líder mundial de la belleza a base de compras de marcas (Lancôme, Maybelline, Kiehl’s, CeraVe, Aesop) y expansión en emergentes. Hoy la familia Bettencourt Meyers controla de hecho el grupo, Nestlé conserva el ≈20 % y Nicolas Hieronimus es consejero delegado desde 2021 [19,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Eugène Schueller funda la empresa de tintes que será L’Oréal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Nestlé en el capital, en un pacto con Liliane Bettencourt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Synthélabo a Sanofi y recibe acciones: origen de la participación en Sanofi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8 % de su capital a Nestlé a cambio de su mitad de Galderma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22,3 M de acciones a Nestlé (8.900 M EUR); Nestlé baja al 20,1 % y la familia sube al 34,7 %. Hieronimus sucede a Agon como consejero delegado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Aesop por 2.525 M USD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 Sanofi un 2,3 % de su capital por 3.000 M EUR (queda con el 7,2 %); acuerda comprar Kering Beauté por 4.000 M EUR y sube al 20 % de Galderma [18, 21,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Kering Beauté (31-mar); supera a LVMH como primera capitalización de París (15-sep) [18,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L’Oréal es el primer grupo de belleza del mundo: 44.053 M EUR de ventas en 2025 con 37 marcas internacionales en cuatro divisiones: Gran Consumo (L’Oréal Paris, Maybelline, Garnier), L’Oréal Luxe (Lancôme, Yves Saint Laurent, Armani, Prada, Aesop y, desde abril de 2026, Creed y las licencias de Kering), Belleza Dermatológica (La Roche-Posay, CeraVe, Vichy, SkinCeuticals) y Productos Profesionales (peluquerías: Kérastase, Redken) [1, 2]. Vende en ≈150 países; las regiones son Europa, Norteamérica, Norte de Asia, SAPMENA-SSA y Latinoamérica [6].</w:t>
      </w:r>
    </w:p>
    <w:p>
      <w:pPr>
        <w:pStyle w:val="Heading2"/>
      </w:pPr>
      <w:r>
        <w:t xml:space="preserve">Cómo gana dinero</w:t>
      </w:r>
    </w:p>
    <w:p>
      <w:pPr>
        <w:spacing w:after="100"/>
      </w:pPr>
      <w:r>
        <w:t xml:space="preserve">Margen bruto alto (≈74 %) que paga una inversión enorme en publicidad y promoción (≈32 % de las ventas) e investigación (≈3 %), y deja un margen operativo del 20 % que sube un poco cada año [1, 24]. Fabrica en sus propias plantas (más de 35) y vende a distribuidores, perfumerías, farmacias, peluquerías y por internet. Nada es contractual, pero la belleza es un gasto recurrente y defensivo: el mercado solo cayó en 2020 (−8 %) [24]. El grupo crece por volumen, precio y mezcla (más lujo y dermocosmética) y compra marcas para entrar en categorías nuevas.</w:t>
      </w:r>
    </w:p>
    <w:p>
      <w:pPr>
        <w:pStyle w:val="Heading2"/>
      </w:pPr>
      <w:r>
        <w:t xml:space="preserve">Clientes, recurrencia y poder de precios</w:t>
      </w:r>
    </w:p>
    <w:p>
      <w:pPr>
        <w:spacing w:after="100"/>
      </w:pPr>
      <w:r>
        <w:t xml:space="preserve">Consumidor final de todas las rentas, a través de distribuidores (grandes superficies, perfumerías como Sephora, farmacias, comercio electrónico, viajes). Sin concentración relevante de clientes. Poder de precios demostrado: subidas en 2022-2023 con inflación sin perder volumen, y margen operativo al alza todos los años de 2021 a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2026: +7,6 % comparable en el 1T26 (+6,7 % ajustado) y +6,8 % en el semestre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puntos sobre el 1S25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pese a la dilución de Kering Beauté en Luxe (22,1 %) [2,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L’Oréal Luxe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comparable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división de lujo de belleza del mundo; integra Kering Beauté (Creed) desde el 1-abr-2026 [12,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Profesionales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que más crece en 2026 (+11,6 % comparable ajustado)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Dermatológica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Roche-Posay y CeraVe: crecimiento de doble dígito comparable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(2025, estimación)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716 M EUR en el semestre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mercado mundial de belleza</w:t>
      </w:r>
      <w:r>
        <w:t xml:space="preserve"> (piel, maquillaje, pelo, perfumes, higiene) a precios netos de fabricante, según la estimación de la propia L’Oréal: ≈300.000 M EUR en 2025 [24]. Es la base en la que L’Oréal mide su cuota y su «superación del mercado». Se contrasta con Euromonitor (422.000 M USD a precio de venta al público en 2022) [24]. La serie de 2019-2022 es estimación propia hacia atrás con los crecimientos anuales que publica L’Oréal (−8 % en 2020, +8 % en 2021, +6 % en 2022, +8 % en 2023)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300.000 M EUR en 2025 a precios netos de fabricante; la dirección espera un crecimiento del 4,5-5 % en 2026 [2,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(lujo y dermocosmética)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Dermatológica +10,6 % y Profesionales +11,6 % comparables ajustados en el 1S26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Emergentes (India, Oriente Medio, África)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SAPMENA-SSA +15,4 % en el 1T26 y +13,8 % en el 1S26 [6,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comercio de viaje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−9 % publicado en el 1T26 pese a +4,8 % ajustado; el comercio de viaje en Asia sigue «difícil» [6,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tras el auge de 2021-2023</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pasó de +8 % en 2023 a ≈+4 % en 2025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punto de diferencia entre crecimiento comparable (6,8 %) y publicado (5,8 %) en el 1S26 con Kering Beauté sumando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Rivales grandes (P&amp;G, Unilever, Estée Lauder, LVMH, Shiseido) y marcas nativas digitales; publicidad del ≈32 %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grandes (Sephora, Ulta, Walmart, Amazon), pero la marca la busca el consumidor.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de química básica y envases;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es barato con redes sociales (e.l.f., Rhode), escalar no: las marcas exitosas acaban compradas.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Tratamientos estéticos (Galderma, en la que L’Oréal tiene el 20 %) y marcas blancas en gran consumo.</w:t>
            </w:r>
          </w:p>
        </w:tc>
      </w:tr>
    </w:tbl>
    <w:p>
      <w:pPr>
        <w:spacing w:after="160" w:before="0"/>
      </w:pPr>
    </w:p>
    <w:p>
      <w:pPr>
        <w:pStyle w:val="Heading2"/>
      </w:pPr>
      <w:r>
        <w:t xml:space="preserve">Ciclo</w:t>
      </w:r>
    </w:p>
    <w:p>
      <w:pPr>
        <w:spacing w:after="100"/>
      </w:pPr>
      <w:r>
        <w:t xml:space="preserve">El mercado de belleza creció ≈4 % en 2025 y la dirección espera 4,5-5 % en 2026 [2, 24]. Es un sector defensivo: +3 % en 2008, +1 % en 2009, −8 % en 2020 (cierre de tiendas) y rebote del +8 % en 2021 [24].</w:t>
      </w:r>
    </w:p>
    <w:p>
      <w:pPr>
        <w:pStyle w:val="Heading2"/>
      </w:pPr>
      <w:r>
        <w:t xml:space="preserve">Regulación</w:t>
      </w:r>
    </w:p>
    <w:p>
      <w:pPr>
        <w:spacing w:after="100"/>
      </w:pPr>
      <w:r>
        <w:rPr>
          <w:b/>
        </w:rPr>
        <w:t xml:space="preserve">Química y seguridad</w:t>
      </w:r>
      <w:r>
        <w:t xml:space="preserve">: reglamento europeo de cosméticos y la ley MoCRA de EE. UU. (2022), que endurece el registro y la vigilancia de productos [24]. </w:t>
      </w:r>
      <w:r>
        <w:rPr>
          <w:b/>
        </w:rPr>
        <w:t xml:space="preserve">Aranceles de EE. UU.</w:t>
      </w:r>
      <w:r>
        <w:t xml:space="preserve">: afectaron a Norteamérica en 2025 [7]. </w:t>
      </w:r>
      <w:r>
        <w:rPr>
          <w:b/>
        </w:rPr>
        <w:t xml:space="preserve">Fiscalidad francesa</w:t>
      </w:r>
      <w:r>
        <w:t xml:space="preserve">: recargo temporal del impuesto de sociedades a las grandes empresas en 2025-2026; tipo efectivo del grupo del ≈25 % (estimación propia).</w:t>
      </w:r>
    </w:p>
    <w:p>
      <w:pPr>
        <w:pStyle w:val="Heading2"/>
      </w:pPr>
      <w:r>
        <w:t xml:space="preserve">Tendencias y disrupción</w:t>
      </w:r>
    </w:p>
    <w:p>
      <w:pPr>
        <w:spacing w:after="100"/>
      </w:pPr>
      <w:r>
        <w:t xml:space="preserve">Las compras se mueven a internet y a las redes (TikTok Shop), lo que abarata lanzar marcas y obliga a los grandes a comprar las que funcionan. La dermocosmética y los perfumes ganan peso; el maquillaje de masas sufre en EE. UU. La estética médica (inyectables) se acerca a la belleza: por eso el 20 % de Galderma.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de la belleza con ≈14,7 % del mercado (44.053 M sobre ≈300.000 M EUR en 2025, estimación propia), casi el doble que el segundo (Unilever)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 (Beauty &amp; Wellbeing y Personal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belleza del mundo por ventas (≈26.600 M USD en el ranking sectorial), con más peso de higiene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lujo; en reestructuración, con margen operativo publicado del 5,2 %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Perfumes y Cosméticos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Dior, Guerlain, Givenchy; ventas planas en 2025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Eucerin y La Prairie; compite en dermocosmética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por deterioros en 2025; caída en China y comercio de viaje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Perfumería de prestigio (11 % del mercado selectivo); compite con L’Oréal Luxe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Lealtad de marca en piel y pelo, sin coste real de cambio.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37 marcas mundiales y licencias de lujo a 50 años (Kering); margen operativo al alza cinco años seguidos [11,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publicidad, compras, investigación (≈1.300 M al año) y distribución: el doble de ventas que el segundo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es grande y fragmentado; la escala da ventaja, no exclusividad.</w:t>
            </w:r>
          </w:p>
        </w:tc>
      </w:tr>
    </w:tbl>
    <w:p>
      <w:pPr>
        <w:spacing w:after="160" w:before="0"/>
      </w:pPr>
    </w:p>
    <w:p>
      <w:pPr>
        <w:pStyle w:val="Heading2"/>
      </w:pPr>
      <w:r>
        <w:t xml:space="preserve">Amenazas</w:t>
      </w:r>
    </w:p>
    <w:p>
      <w:pPr>
        <w:spacing w:after="100"/>
      </w:pPr>
      <w:r>
        <w:t xml:space="preserve">Marcas nacidas en redes que ganan cuota en maquillaje y piel en EE. UU. (e.l.f., Rhode) y marcas locales chinas; la respuesta de L’Oréal es comprar (Aesop, Kering Beauté) y acelerar la venta en internet. Riesgo de que la normalización del mercado (+4 %) deje a L’Oréal creciendo como el mercado, sin la prima que justifica su múltiplo.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r>
    </w:tbl>
    <w:p>
      <w:pPr>
        <w:spacing w:after="160" w:before="0"/>
      </w:pPr>
    </w:p>
    <w:p>
      <w:pPr>
        <w:spacing w:after="100"/>
      </w:pPr>
      <w:r>
        <w:t xml:space="preserve">Crecimiento anual compuesto 2021-2025: ingresos </w:t>
      </w:r>
      <w:r>
        <w:rPr>
          <w:b/>
          <w:bCs/>
        </w:rPr>
        <w:t xml:space="preserve">8,1 %</w:t>
      </w:r>
      <w:r>
        <w:t xml:space="preserve">, EBITDA </w:t>
      </w:r>
      <w:r>
        <w:rPr>
          <w:b/>
          <w:bCs/>
        </w:rPr>
        <w:t xml:space="preserve">n.d.</w:t>
      </w:r>
      <w:r>
        <w:t xml:space="preserve">, BPA </w:t>
      </w:r>
      <w:r>
        <w:rPr>
          <w:b/>
          <w:bCs/>
        </w:rPr>
        <w:t xml:space="preserve">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Ventas de 32.288 M EUR en 2021 a 44.053 M en 2025 (TCAC del 8,1 %), con un frenazo claro en 2025: +1,3 % publicado y +4,0 % comparable, tras +16,1 %, +10,9 %, +11,0 % y +5,1 % comparables en 2021-2024 [1, 14]. El margen operativo ha subido cada año, del 19,1 % de 2021 al 20,2 % de 2025, y al 21,3 % en el 1S26 [1, 2]. En 2026 el crecimiento vuelve: +7,6 % comparable en el 1T26 y +6,8 % en el semestre (5,8 % publicado, con la divisa en contra y Kering Beauté sumando desde abril) [2, 6]. El beneficio neto sin partidas no recurrentes de 2025 (6.806 M, +0,3 %) creció menos que el operativo porque los dividendos de Sanofi bajaron de 448 a 352 M tras vender un 2,3 % de Sanofi [1, 15].</w:t>
      </w:r>
    </w:p>
    <w:p>
      <w:pPr>
        <w:pStyle w:val="Heading2"/>
      </w:pPr>
      <w:r>
        <w:t xml:space="preserve">Ajustes y partidas no recurrentes</w:t>
      </w:r>
    </w:p>
    <w:p>
      <w:pPr>
        <w:spacing w:after="100"/>
      </w:pPr>
      <w:r>
        <w:t xml:space="preserve">Usamos el beneficio neto y el BPA diluido </w:t>
      </w:r>
      <w:r>
        <w:rPr>
          <w:b/>
        </w:rPr>
        <w:t xml:space="preserve">sin partidas no recurrentes</w:t>
      </w:r>
      <w:r>
        <w:t xml:space="preserve"> que publica L’Oréal (la base de su guía y del consenso). El neto atribuido publicado fue de 6.408,7 M en 2024 y 6.127,2 M en 2025 (−4,4 %), por deterioros y costes de reestructuración [5]. Las cifras de 2021-2023 (ventas, resultado operativo, BPA y dividendo) son las de los comunicados anuales de L’Oréal; el beneficio neto ajustado de esos años se calcula como BPA × acciones diluidas (estimación propia). El EBITDA de 2024-2025 es el de MarketScreener (margen del 24,3 % en 2025) y la amortización sale por diferencia con el resultado operativo [12]. El BPA incluye los dividendos de Sanofi (352 M en 2025, 366 M en el 1S26), que no están en el EBITDA [1, 3]. El LTM a jun-26 es estimación propia: 2025 + 1S26 − 1S25.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3T25 las ventas (10.330 M) crecieron un 4,2 % comparable, por debajo del consenso (≈4,9 %), con Norteamérica débil por los aranceles y el cambio de sistemas informáticos [7]. El 4T25 decepcionó y la acción cayó: un analista de RBC lo llamó «poco útil» con el mercado de belleza ya prudente [14]. 2026 cambió el tono: el 1T26 creció un 7,6 % comparable, muy por encima de lo esperado, con Norte de Asia +4,8 % ajustado (China recuperándose) y SAPMENA-SSA +15,4 % [6]. En el 1S26 (29-jul) la dirección elevó su estimación de crecimiento del mercado de belleza al 4,5-5 % en 2026 y dijo que quiere superarlo en el segundo semestre; Productos Profesionales (+11,6 % ajustado) y Dermatológica (+10,6 %) tiraron, Gran Consumo (+4,3 %) y Luxe (+5,1 %) más despacio, y el Golfo frenó por el conflicto con Irán [2, 10, 11]. El 2T26 es estimación propia por diferencia (1S26 − 1T26); el +6,0 % comparable del trimestre sale de una fuente secundaria.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Aesop consolidada desde el 30-ago-2023 (valor empresa de 2.525 M USD).; 2026: Kering Beauté (Creed y licencias a 50 años de Bottega Veneta y Balenciaga) consolidada desde el 1-abr-2026 por ≈4.000 M EUR; la licencia de Gucci entra el 1-jul-2027. Galderma (20 % desde 2026) por puesta en equivalencia.). Los ratios de balance de ese año (días, circulante, deuda neta / EBITDA, ROIC) y los indicadores de calidad contable no son comparables con los anteriores.</w:t>
      </w:r>
    </w:p>
    <w:p>
      <w:pPr>
        <w:spacing w:after="100"/>
      </w:pPr>
      <w:r>
        <w:t xml:space="preserve">El balance pasó de casi sin deuda (0,2 veces EBITDA en dic-2025) a ≈1,1 veces en jun-2026 por las compras de Kering Beauté y Galderma [3, 9]. Es un apalancamiento cómodo para una empresa con 7.200 M de flujo de caja neto al año: en dos años vuelve a la caja neta si no compra más [1]. El patrimonio de 2025 (34.953 M atribuido) y el activo total salen de Stock Analysis; el resto del balance no se pudo leer [8].</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2024-2025: FCF </w:t>
      </w:r>
      <w:r>
        <w:rPr>
          <w:b/>
          <w:bCs/>
        </w:rPr>
        <w:t xml:space="preserve">7.200</w:t>
      </w:r>
      <w:r>
        <w:t xml:space="preserve">, conversión </w:t>
      </w:r>
      <w:r>
        <w:rPr>
          <w:b/>
          <w:bCs/>
        </w:rPr>
        <w:t xml:space="preserve">54 %</w:t>
      </w:r>
      <w:r>
        <w:t xml:space="preserve"> del beneficio neto; adquisiciones 0, dividendos 7.490, recompras 0.</w:t>
      </w:r>
    </w:p>
    <w:p>
      <w:pPr>
        <w:spacing w:after="100"/>
      </w:pPr>
      <w:r>
        <w:t xml:space="preserve">L’Oréal publicó un flujo de caja neto (operativo menos capex) de 7.200 M EUR en 2025, +7,8 %, el 106 % del beneficio neto ajustado [1]. El flujo operativo y el capex de 2025 son estimación propia (capex de ≈3,6 % de las ventas, la media reciente); en el 1S26 el flujo operativo subió un 13,9 % hasta 3.120 M y el capex fue de 716 M (3 % de las ventas) [3]. En 2025 entraron 3.000 M de la venta de acciones de Sanofi [15]. Los dividendos son estimación propia (dividendo por acción × acciones).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Cuentas limpias y estables: el resultado operativo es la cifra que guía y crece cada año; las partidas no recurrentes (deterioros, reestructuraciones) restaron ≈680 M al neto de 2025 [1, 5]. Lo que hay que vigilar: el peso creciente de las compras (Aesop, Kering Beauté, Galderma), que suben fondo de comercio y marcas, y que el BPA ajustado incluye los dividendos de Sanofi, que bajan si vende más acciones. Altman y Beneish no son concluyentes porque faltan líneas del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publicado −4,4 % en 2025 frente a +0,3 % el ajustado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apoyado en dividendos de Sanofi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352 M en 2025 (≈5 % del beneficio ajustado), a la baja por las ventas de acciones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7,8 %.</w:t>
      </w:r>
    </w:p>
    <w:p>
      <w:pPr>
        <w:spacing w:after="100"/>
      </w:pPr>
      <w:r>
        <w:t xml:space="preserve">L’Oréal crea valor con holgura: con el capital total (patrimonio de 34.953 M y deuda neta de 2.051 M) el ROIC de 2025 es del ≈18 %, unos 10 puntos sobre el WACC del 7,81 % [8]. Lo mueve el margen (beneficio neto ajustado del 15,5 % de las ventas) más que la rotación. Las compras de 2026 (≈7.500 M en Kering Beauté y Galderma) bajarán el ROIC uno o dos puntos hasta que rindan.</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4.050 M EUR a 30-jun-2026 y deuda neta de 12.700 M (con arrendamientos), después de pagar Kering Beauté (≈4.000 M), el segundo 10 % de Galderma y el dividendo de 2025 (≈3.850 M) [3]. A dic-2025 la caja era de 9.865 M (prefinanciación de las compras) y la deuda neta, de 2.051 M (0,2 veces el EBITDA) [8,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 Aa1 (Moody’s), según la última información conocida; no comprobado en este análisis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Arrendamientos de 1.797 M EUR a dic-2025 [9]. No constan pensiones relevantes en las fuentes leídas. La participación en Sanofi (7,2 % del capital, ≈88,6 M de acciones tras vender 29,6 M en feb-2025 a 101,5 EUR) es un activo financiero líquido fuera del EBITDA [15].</w:t>
      </w:r>
    </w:p>
    <w:p>
      <w:pPr>
        <w:pStyle w:val="Heading1"/>
      </w:pPr>
      <w:r>
        <w:t xml:space="preserve">12. Asignación de capital</w:t>
      </w:r>
    </w:p>
    <w:p>
      <w:pPr>
        <w:pStyle w:val="Confianza"/>
        <w:spacing w:after="100"/>
      </w:pPr>
      <w:r>
        <w:t xml:space="preserve">Confianza: Media</w:t>
      </w:r>
    </w:p>
    <w:p>
      <w:pPr>
        <w:spacing w:after="100"/>
      </w:pPr>
      <w:r>
        <w:t xml:space="preserve">Dividendo creciente: 7,20 EUR por acción con cargo a 2025 (+2,9 %), ≈57 % del beneficio ajustado; prima del 10 % a los accionistas nominativos fieles [1]. Recompras habituales para compensar la dilución de los planes de acciones [13]. Las prioridades son las compras de marcas (Aesop, Kering Beauté, Galderma, Jacquemus) y la innovación (investigación del 3 % de las ventas).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 veces las ventas; integrada en Luxe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Galderma (dos tramos del 10 %)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líneas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20 %, por puesta en equivalencia desde 2026; dos consejeros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Beauté (Creed, licencias de Bottega Veneta, Balenciaga y Gucci desde jul-2027)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(prefinanciada con bonos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31-mar-2026; diluye 0,2 puntos el margen de Luxe [17, 18].</w:t>
            </w:r>
          </w:p>
        </w:tc>
      </w:tr>
    </w:tbl>
    <w:p>
      <w:pPr>
        <w:spacing w:after="160" w:before="0"/>
      </w:pPr>
    </w:p>
    <w:p>
      <w:pPr>
        <w:spacing w:after="100"/>
      </w:pPr>
      <w:r>
        <w:t xml:space="preserve">Asignación de capital disciplinada: dividendo creciente sin interrupciones, recompras para neutralizar la dilución y compras de marcas de prestigio a múltiplos altos (Aesop a 4,7 veces ventas). La venta parcial de Sanofi (3.000 M en 2025) financió las compras sin forzar el balance [15]. El riesgo es pagar demasiado por marcas de lujo (Creed, ≈14 veces ventas cuando la compró Kering) en un mercado que se normaliza.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Hieronimus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L’Oréal desde 1987; dirigió Gran Consumo, Productos Profesionales y Luxe antes de suceder a Jean-Paul Agon en mayo de 2021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Jean-Paul Agon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2006 a 2021 y presidente desde 2011; reelegido consejero en la junta de abril de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 Babule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los resultados y la guía financiera del grupo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Superar al mercado de belleza y crecer en ventas y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+4,0 % comparable con un mercado del ≈4 %; margen operativo +0,2 puntos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Superar al mercado de belleza y crecer en ventas y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+5,1 % comparable; margen operativo del 19,8 %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carrera interna y sucesión ordenada (Agon → Hieronimus en 2021). La guía es cualitativa (superar al mercado, crecer en ventas y beneficio y subir el margen) y se ha cumplido casi siempre; 2025 fue el año flojo, con ventas al ritmo del mercado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Jean-Paul Agon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Hieronimus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Françoise Bettencourt Meyers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Pablo Isla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Jean-Paul Agon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Bettencourt Meyers (Téthys)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33 % al 34,7 % con la recompra a Nestlé de 2021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Nestlé</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23,3 % al 20,1 % en 2021; sin venta confirmada en 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24-abr-2026 aprobó todas las propuestas del consejo, incluidas las de remuneración; los porcentajes de voto no se pudieron leer [26].</w:t>
      </w:r>
    </w:p>
    <w:p>
      <w:pPr>
        <w:pStyle w:val="Heading2"/>
      </w:pPr>
      <w:r>
        <w:t xml:space="preserve">Operaciones vinculadas, estructura de control y defensas</w:t>
      </w:r>
    </w:p>
    <w:p>
      <w:pPr>
        <w:spacing w:after="100"/>
      </w:pPr>
      <w:r>
        <w:t xml:space="preserve">La familia Bettencourt Meyers (34,7 %) y Nestlé (20,1 %) suman el 55 % del capital; tres consejeros son de la familia y dos de Nestlé en un consejo de 18 (56 % independientes) [20, 26]. Los accionistas nominativos fieles reciben un dividendo un 10 % mayor. La familia y Nestlé llevan años sin pacto que les obligue: Nestlé ha dicho muchas veces que su participación no es estratégica, así que una venta (a la propia L’Oréal o al mercado) es posible.</w:t>
      </w:r>
    </w:p>
    <w:p>
      <w:pPr>
        <w:pStyle w:val="Heading2"/>
      </w:pPr>
      <w:r>
        <w:t xml:space="preserve">Señales de alerta</w:t>
      </w:r>
    </w:p>
    <w:p>
      <w:pPr>
        <w:pStyle w:val="ListParagraph"/>
        <w:numPr>
          <w:ilvl w:val="0"/>
          <w:numId w:val="2"/>
        </w:numPr>
        <w:spacing w:after="60"/>
      </w:pPr>
      <w:r>
        <w:t xml:space="preserve">Posible venta de la participación de Nestlé (20,1 %): presión vendedora o recompra grande, según cómo se haga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L’Oréal no da cifras: aspira a superar al mercado de belleza, que estima en un crecimiento del 4,5-5 % en 2026, y a crecer en ventas y en beneficio con mejora del margen operativo. En el 1S26 dijo confiar en mantener el ritmo de crecimiento en el segundo semestre [2,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 fechado</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(beneficio de 7.750 M ÷ 535 M de acciones), jul-2026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(beneficio de 8.360 M ÷ 535 M de acciones), jul-2026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9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460,00</w:t>
            </w:r>
          </w:p>
        </w:tc>
      </w:tr>
    </w:tbl>
    <w:p>
      <w:pPr>
        <w:spacing w:after="160" w:before="0"/>
      </w:pPr>
    </w:p>
    <w:p>
      <w:pPr>
        <w:pStyle w:val="Heading2"/>
      </w:pPr>
      <w:r>
        <w:t xml:space="preserve">Revisiones de estimaciones</w:t>
      </w:r>
    </w:p>
    <w:p>
      <w:pPr>
        <w:spacing w:after="100"/>
      </w:pPr>
      <w:r>
        <w:t xml:space="preserve">Los objetivos se han movido poco en 2026: JPMorgan mantiene Neutral con 365 EUR y Berenberg Comprar con 435 EUR (agosto); HSBC subió a 440 EUR; Jefferies está en Infraponderar con 323 EUR y avisa de una bajada del PER hacia 22 veces si el crecimiento se normaliza al 4,5 % [28, 30, 39]. Simply Wall St da un objetivo medio de 402,73 EUR (350-440) y StocksGuide 428,91 EUR [29, 31]. El beneficio esperado crece un 9 % anual [29].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spacing w:after="100"/>
      </w:pPr>
      <w:r>
        <w:t xml:space="preserve">L’Oréal cotizó entre 26 y 40 veces el BPA ajustado del año en 2018-2025 (sin 2020-2021): 26,0x en 2018, 31,7x en 2019, 33,0x en 2022, 39,9x en 2023, 28,1x en 2024 y 28,8x en 2025. Se excluyen 2020 (42,6x, BPA hundido por la pandemia) y 2021 (47,4x, euforia de los valores de calidad con tipos a cero). El cierre de 2025 (366,60 EUR) es el del documento de registro [13]; 2020 (310,80 EUR) sale de una operación de ese día en el mismo documento; 2021-2023 y 2018-2019 se reconstruyen con las variaciones anuales de MarketScreener (estimación propia, error de ±1-2 %) [32]. A 379,6 EUR cotiza a 29,1 veces el BPA de los últimos 12 meses y a ≈26 veces el de 2027e: en la parte baja de su historia limpia.</w:t>
      </w:r>
    </w:p>
    <w:p>
      <w:pPr>
        <w:pStyle w:val="Heading1"/>
      </w:pPr>
      <w:r>
        <w:t xml:space="preserve">18. Comparables cotizados</w:t>
      </w:r>
    </w:p>
    <w:p>
      <w:pPr>
        <w:pStyle w:val="Confianza"/>
        <w:spacing w:after="100"/>
      </w:pPr>
      <w:r>
        <w:t xml:space="preserve">Confianza: Media</w:t>
      </w:r>
    </w:p>
    <w:p>
      <w:pPr>
        <w:spacing w:after="100"/>
      </w:pPr>
      <w:r>
        <w:t xml:space="preserve">Seis grupos de belleza cotizados con cifras de MarketScreener a 9-oct-2026, recogidas para el informe de Puig de este repositorio [12]: Estée Lauder, Coty, Interparfums SA, Shiseido, Beiersdorf y la propia Puig (con sus múltiplos de ese informe). Fuera Inter Parfums Inc (consolida Interparfums SA), e.l.f. (52 veces beneficios por una compra) y los grupos de consumo masivo (P&amp;G, Unilever), que no estaban en esa muestra. Ninguno tiene el tamaño ni el margen de L’Oréal.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10,8x / 14,0x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 / 23,5x / 25,9x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1,6x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L’Oréal cotiza a 19,3 veces el EBITDA de los últimos 12 meses y a 26,2 veces el beneficio de los próximos 12, muy por encima de la mediana de sus comparables de belleza (10,3 veces el EBITDA y 23,5 veces el beneficio) [12]. La prima es merecida en calidad: margen EBITDA del 24 %, el mayor de la muestra salvo Interparfums, sin años de pérdidas y con el doble de tamaño que el segundo del sector; Estée Lauder, Shiseido y Coty están en reestructuración. Por eso los comparables pesan solo un 15 %: dan un valor de 202-340 EUR que castiga a L’Oréal por parecerse a empresas peores. La mediana del PER (23,5x) cuenta solo en la regla del alcista a 12 meses, donde no llega a pesar (manda la media histórica).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con ventas de 537 M USD en 2022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Perfumería de nicho; 7,6 veces las ventas pro forma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nativa digital; 3,8 veces las ventas sin el variable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profesionales y de masas: 12,3 veces el EBITDA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atípico de nicho de alto margen; hoy es de L’Oréal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257,53 – 437,06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Las compras de belleza se pagan a 2-8 veces las ventas: Aesop, la de la propia L’Oréal, a 4,7 veces; Byredo a 7,6 y Rhode a 3,8; Creed, a ≈14 veces, se excluye por atípica [12]. Aplicadas a L’Oréal dan 257-437 EUR por acción, pero no pesan: con la familia Bettencourt Meyers al 34,7 % y Nestlé al 20,1 % no hay OPA posible [20].</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(44.053 M EUR) [1]. 2026e queda fijo en +5,5 % publicado: el 1S26 creció un 6,8 % comparable y un 5,8 % publicado, con Kering Beauté sumando desde abril y la divisa restando [2]. Después, +6,5 % en 2027e y +7,0 % en 2028e (≈5 % orgánico, el mercado más medio punto, y la licencia de Gucci desde julio de 2027), y bajada gradual al 3 % en 2035e. Es menos que el 8,1 % anual de 2021-2025, que llevaba el rebote de la pandemia y la inflación [1, 24].</w:t>
      </w:r>
    </w:p>
    <w:p>
      <w:pPr>
        <w:keepNext/>
        <w:spacing w:after="100"/>
      </w:pPr>
      <w:r>
        <w:rPr>
          <w:b/>
          <w:bCs/>
        </w:rPr>
        <w:t xml:space="preserve">Márgenes.</w:t>
      </w:r>
    </w:p>
    <w:p>
      <w:pPr>
        <w:spacing w:after="100"/>
      </w:pPr>
      <w:r>
        <w:t xml:space="preserve">Margen EBITDA del 24,6 % en 2026e (operativo del 20,4 %) y del 25,5 % desde 2032e: +0,2 puntos al año, lo que L’Oréal ha hecho de forma sostenida de 2021 (19,1 %) a 2025 (20,2 %) [1]. El margen operativo del 1S26 ya fue del 21,3 % [2].</w:t>
      </w:r>
    </w:p>
    <w:p>
      <w:pPr>
        <w:keepNext/>
        <w:spacing w:after="100"/>
      </w:pPr>
      <w:r>
        <w:rPr>
          <w:b/>
          <w:bCs/>
        </w:rPr>
        <w:t xml:space="preserve">Inversión y circulante.</w:t>
      </w:r>
    </w:p>
    <w:p>
      <w:pPr>
        <w:spacing w:after="100"/>
      </w:pPr>
      <w:r>
        <w:t xml:space="preserve">Amortización del 4,2 % de las ventas (la de 2025, con derechos de uso) [12]. Capex del 4,8 %: inversión de ≈3,6 % (3,0 % en el 1S26) más las altas de derechos de uso [3]. Circulante del 10,3 % (ver controles).</w:t>
      </w:r>
    </w:p>
    <w:p>
      <w:pPr>
        <w:keepNext/>
        <w:spacing w:after="100"/>
      </w:pPr>
      <w:r>
        <w:rPr>
          <w:b/>
          <w:bCs/>
        </w:rPr>
        <w:t xml:space="preserve">Coste del capital.</w:t>
      </w:r>
    </w:p>
    <w:p>
      <w:pPr>
        <w:spacing w:after="100"/>
      </w:pPr>
      <w:r>
        <w:t xml:space="preserve">Bund a 10 años del 3,53 % (9-oct-2026) [34]; beta de 0,85, la de cuidado personal que usamos en Puig (L’Oréal es menos volátil que el mercado); prima de mercado del 5,5 %. Sin prima país. Deuda del 7 % de la estructura al 3,5 %. WACC del 7,81 %.</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(3,03 %). El valor terminal es el 64 %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6.391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(hoy: 14,7 %)</w:t>
            </w:r>
          </w:p>
        </w:tc>
      </w:tr>
    </w:tbl>
    <w:p>
      <w:pPr>
        <w:spacing w:after="160" w:before="0"/>
      </w:pPr>
    </w:p>
    <w:p>
      <w:pPr>
        <w:spacing w:after="100"/>
      </w:pPr>
      <w:r>
        <w:t xml:space="preserve">La proyección apenas necesita inversión neta de la amortización (reinversión acumulada de 6.391 M, el 7 % del NOPAT, con un capex bruto medio del 4,8 % de las ventas). En un negocio de activos ligeros, el crecimiento medio del 5,0 % tiene que salir de subir precios y de ganar volumen sin capital nuevo, y la prueba es el poder de precios y la cuota (15,3 % del mercado en 2035e, frente al 14,7 %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y mezcla del 3,5 % (+6,5 % comparable ajustado en el 1S26); +2 puntos de Kering Beauté y −3 de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y +1 punto de perímetro (Kering Beauté el primer trimestre y Gucci desde julio).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y +1,5 puntos por el primer año entero de Gucci.</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(mercado del 4,5 %) y el último medio punto de Gucci.</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converge al del mercado más medio punto.</w:t>
            </w:r>
          </w:p>
        </w:tc>
      </w:tr>
    </w:tbl>
    <w:p>
      <w:pPr>
        <w:spacing w:after="160" w:before="0"/>
      </w:pPr>
    </w:p>
    <w:p>
      <w:pPr>
        <w:spacing w:after="100"/>
      </w:pPr>
      <w:r>
        <w:t xml:space="preserve">Sí. La proyección (5,0 % anual) pide menos de lo que L’Oréal ha hecho en cualquier periodo de cinco años desde 2010 y solo sube su cuota del mercado de belleza del 14,7 % al 15,3 % en 2035e, en parte por compras ya hechas (Kering Beauté, Gucci) [1, 24]. La reinversión es baja (7 % del NOPAT; el motor no hace la prueba con menos del 15 %): el crecimiento sale del poder de precio y de la mezcla (lujo y dermocosmética), demostrados con un margen operativo que ha subido cada año de 2021 a 2025 [1]. El ROIC incremental histórico del motor (1,1 %) no sirve porque falta el balance de 2021-2024. El foso es amplio (marcas, escala en publicidad e investigación).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7,8 %)</w:t>
            </w:r>
          </w:p>
        </w:tc>
      </w:tr>
    </w:tbl>
    <w:p>
      <w:pPr>
        <w:spacing w:after="160" w:before="0"/>
      </w:pPr>
    </w:p>
    <w:p>
      <w:pPr>
        <w:spacing w:after="100"/>
      </w:pPr>
      <w:r>
        <w:t xml:space="preserve">El DCF da 277,40 EUR por acción, un 26,9 % por debajo de 379,6 EUR, con un WACC del 7,81 % y un valor terminal del 64 %. El DCF inverso dice que a 379,6 EUR el mercado descuenta un crecimiento anual del 9,4 % en los años no fijos (nuestro base: 4,9 %), o una rentabilidad del 6,5 % con nuestras cifras: el precio pide crecer casi al doble que el mercado de belleza (4,5 %) durante diez años. Con la prima implícita del mercado (4,2 %, WACC del 6,8 %) el DCF sube a 350,35 EUR, todavía por debajo del precio. Es la lectura de siempre en L’Oréal: el mercado le pide una rentabilidad de bono de calidad.</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belleza se normaliza al 3-4 % y L’Oréal deja de superar al mercado: 2,5 puntos menos de crecimiento y 1,5 de margen, con el PER bajando a 22 veces.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crece un 5-5,5 % orgánico (el mercado más medio punto) más las compras, y sube el margen 0,2 puntos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y el comercio de viaje vuelven y Gucci rinde más: 1,5 puntos más de crecimiento y 1 de margen; el PER vuelve a su media de 31 veces.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37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270,01 EUR (-28,9 %).</w:t>
      </w:r>
    </w:p>
    <w:p>
      <w:pPr>
        <w:spacing w:after="100"/>
      </w:pPr>
      <w:r>
        <w:t xml:space="preserve">El DCF da 200,59 EUR en el bajista (−47,2 %), 277,40 en el base (−26,9 %) y 324,65 en el alcista (−14,5 %): con nuestro coste de capital ni el alcista llega al precio. A 12 meses, con el PER, el cuadro es otro: −16,6 % en el bajista y +40,2 % en el alcista (con el dividendo) (asimetría de 2,07x), porque el PER de hoy (26,4x sobre nuestro BPA de 2027e) está por debajo de su historia limpia (31,7x de mediana). Las dos lecturas no se contradicen: L’Oréal es cara frente a un coste de capital del 7,8 % y barata frente a su propio pasado.</w:t>
      </w:r>
    </w:p>
    <w:p>
      <w:pPr>
        <w:pStyle w:val="Heading1"/>
      </w:pPr>
      <w:r>
        <w:t xml:space="preserve">22. Suma de partes</w:t>
      </w:r>
    </w:p>
    <w:p>
      <w:pPr>
        <w:pStyle w:val="Confianza"/>
        <w:spacing w:after="100"/>
      </w:pPr>
      <w:r>
        <w:t xml:space="preserve">Confianza: Baja</w:t>
      </w:r>
    </w:p>
    <w:p>
      <w:pPr>
        <w:spacing w:after="100"/>
      </w:pPr>
      <w:r>
        <w:t xml:space="preserve">No aplica a las divisiones (no se publica el resultado operativo completo por división en las fuentes leídas). Las dos participaciones (Sanofi y Galderma) sí se suman en el puente a valor de mercado: ≈13.700 M EUR, unos 25,6 EUR por acción.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37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284,54 EUR (-25,0 % sobre 379,60).</w:t>
      </w:r>
    </w:p>
    <w:p>
      <w:pPr>
        <w:spacing w:after="100"/>
      </w:pPr>
      <w:r>
        <w:t xml:space="preserve">El DCF pesa un 55 %: es un negocio estable y previsible. Los escenarios, un 30 %, y los comparables un 15 %, porque la muestra (Estée Lauder, Coty, Shiseido en reestructuración) es de peor calidad. Las transacciones no pesan: no hay OPA posible con la familia y Nestlé al 55 %. La dispersión es amplia: de 202 EUR (EV/EBITDA de comparables) a 350 EUR (DCF con la prima del mercado). El valor intrínseco es de 284,54 EUR (−25,0 %). La decisión la toma el objetivo a 12 meses (PER propio × BPA propio): 414,22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(26.4x) × 1.1 (tope: la mediana de 5 años, 33.4x,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r>
    </w:tbl>
    <w:p>
      <w:pPr>
        <w:spacing w:after="160" w:before="0"/>
      </w:pPr>
    </w:p>
    <w:p>
      <w:pPr>
        <w:spacing w:after="100"/>
      </w:pPr>
      <w:r>
        <w:rPr>
          <w:b/>
          <w:bCs/>
        </w:rPr>
        <w:t xml:space="preserve">Objetivo a 12 meses (ponderado):</w:t>
      </w:r>
      <w:r>
        <w:t xml:space="preserve"> 446,88 EUR · rentabilidad +19,6 % (base +20,9 %) · señal Mantener.</w:t>
      </w:r>
    </w:p>
    <w:p>
      <w:pPr>
        <w:spacing w:after="100"/>
      </w:pPr>
      <w:r>
        <w:t xml:space="preserve">Para comparar, con la regla v2 (historia al cierre, mismo precio): 22,4x / 26,4x / 31,3x, 11,0 % Mantener; con el tope anterior del base (×1,3, 14-oct mediodía): 21,6 % Mantener. Decide la regla vigente (v3 con tope ×1,1; METODO-VIGENTE.md).</w:t>
      </w:r>
    </w:p>
    <w:p>
      <w:pPr>
        <w:keepNext/>
        <w:spacing w:after="100"/>
      </w:pPr>
      <w:r>
        <w:rPr>
          <w:b/>
          <w:bCs/>
        </w:rPr>
        <w:t xml:space="preserve">Frente al consenso (solo contraste).</w:t>
      </w:r>
    </w:p>
    <w:p>
      <w:pPr>
        <w:spacing w:after="100"/>
      </w:pPr>
      <w:r>
        <w:t xml:space="preserve">Nuestro base (411,31 EUR) queda un 1,6 % por debajo del objetivo medio de los analistas (417,79 EUR; 340-460) [28]. Coincidimos también en el beneficio: nuestro BPA de 2028e (15,58 EUR) es casi igual al del consenso (15,63 EUR, 8.360 M de beneficio) [29]. La regla común usa el PER actual (26,4x) porque es menor que la mediana de cinco años (31,7x); los analistas implican un múltiplo parecido. No hay una visión distinta del mercado.</w:t>
      </w:r>
    </w:p>
    <w:p>
      <w:pPr>
        <w:keepNext/>
        <w:spacing w:after="100"/>
      </w:pPr>
      <w:r>
        <w:rPr>
          <w:b/>
          <w:bCs/>
        </w:rPr>
        <w:t xml:space="preserve">Del valor intrínseco al objetivo a 12 meses.</w:t>
      </w:r>
    </w:p>
    <w:p>
      <w:pPr>
        <w:spacing w:after="100"/>
      </w:pPr>
      <w:r>
        <w:t xml:space="preserve">El objetivo a 12 meses (414,22 EUR) queda un 46 % por encima del valor intrínseco (284,54 EUR): la rentabilidad a 12 meses viene de crecer el BPA un 8-9 % al año con un múltiplo constante, no de cerrar una distancia de valor, y el DCF dice que ese múltiplo ya es exigente. La ponderada (+11,0 % con el dividendo de 7,20 EUR) y la del base (+10,3 %) quedan a 4 y 2 puntos de los umbrales de compra, pero el valor intrínseco por debajo del precio bloquea la compra por encima de 284,54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crecimiento comparable del 1S26 (+6,8 %) se mantiene; el 3T25 fue débil (+4,2 %), así que la base es fácil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año (21 %?) y primer año con Kering Beauté</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 licencia de belleza de Gucci (hoy de Coty)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punto de crecimiento anual en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Nestlé sobre su 20,1 %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por L’Oréal subiría el BPA; una colocación en el mercado presionaría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comercio de viaje en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la espera desde el 2S26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la prima de crecimiento (la belleza se normaliza al 3-4 %)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−16,6 % a 12 meses (bajista: 309,34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divisiones y regiones; emergentes al +14 %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crecimiento comparable &lt;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comercio de viaje en Asia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es ≈20 % de las ventas y ya ha caído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negativo comparable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(Kering Beauté, Galderma)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a 50 años y marcas de lujo con margen alto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o margen de Luxe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CNY y emergentes)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local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puntos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Nestlé en el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ya recompró a Nestlé en 2014 y 2021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Nestlé o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por ingredientes (alisadores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provisión material publicada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sentencia o acuerdo colectivo</w:t>
            </w:r>
          </w:p>
        </w:tc>
      </w:tr>
    </w:tbl>
    <w:p>
      <w:pPr>
        <w:spacing w:after="160" w:before="0"/>
      </w:pPr>
    </w:p>
    <w:p>
      <w:pPr>
        <w:pStyle w:val="Heading2"/>
      </w:pPr>
      <w:r>
        <w:t xml:space="preserve">Pre-mortem</w:t>
      </w:r>
    </w:p>
    <w:p>
      <w:pPr>
        <w:spacing w:after="100"/>
      </w:pPr>
      <w:r>
        <w:t xml:space="preserve">Octubre de 2028: la acción vale 300 EUR. El 3T26 y el 4T26 crecieron un 4 % y la dirección rebajó su estimación del mercado; en 2027 el mercado de belleza creció un 3 % con EE. UU. saturado de marcas baratas nacidas en redes y China sin recuperarse. L’Oréal siguió subiendo el margen, pero su BPA solo creció un 5 % y el mercado dejó de pagar 26 veces: pasó a 22 veces, como Beiersdorf. Kering Beauté y Gucci aportaron ventas pero con menos margen del previsto, y Nestlé colocó la mitad de su participación en el mercado. La señal que lo habría anticipado: el crecimiento comparable de Gran Consumo por debajo del 3 % y Norte de Asia negativo en dos trimestres.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L’Oréal es la seguridad de los ingredientes (litigios en EE. UU. por alisadores de pelo), el plástico de los envases, el agua de sus fábricas y la publicidad responsable. El grupo tiene objetivos de reducción de emisiones validados y suele estar en la parte alta de las calificaciones ESG del sector.</w:t>
      </w:r>
    </w:p>
    <w:p>
      <w:pPr>
        <w:pStyle w:val="Heading2"/>
      </w:pPr>
      <w:r>
        <w:t xml:space="preserve">Controversias</w:t>
      </w:r>
    </w:p>
    <w:p>
      <w:pPr>
        <w:spacing w:after="100"/>
      </w:pPr>
      <w:r>
        <w:t xml:space="preserve">Demandas en EE. UU. por alisadores químicos de pelo (varias compañías demandadas desde 2022); sin efecto material publicado en las cuentas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+6,8 % comparable del 1S26 es efecto del calendario del cambio informático y cuánto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da un +6,5 % «ajustado»: separa lo que se repite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Beauté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aporta Kering Beauté y qué espera de Gucci desde julio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crecimiento extra de 2027-2028 que suponemos.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Nestlé sobre su 20,1 %? ¿Lo recompraría L’Oréal con deuda o con Sanofi?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y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¿Venderá el resto del 7,2 % de Sanofi?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≈6.600 M y 350 M de dividendos al año dentro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dónde puede subir el margen operativo sin recortar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supone +0,2 puntos al año hasta el 21,3 %.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(comentarios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vuelve a crecer»: la recuperación de China y la aceleración del 1T26 justifican un PER de ≈30 veces en línea con su media de diez años; al lado, Jefferies insiste en que 26 veces es caro para un crecimiento del 4,5 %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 de más?»: su modelo da solo un 5,8 % anual a dos años; buena empresa a precio justo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los usuarios apoyan el crecimiento por emergentes, internet e inteligencia artificial, con valores razonables de ≈400-410 EUR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francesa con lectores (France Épargne, Luxury Tribune)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«coronación» de L’Oréal como primera capitalización de París se lee más como caída de LVMH que como euforia por L’Oréal [23,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Tradingsat / BFM Bourse (reacción al 4T25)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se hundió con unas ventas del 4T25 decepcionantes; dudas sobre EE. UU. y el comercio de viaje en Asia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mercado de belleza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Parcialmente: el mercado creció ≈4 % en 2025, pero la dirección espera 4,5-5 % en 2026 y L’Oréal creció un 6,8 % comparable en el 1S26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a medias: Norte de Asia +4,8 % ajustado en el 1T26, pero −9 % publicado por la divisa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≈26 veces el BPA de 2027e está por debajo de la mediana limpia de cinco años (31,7x): caro frente al mercado, no frente a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(Kering Beauté, Galderma, Gucci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crecimiento en 2027-2028, pero diluyen un poco el margen de Luxe (−0,2 puntos en el 1S26) [2].</w:t>
            </w:r>
          </w:p>
        </w:tc>
      </w:tr>
    </w:tbl>
    <w:p>
      <w:pPr>
        <w:spacing w:after="160" w:before="0"/>
      </w:pPr>
    </w:p>
    <w:p>
      <w:pPr>
        <w:spacing w:after="100"/>
      </w:pPr>
      <w:r>
        <w:t xml:space="preserve">El inversor particular ve L’Oréal como valor refugio de calidad que ha resistido mejor que el lujo, pero duda de que el crecimiento justifique el múltiplo. No hay euforia: la acción sube un ≈6 % en un año mientras LVMH cae un 35 %, y el debate es si 26 veces beneficios es barato para L’Oréal. Coincide con nuestra lectura: precio justo, sin margen de seguridad. El catalizador inmediato son las ventas del 3T del 21 de octubre.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44 (11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15,3 % en 2035e frente al 14,7 %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10,3 % frente a 10,3 % real: genera una variación de circulante de 244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36, 37,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(cuatro divisiones, 5 ejercicios)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vía búsqueda: solo cifras del grupo; 2) comunicado del 1S26: tablas por división sin cifras completas en el extracto; 3) prensa: divisiones del 1S26 parciales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cifras parciales en los KPI)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resultado financiero, impuestos y amortización publicada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vía búsqueda: solo ventas, resultado operativo y BPA; 2) Stock Analysis: extracto del balance, no de la cuenta; 3) documento de registro: páginas sin abrir (red limitada)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EBITDA de 2024-2025 de MarketScreener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2021-2024 y partidas de 2025 (fondo de comercio, clientes, proveedores)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activo, patrimonio, caja, deuda y existencias de 2025; 2) Stockopedia: sin fondo de comercio; 3) documento de registro: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2021-2025 (operativo, capex, arrendamientos, recompras)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solo el flujo de caja neto (7.200 M); 2) Quartr 1S26: flujo operativo y capex del semestre; 3) proveedores: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para 2025 y marcado;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no accesible; 2) búsqueda de MSCI y CDP: sin resultado fechado;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y voto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la junta de 2026: sin porcentajes; 2) documento de registro: no accesible;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de la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sin red; 2) búsqueda: sin resultados de 2026;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de la familia y de Nestlé a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reparto del capital de L’Oréal: sin cifras en el extracto; 2) declaraciones mensuales de derechos de voto: no leídas; 3)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de dic-2021 (34,7 % y 20,1 %), sin cambios conocidos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bloqueado; 3) búsqueda: solo cotizaciones sueltas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en París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Boursorama, ABC Bourse y la web de L’Oréal: últimos cierres fechados de junio-julio (388,00 EUR el 26-jun); 2) Stock Analysis y Simply Wall St: cotizaciones sin fecha (350-394 EUR); 3) capitalización de MarketScreener del 9-oct (202.950 M EUR) y de la prensa del 15-sep (202.900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379,6 EUR = 202.950 M ÷ 534,6 M de acciones (9-oct-2026)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2026e y fuente con BPA a tres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Simply Wall St: beneficio de 2027-2028, no de 2026; 3) Investing: solo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dan 2027e y 2028e (beneficio ÷ 535 M de acciones)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L’Oréal en 2026: sin resultados; 2) foro de Boursorama: enlace sin contenido en el extracto;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comentarios de plataformas y prensa con lectores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Annual Results (nota de prensa, 12-feb-2026)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https://www.loreal-finance.com/system/files/2026-02/CPFY25ENv12.02%2017.00.pdf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Half-Year Results (nota de prensa,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https://www.loreal-finance.com/eng/press-release/2026-half-year-results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(OR) H1 2026 earnings summary (deuda neta, caja, flujo operativo, capex, resultado financiero, dividendos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https://quartr.com/events/l-or-al-sa-or-h1-2026_oj6EkMgb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H1 profit 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https://www.finanzen.at/nachrichten/aktien/loreal-h1-profit-rises-1036379779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Reports FY25 Earnings Growth On Higher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https://www.nasdaq.com/articles/loreal-reports-fy25-earnings-growth-higher-revenue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https://www.loreal-finance.com/eng/press-release/first-quarter-2026-sales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Q3 2025 sales below expectations (10.330 M EUR, +4,2 % comparable)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Longbridge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https://longbridge.com/en/news/262114319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 (LRLCY): balance sheet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https://stockanalysis.com/quote/otc/LRLCY/financials/balance-sheet/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director financiero, resultados anuales 2025 (deuda por arrendamientos y 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https://www.loreal-finance.com/system/files/2026-07/C.B.%20Presentation%20_%20RIF26_EN%20V.13.02.2026%208h.pdf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accelerates its growth in the first half and raises the bar for the beauty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in Beauty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https://www.nextinbeautymag.com/en/business/economy-sector/oreal-accelerates-its-growth-in-the-first-half-and-raises-the-bar-for-the-beauty-market_2934_102.html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outperforms beauty market in H1 with +6.5% sales uplift; Asia travel retail recovery expected in H2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https://moodiedavittreport.com/loreal-outperforms-beauty-market-in-h1-with-6-5-sales-uplift-asia-travel-retail-recovery-expected-in-h2/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Puig de este repositorio: L’Oréal en comparables (MarketScreener, 9-oct-2026) y L’Oréal Luxe en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informes/puig-2026-10-11)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(información bursátil y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Sales Disappoint as Weaker US Outweighs China Pickup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(BGOV)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https://news.bgov.com/international-trade/loreal-sales-disappoint-as-us-weakness-outweighs-china-pickup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Agreement between L’Oréal and Sanofi for the repurchase by Sanofi of 2.3% of its own shares held by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https://www.loreal.com/en/press-release/group/agreement-between-loreal-and-sanofi-for-the-repurchase-by-sanofi-of-2-3-percent-of-its-own-shares-held-by-l-oreal/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Groupe reinforces its strategic investment in Galderma with an additional 10%, bringing its stake to 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https://www.loreal-finance.com/eng/press-release/loreal-groupe-reinforce-its-strategic-investment-galderma-additional-10-bringing-its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Reports €7.2B in H1 Sales, as L’Oréal Deal Reshapes Beauty Business (cierre de Kering Beauté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https://www.thefashionlaw.com/?p=107494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slims down stake in L’Oréal (venta de 2021: Nestlé al 20,1 %, familia al 34,7 %)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Grocer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https://thegrocer.co.uk/news/nestle-slims-down-stake-in-loreal/354433.article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Sells €3 Billion of Sanofi Stock Back to Drugmaker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https://news.bloomberglaw.com/capital-markets/loreal-sells-3-billion-of-sanofi-stock-to-drugmaker-correct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doubles stake in Galderma to 20% to up its aesthetics play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https://cosmeticsbusiness.com/l-oréal-doubles-stake-in-galderma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détrône LVMH: la première capitalisation française change de mains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https://www.france-epargne.fr/news/loreal-detrone-lvmh-la-premiere-capitalisation-francaise-change-de-mains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 (y serie del mercado del informe de Puig)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retail in Asia still “challenging” as L’Oréal hits €44bn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https://www.trbusiness.com/product-news/beauty/travel-retail-in-asia-still-challenging-as-loreal-hits-e44bn/275905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24 April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https://www.loreal-finance.com/eng/press-release/annual-general-meeting-24-april-2026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Possible vente des actions L’Oréal appartenant à Nestlé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Temps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 d.</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https://www.letemps.ch/economie/finance/possible-vente-actions-loreal-appartenant-nestle-agite-marches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 (OREP): cambios de recomendación y consenso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Future Growth (beneficio esperado 2027-2028) y objetivo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https://simplywall.st/stocks/gb/household/lse-0nzm/loreal-shares/future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cuts L’Oréal price target, maintains Underperform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https://uk.marketscreener.com/news/jefferies-cuts-l-oreal-price-target-maintains-underperform-rating-ce7f58dedf89f621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previsión y recomendaciones de 35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https://stocksguide.com/en/forecast/LOreal-FR0000120321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variaciones anuales de la cotización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https://uk.marketscreener.com/quote/stock/L-OREAL-4000577/quotes/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usurps LVMH as most valuable listed company (capitalización de 202.900 M EUR 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https://cosmeticsbusiness.com/l-or%C3%A9al-usurps-lvmh-most-valuable-listed-company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 (vía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cotización y capitalización (≈75-77 EUR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https://ca.marketscreener.com/quote/stock/SANOFI-70461/quotes/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AG: capitalización (≈33.000-35.000 M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https://www.tradingview.com/symbols/SIX:GALD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 (SWX:OR): próxima publicación de resultados,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retreats as Jefferies warns of potential de-rating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https://www.marketscreener.com/news/l-oreal-retreats-as-jefferies-warns-of-potential-de-rating-ce7e50dbdf8cf02d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returns to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https://uk.marketscreener.com/news/l-oreal-returns-to-growth-ce7f59d9d18cf42c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Stock: Are Investors Overpaying, or Is the Stock Still Undervalued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https://www.tikr.com/blog/loreal-stock-are-investors-overpaying-or-is-the-stock-still-undervalued-for-2026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Emerging Markets Expansion And AI Integration Will Drive Future Performance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https://simplywall.st/community/narratives/fr/household/epa-or/loreal-shares/emerging-markets-expansion-and-ai-integration-will-drive-future-performance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L’Oréal’s stock market coronation really says about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Tribune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https://www.luxurytribune.com/en/what-loreals-stock-market-coronation-really-says-about-lvmh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Marché: L’Oréal chute, la croissance des ventes au T4 déçoit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https://www.tradingsat.com/actualites/marches-financiers/marche-l-oreal-chute-la-croissance-des-ventes-au-t4-decoit-actualise-1156543.html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77,3 %</w:t>
      </w:r>
      <w:r>
        <w:t xml:space="preserve"> · Secciones con menos del 60 % de campos cubiertos: </w:t>
      </w:r>
      <w:r>
        <w:rPr>
          <w:b/>
          <w:bCs/>
        </w:rPr>
        <w:t xml:space="preserve">gobierno, bolsa, calidad</w:t>
      </w:r>
      <w:r>
        <w:t xml:space="preserve"> · Generado el 14 oct 2026.</w:t>
      </w:r>
    </w:p>
    <w:p>
      <w:pPr>
        <w:pStyle w:val="Nota"/>
        <w:spacing w:after="100"/>
      </w:pPr>
      <w:r>
        <w:t xml:space="preserve">Análisis hecho desde la nube con la red limitada a la búsqueda web: la web de L’Oréal, Euronext, MarketScreener y los proveedores de datos no se pudieron abrir, así que las cifras salen de los extractos de búsqueda de los comunicados de resultados, del documento de registro y de la prensa financiera; lo que no cuadró está en null y en los huecos, y la confianza es menor que en un análisis normal. </w:t>
      </w:r>
      <w:r>
        <w:rPr>
          <w:b/>
        </w:rPr>
        <w:t xml:space="preserve">Precio</w:t>
      </w:r>
      <w:r>
        <w:t xml:space="preserve">: no se encontró un cierre fechado de octubre; se usa 379,6 EUR, la capitalización de MarketScreener del 9-oct-2026 (202.950 M EUR, la misma que dio la prensa el 15-sep) dividida entre 534,6 M de acciones [12, 33]. </w:t>
      </w:r>
      <w:r>
        <w:rPr>
          <w:b/>
        </w:rPr>
        <w:t xml:space="preserve">Beneficio</w:t>
      </w:r>
      <w:r>
        <w:t xml:space="preserve">: BPA diluido sin partidas no recurrentes, la base de la empresa y del consenso. </w:t>
      </w:r>
      <w:r>
        <w:rPr>
          <w:b/>
        </w:rPr>
        <w:t xml:space="preserve">Participaciones</w:t>
      </w:r>
      <w:r>
        <w:t xml:space="preserve">: Sanofi (7,2 %, ≈6.600 M EUR) y Galderma (20 %, ≈7.100 M EUR) van en el puente a valor de mercado, porque sus dividendos y su resultado no están en el EBITDA [15, 16]. Nestlé no es una participación de L’Oréal sino su segundo accionista (20,1 %). Comparables y transacciones del informe de Puig de este repositorio (MarketScreener, 9-oct-2026) [12]. Sin sección de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L’Oréal S.A. (OR.PA)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Hoja1!$B$2:$B$9</c:f>
              <c:numCache>
                <c:formatCode>#,##0</c:formatCode>
                <c:ptCount val="8"/>
                <c:pt idx="0">
                  <c:v>338.85</c:v>
                </c:pt>
                <c:pt idx="1">
                  <c:v>340</c:v>
                </c:pt>
                <c:pt idx="2">
                  <c:v>291.25</c:v>
                </c:pt>
                <c:pt idx="3">
                  <c:v>257.53</c:v>
                </c:pt>
                <c:pt idx="4">
                  <c:v>237.17</c:v>
                </c:pt>
                <c:pt idx="5">
                  <c:v>200.59</c:v>
                </c:pt>
                <c:pt idx="6">
                  <c:v>310.91</c:v>
                </c:pt>
                <c:pt idx="7">
                  <c:v>377.7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Hoja1!$C$2:$C$9</c:f>
              <c:numCache>
                <c:formatCode>#,##0</c:formatCode>
                <c:ptCount val="8"/>
                <c:pt idx="0">
                  <c:v>69.5</c:v>
                </c:pt>
                <c:pt idx="1">
                  <c:v>120</c:v>
                </c:pt>
                <c:pt idx="2">
                  <c:v>84.04000000000002</c:v>
                </c:pt>
                <c:pt idx="3">
                  <c:v>179.53000000000003</c:v>
                </c:pt>
                <c:pt idx="4">
                  <c:v>98.74000000000004</c:v>
                </c:pt>
                <c:pt idx="5">
                  <c:v>124.05999999999997</c:v>
                </c:pt>
                <c:pt idx="6">
                  <c:v>89.35999999999996</c:v>
                </c:pt>
                <c:pt idx="7">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246000</c:v>
                </c:pt>
                <c:pt idx="1">
                  <c:v>226000</c:v>
                </c:pt>
                <c:pt idx="2">
                  <c:v>244000</c:v>
                </c:pt>
                <c:pt idx="3">
                  <c:v>259000</c:v>
                </c:pt>
                <c:pt idx="4">
                  <c:v>280000</c:v>
                </c:pt>
                <c:pt idx="5">
                  <c:v>290000</c:v>
                </c:pt>
                <c:pt idx="6">
                  <c:v>300000</c:v>
                </c:pt>
                <c:pt idx="7">
                  <c:v>314000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L’Oréal</c:v>
                </c:pt>
                <c:pt idx="1">
                  <c:v>Unilever (Beauty &amp; Wellbeing y Personal Care)</c:v>
                </c:pt>
                <c:pt idx="2">
                  <c:v>Estée Lauder</c:v>
                </c:pt>
                <c:pt idx="3">
                  <c:v>LVMH Perfumes y Cosméticos</c:v>
                </c:pt>
                <c:pt idx="4">
                  <c:v>Beiersdorf</c:v>
                </c:pt>
                <c:pt idx="5">
                  <c:v>Shiseido</c:v>
                </c:pt>
                <c:pt idx="6">
                  <c:v>Puig</c:v>
                </c:pt>
              </c:strCache>
            </c:strRef>
          </c:cat>
          <c:val>
            <c:numRef>
              <c:f>Hoja1!$B$2:$B$8</c:f>
              <c:numCache>
                <c:formatCode>0.0"%"</c:formatCode>
                <c:ptCount val="7"/>
                <c:pt idx="0">
                  <c:v>20.2</c:v>
                </c:pt>
                <c:pt idx="2">
                  <c:v>5.2</c:v>
                </c:pt>
                <c:pt idx="3">
                  <c:v>8.9</c:v>
                </c:pt>
                <c:pt idx="4">
                  <c:v>14</c:v>
                </c:pt>
                <c:pt idx="5">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5</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32287.6</c:v>
                </c:pt>
                <c:pt idx="1">
                  <c:v>38260.6</c:v>
                </c:pt>
                <c:pt idx="2">
                  <c:v>41182.5</c:v>
                </c:pt>
                <c:pt idx="3">
                  <c:v>43486.8</c:v>
                </c:pt>
                <c:pt idx="4">
                  <c:v>44053</c:v>
                </c:pt>
                <c:pt idx="5">
                  <c:v>46476</c:v>
                </c:pt>
                <c:pt idx="6">
                  <c:v>49497</c:v>
                </c:pt>
                <c:pt idx="7">
                  <c:v>52962</c:v>
                </c:pt>
                <c:pt idx="8">
                  <c:v>55875</c:v>
                </c:pt>
                <c:pt idx="9">
                  <c:v>58668</c:v>
                </c:pt>
                <c:pt idx="10">
                  <c:v>61602</c:v>
                </c:pt>
                <c:pt idx="11">
                  <c:v>64374</c:v>
                </c:pt>
                <c:pt idx="12">
                  <c:v>66949</c:v>
                </c:pt>
                <c:pt idx="13">
                  <c:v>69292</c:v>
                </c:pt>
                <c:pt idx="14">
                  <c:v>71371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3">
                  <c:v>10380</c:v>
                </c:pt>
                <c:pt idx="4">
                  <c:v>10705</c:v>
                </c:pt>
                <c:pt idx="5">
                  <c:v>11433</c:v>
                </c:pt>
                <c:pt idx="6">
                  <c:v>12275</c:v>
                </c:pt>
                <c:pt idx="7">
                  <c:v>13240</c:v>
                </c:pt>
                <c:pt idx="8">
                  <c:v>14080</c:v>
                </c:pt>
                <c:pt idx="9">
                  <c:v>14843</c:v>
                </c:pt>
                <c:pt idx="10">
                  <c:v>15647</c:v>
                </c:pt>
                <c:pt idx="11">
                  <c:v>16415</c:v>
                </c:pt>
                <c:pt idx="12">
                  <c:v>17072</c:v>
                </c:pt>
                <c:pt idx="13">
                  <c:v>17669</c:v>
                </c:pt>
                <c:pt idx="14">
                  <c:v>18200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23.9</c:v>
                </c:pt>
                <c:pt idx="4">
                  <c:v>24.3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19.5</c:v>
                </c:pt>
                <c:pt idx="2">
                  <c:v>19.8</c:v>
                </c:pt>
                <c:pt idx="3">
                  <c:v>19.8</c:v>
                </c:pt>
                <c:pt idx="4">
                  <c:v>20.2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15.3</c:v>
                </c:pt>
                <c:pt idx="1">
                  <c:v>14.3</c:v>
                </c:pt>
                <c:pt idx="2">
                  <c:v>14.7</c:v>
                </c:pt>
                <c:pt idx="3">
                  <c:v>15</c:v>
                </c:pt>
                <c:pt idx="4">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0">
                  <c:v>0.5</c:v>
                </c:pt>
                <c:pt idx="2">
                  <c:v>3.6</c:v>
                </c:pt>
                <c:pt idx="3">
                  <c:v>8.2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4.2</c:v>
                </c:pt>
                <c:pt idx="2">
                  <c:v>7.6</c:v>
                </c:pt>
                <c:pt idx="3">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1">
                  <c:v>7200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6513</c:v>
                </c:pt>
                <c:pt idx="1">
                  <c:v>6806.4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7.8</c:v>
                </c:pt>
                <c:pt idx="1">
                  <c:v>7.8</c:v>
                </c:pt>
                <c:pt idx="2">
                  <c:v>7.8</c:v>
                </c:pt>
                <c:pt idx="3">
                  <c:v>7.8</c:v>
                </c:pt>
                <c:pt idx="4">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Hoja1!$A$2:$A$3</c:f>
              <c:strCache>
                <c:ptCount val="2"/>
                <c:pt idx="0">
                  <c:v>2024</c:v>
                </c:pt>
                <c:pt idx="1">
                  <c:v>2025</c:v>
                </c:pt>
              </c:strCache>
            </c:strRef>
          </c:cat>
          <c:val>
            <c:numRef>
              <c:f>Hoja1!$B$2:$B$3</c:f>
              <c:numCache>
                <c:formatCode>#,##0</c:formatCode>
                <c:ptCount val="2"/>
                <c:pt idx="0">
                  <c:v>3740</c:v>
                </c:pt>
                <c:pt idx="1">
                  <c:v>3750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Dominical</c:v>
                </c:pt>
              </c:strCache>
            </c:strRef>
          </c:cat>
          <c:val>
            <c:numRef>
              <c:f>Hoja1!$B$2:$B$4</c:f>
              <c:numCache>
                <c:formatCode>0</c:formatCode>
                <c:ptCount val="3"/>
                <c:pt idx="0">
                  <c:v>1</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Familia Bettencourt Meyers (Téthys)</c:v>
                </c:pt>
                <c:pt idx="1">
                  <c:v>Nestlé</c:v>
                </c:pt>
              </c:strCache>
            </c:strRef>
          </c:cat>
          <c:val>
            <c:numRef>
              <c:f>Hoja1!$B$2:$B$3</c:f>
              <c:numCache>
                <c:formatCode>0.0"%"</c:formatCode>
                <c:ptCount val="2"/>
                <c:pt idx="0">
                  <c:v>34.7</c:v>
                </c:pt>
                <c:pt idx="1">
                  <c:v>20.1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L’Oréal</c:v>
                </c:pt>
                <c:pt idx="1">
                  <c:v>Estée Lauder</c:v>
                </c:pt>
                <c:pt idx="2">
                  <c:v>Coty</c:v>
                </c:pt>
                <c:pt idx="3">
                  <c:v>Interparfums SA</c:v>
                </c:pt>
                <c:pt idx="4">
                  <c:v>Shiseido</c:v>
                </c:pt>
                <c:pt idx="5">
                  <c:v>Beiersdorf</c:v>
                </c:pt>
                <c:pt idx="6">
                  <c:v>Puig</c:v>
                </c:pt>
              </c:strCache>
            </c:strRef>
          </c:cat>
          <c:val>
            <c:numRef>
              <c:f>Hoja1!$B$2:$B$8</c:f>
              <c:numCache>
                <c:formatCode>0.0"x"</c:formatCode>
                <c:ptCount val="7"/>
                <c:pt idx="1">
                  <c:v>14.1</c:v>
                </c:pt>
                <c:pt idx="2">
                  <c:v>7.3</c:v>
                </c:pt>
                <c:pt idx="3">
                  <c:v>14.4</c:v>
                </c:pt>
                <c:pt idx="4">
                  <c:v>10.9</c:v>
                </c:pt>
                <c:pt idx="5">
                  <c:v>9.4</c:v>
                </c:pt>
                <c:pt idx="6">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Estée Lauder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4.5</c:v>
                </c:pt>
              </c:numCache>
            </c:numRef>
          </c:xVal>
          <c:yVal>
            <c:numRef>
              <c:f>Hoja1!$C$2</c:f>
              <c:numCache>
                <c:formatCode>0.0"x"</c:formatCode>
                <c:ptCount val="1"/>
                <c:pt idx="0">
                  <c:v>14.1</c:v>
                </c:pt>
              </c:numCache>
            </c:numRef>
          </c:yVal>
          <c:smooth val="0"/>
        </c:ser>
        <c:ser>
          <c:idx val="1"/>
          <c:order val="1"/>
          <c:tx>
            <c:strRef>
              <c:f>Hoja1!$A$3</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c:v>
                </c:pt>
              </c:numCache>
            </c:numRef>
          </c:xVal>
          <c:yVal>
            <c:numRef>
              <c:f>Hoja1!$C$3</c:f>
              <c:numCache>
                <c:formatCode>0.0"x"</c:formatCode>
                <c:ptCount val="1"/>
                <c:pt idx="0">
                  <c:v>7.3</c:v>
                </c:pt>
              </c:numCache>
            </c:numRef>
          </c:yVal>
          <c:smooth val="0"/>
        </c:ser>
        <c:ser>
          <c:idx val="2"/>
          <c:order val="2"/>
          <c:tx>
            <c:strRef>
              <c:f>Hoja1!$A$4</c:f>
              <c:strCache>
                <c:ptCount val="1"/>
                <c:pt idx="0">
                  <c:v>Interparfums 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1.5</c:v>
                </c:pt>
              </c:numCache>
            </c:numRef>
          </c:xVal>
          <c:yVal>
            <c:numRef>
              <c:f>Hoja1!$C$4</c:f>
              <c:numCache>
                <c:formatCode>0.0"x"</c:formatCode>
                <c:ptCount val="1"/>
                <c:pt idx="0">
                  <c:v>14.4</c:v>
                </c:pt>
              </c:numCache>
            </c:numRef>
          </c:yVal>
          <c:smooth val="0"/>
        </c:ser>
        <c:ser>
          <c:idx val="3"/>
          <c:order val="3"/>
          <c:tx>
            <c:strRef>
              <c:f>Hoja1!$A$5</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10.9</c:v>
                </c:pt>
              </c:numCache>
            </c:numRef>
          </c:yVal>
          <c:smooth val="0"/>
        </c:ser>
        <c:ser>
          <c:idx val="4"/>
          <c:order val="4"/>
          <c:tx>
            <c:strRef>
              <c:f>Hoja1!$A$6</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9.4</c:v>
                </c:pt>
              </c:numCache>
            </c:numRef>
          </c:yVal>
          <c:smooth val="0"/>
        </c:ser>
        <c:ser>
          <c:idx val="5"/>
          <c:order val="5"/>
          <c:tx>
            <c:strRef>
              <c:f>Hoja1!$A$7</c:f>
              <c:strCache>
                <c:ptCount val="1"/>
                <c:pt idx="0">
                  <c:v>Puig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5.8</c:v>
                </c:pt>
              </c:numCache>
            </c:numRef>
          </c:xVal>
          <c:yVal>
            <c:numRef>
              <c:f>Hoja1!$C$7</c:f>
              <c:numCache>
                <c:formatCode>0.0"x"</c:formatCode>
                <c:ptCount val="1"/>
                <c:pt idx="0">
                  <c:v>9.6</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Aesop</c:v>
                </c:pt>
                <c:pt idx="1">
                  <c:v>Byredo (77 %)</c:v>
                </c:pt>
                <c:pt idx="2">
                  <c:v>Rhode</c:v>
                </c:pt>
                <c:pt idx="3">
                  <c:v>Wella, Clairol, OPI y ghd (60 %)</c:v>
                </c:pt>
                <c:pt idx="4">
                  <c:v>Creed</c:v>
                </c:pt>
              </c:strCache>
            </c:strRef>
          </c:cat>
          <c:val>
            <c:numRef>
              <c:f>Hoja1!$B$2:$B$6</c:f>
              <c:numCache>
                <c:formatCode>0.0"x"</c:formatCode>
                <c:ptCount val="5"/>
                <c:pt idx="3">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6541</c:v>
                </c:pt>
                <c:pt idx="1">
                  <c:v>6988</c:v>
                </c:pt>
                <c:pt idx="2">
                  <c:v>7532</c:v>
                </c:pt>
                <c:pt idx="3">
                  <c:v>8106</c:v>
                </c:pt>
                <c:pt idx="4">
                  <c:v>8583</c:v>
                </c:pt>
                <c:pt idx="5">
                  <c:v>9058</c:v>
                </c:pt>
                <c:pt idx="6">
                  <c:v>9543</c:v>
                </c:pt>
                <c:pt idx="7">
                  <c:v>9957</c:v>
                </c:pt>
                <c:pt idx="8">
                  <c:v>10338</c:v>
                </c:pt>
                <c:pt idx="9">
                  <c:v>10683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57603</c:v>
                </c:pt>
                <c:pt idx="1">
                  <c:v>103054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379,60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200.59</c:v>
                </c:pt>
                <c:pt idx="1">
                  <c:v>277.4</c:v>
                </c:pt>
                <c:pt idx="2">
                  <c:v>324.65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Hoja1!$B$2:$B$9</c:f>
              <c:numCache>
                <c:formatCode>#,##0</c:formatCode>
                <c:ptCount val="8"/>
                <c:pt idx="0">
                  <c:v>338.85</c:v>
                </c:pt>
                <c:pt idx="1">
                  <c:v>340</c:v>
                </c:pt>
                <c:pt idx="2">
                  <c:v>291.25</c:v>
                </c:pt>
                <c:pt idx="3">
                  <c:v>257.53</c:v>
                </c:pt>
                <c:pt idx="4">
                  <c:v>237.17</c:v>
                </c:pt>
                <c:pt idx="5">
                  <c:v>200.59</c:v>
                </c:pt>
                <c:pt idx="6">
                  <c:v>310.91</c:v>
                </c:pt>
                <c:pt idx="7">
                  <c:v>377.7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Hoja1!$C$2:$C$9</c:f>
              <c:numCache>
                <c:formatCode>#,##0</c:formatCode>
                <c:ptCount val="8"/>
                <c:pt idx="0">
                  <c:v>69.5</c:v>
                </c:pt>
                <c:pt idx="1">
                  <c:v>120</c:v>
                </c:pt>
                <c:pt idx="2">
                  <c:v>84.04000000000002</c:v>
                </c:pt>
                <c:pt idx="3">
                  <c:v>179.53000000000003</c:v>
                </c:pt>
                <c:pt idx="4">
                  <c:v>98.74000000000004</c:v>
                </c:pt>
                <c:pt idx="5">
                  <c:v>124.05999999999997</c:v>
                </c:pt>
                <c:pt idx="6">
                  <c:v>89.35999999999996</c:v>
                </c:pt>
                <c:pt idx="7">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