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Medpace Holdings, Inc.</w:t>
      </w:r>
    </w:p>
    <w:p>
      <w:pPr>
        <w:spacing w:after="60"/>
        <w:rPr>
          <w:color w:val="52514E"/>
          <w:sz w:val="22"/>
          <w:szCs w:val="22"/>
        </w:rPr>
      </w:pPr>
      <w:r>
        <w:rPr>
          <w:color w:val="52514E"/>
          <w:sz w:val="22"/>
          <w:szCs w:val="22"/>
        </w:rPr>
        <w:t xml:space="preserve">MEDP · Nasdaq Global Select Market · ISIN US58506Q1094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612,05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567,69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-7,2 % (base -0,2 %)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326,15 USD · mercado 382,27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17.474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25,5x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Medpace Holdings,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MEDP / US58506Q1094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(SPY como referencia de rentabilidad)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Herramientas y servicios para ciencias de la vida (CRO)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5375 Medpace Way, Cincinnati, Ohio · 1992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www.medpace.com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612,05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373,00 – 677,90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17.474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16.971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160,9 M USD/día (272.108 acciones/día,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Media · Objetivo a 12 meses </w:t>
      </w:r>
      <w:r>
        <w:rPr>
          <w:b/>
          <w:bCs/>
        </w:rPr>
        <w:t xml:space="preserve">567,69 USD</w:t>
      </w:r>
      <w:r>
        <w:t xml:space="preserve"> frente a 612,05 · Rentabilidad a 12 meses </w:t>
      </w:r>
      <w:r>
        <w:rPr>
          <w:b/>
          <w:bCs/>
        </w:rPr>
        <w:t xml:space="preserve">-7,2 % (base -0,2 %)</w:t>
      </w:r>
      <w:r>
        <w:t xml:space="preserve"> · Valor intrínseco 326,15 USD · con la prima implícita del mercado: 382,27 (-37,5 %) · Alcista / bajista -26,4 % / -65,2 %</w:t>
      </w:r>
    </w:p>
    <w:p>
      <w:pPr>
        <w:spacing w:after="100"/>
      </w:pPr>
      <w:r>
        <w:rPr>
          <w:b/>
        </w:rPr>
        <w:t xml:space="preserve">La recomendación y por qué.</w:t>
      </w:r>
      <w:r>
        <w:t xml:space="preserve"> Vender, con convicción Media. Valoramos Medpace en 326,15 USD por acción frente a 612,05 USD de cotización: una rentabilidad total esperada del −46,7 % a 12 meses (−37,5 % con la prima de riesgo del mercado), sin dividendo. Ni el escenario alcista (450,17 USD, −26,4 %) alcanza el precio; el bajista vale 212,93 USD (−65,2 %). La razón principal: el precio descuenta un crecimiento del 16,7 % anual durante nueve años, más del doble del 7,3 % de nuestro caso base, que coincide con el consenso de 2026-2028. La convicción no es Alta, como sugieren las reglas, porque Medpace lleva ocho años cotizando con prima (PER mínimo de 26,3 veces) y no hay un catalizador con fecha que la cierre; subiría si la guía de 2027 crece menos del 7 % y bajaría con un book-to-bill por encima de 1,2 en el 3T26.</w:t>
      </w:r>
    </w:p>
    <w:p>
      <w:pPr>
        <w:spacing w:after="100"/>
      </w:pPr>
      <w:r>
        <w:rPr>
          <w:b/>
        </w:rPr>
        <w:t xml:space="preserve">El negocio.</w:t>
      </w:r>
      <w:r>
        <w:t xml:space="preserve"> Medpace es la CRO de servicio completo de las biotecnológicas pequeñas y medianas (95 % de sus ingresos) y la más rentable del sector: margen operativo del 21,1 % frente al 5,4-14,0 % de IQVIA, ICON y Thermo Fisher [1, 21, 28, 29]. Los anticipos de clientes (904,7 M USD) financian todo el circulante, de modo que crece sin capital y convierte el 148 % de su beneficio en caja [5]. La calidad sostiene el 7,9 % anual que proyectamos (cuota del 3,4 % al 4,2 % en 2030e), pero no el 16,7 % que pide el precio, con una cartera que solo crece un 4,9 % [7].</w:t>
      </w:r>
    </w:p>
    <w:p>
      <w:pPr>
        <w:spacing w:after="100"/>
      </w:pPr>
      <w:r>
        <w:rPr>
          <w:b/>
        </w:rPr>
        <w:t xml:space="preserve">Finanzas.</w:t>
      </w:r>
      <w:r>
        <w:t xml:space="preserve"> Los ingresos crecieron un 20 % anual en 2018-2025, pero el 41 % son gastos reembolsados a coste; los ingresos netos de servicio crecieron un 11,5 % en 2025 [1]. El margen EBITDA se mantiene en el 22 %. Sin deuda y con 502,7 M de caja; las recompras (2.240 M en 2018-2025) explican que el BPA crezca más que el beneficio [1, 2].</w:t>
      </w:r>
    </w:p>
    <w:p>
      <w:pPr>
        <w:spacing w:after="100"/>
      </w:pPr>
      <w:r>
        <w:rPr>
          <w:b/>
        </w:rPr>
        <w:t xml:space="preserve">Equipo y gobierno.</w:t>
      </w:r>
      <w:r>
        <w:t xml:space="preserve"> Resta. El fundador, de 69 años, es presidente, primer ejecutivo y President desde mayo, sin sucesor; controla el 19,1 % y ha vendido 358,5 M USD en 12 meses [35, 41, 43]. Hay operaciones vinculadas por unos 67 M USD y el variable a largo plazo no lleva métricas; cumple 8 de 13 criterios de gobierno [35]. A favor: ha superado la guía de BPA todos los años desde 2020 [9, 46, 47, 48, 49, 50, 51].</w:t>
      </w:r>
    </w:p>
    <w:p>
      <w:pPr>
        <w:spacing w:after="100"/>
      </w:pPr>
      <w:r>
        <w:rPr>
          <w:b/>
        </w:rPr>
        <w:t xml:space="preserve">Valoración.</w:t>
      </w:r>
      <w:r>
        <w:t xml:space="preserve"> Todos los métodos coinciden: DCF 321,96 USD, comparables 337,08 y transacciones 348,36. Cotiza a 25,5 veces el EBITDA de los próximos 12 meses frente a 12,9 veces de mediana de sus comparables, y a 27,8 veces el de los últimos 12, por encima de su media de ocho años (25,0 veces) [67]. Con nuestros flujos el precio rinde un 7,3 % anual, frente a un coste de capital del 11,22 % y el 9,8 % que pide el mercado. Los analistas, con 2 compras, 11 mantener y 1 venta y un precio objetivo medio de 595,92 USD, aceptan la prima; nosotros no [54, 55].</w:t>
      </w:r>
    </w:p>
    <w:p>
      <w:pPr>
        <w:spacing w:after="100"/>
      </w:pPr>
      <w:r>
        <w:rPr>
          <w:b/>
        </w:rPr>
        <w:t xml:space="preserve">Riesgos y catalizadores.</w:t>
      </w:r>
      <w:r>
        <w:t xml:space="preserve"> El riesgo para la tesis es que el crecimiento vuelva al 15-20 % (alcista +40 % sobre nuestro valor) y que el mercado siga pagando 30 veces el beneficio. A la baja, un nuevo frenazo de la contratación como el del 1T26 (book-to-bill de 0,88) y la concentración en obesidad (29,4 % de los ingresos) [1, 8]. Catalizadores: resultados del 3T26 el 21-oct y guía de 2027 en febrero. Los foros están divididos y ven la acción cara, en línea con nuestra lectura [61, 62].</w:t>
      </w:r>
    </w:p>
    <w:p>
      <w:pPr>
        <w:spacing w:after="100"/>
      </w:pPr>
      <w:r>
        <w:rPr>
          <w:b/>
        </w:rPr>
        <w:t xml:space="preserve">Qué cambiaría la decisión.</w:t>
      </w:r>
      <w:r>
        <w:t xml:space="preserve"> Compraríamos por debajo de 310,49 USD y mantendríamos entre 310,49 y 424,97 USD. Pasaríamos a Mantener con un book-to-bill por encima de 1,2 durante tres trimestres y una guía de 2027 de más del 12 %, o si el Tesoro a 10 años bajara del 4 %.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Media · Horizonte: 12 meses · Objetivo a 12 meses: </w:t>
      </w:r>
      <w:r>
        <w:rPr>
          <w:b/>
          <w:bCs/>
        </w:rPr>
        <w:t xml:space="preserve">567,69 USD</w:t>
      </w:r>
      <w:r>
        <w:t xml:space="preserve"> (rentabilidad -7,2 % (base -0,2 %)) · Valor intrínseco: 326,15 USD (-46,7 % sobre 612,05) · con la prima implícita del mercado: 382,27 (-37,5 %)</w:t>
      </w:r>
    </w:p>
    <w:p>
      <w:pPr>
        <w:spacing w:after="100"/>
      </w:pPr>
      <w:r>
        <w:t xml:space="preserve">Medpace es la CRO de servicio completo de referencia para las biotecnológicas pequeñas y medianas, con el margen operativo más alto del sector (21,1 % en 2025, frente al 5,4-14,0 % de IQVIA, ICON y Thermo Fisher), sin deuda y con un circulante financiado por los clientes (904,7 M USD de anticipos) que le permite crecer sin capital [1, 5, 21]. Ha multiplicado sus ingresos por 3,6 desde 2018 y su BPA por 7,8, ayudada por recompras de 2.240 M USD [1, 2].</w:t>
      </w:r>
    </w:p>
    <w:p>
      <w:pPr>
        <w:spacing w:after="100"/>
      </w:pPr>
      <w:r>
        <w:t xml:space="preserve">El precio, 612,05 USD, descuenta que ese ritmo siga: un crecimiento del 16,7 % anual entre 2027e y 2035e con nuestro margen, o un margen EBITDA del 44,5 % con nuestro crecimiento. Cotiza a 25,5 veces el EBITDA y a 32,5 veces el beneficio de los próximos 12 meses, el doble que sus comparables (12,9 y 18,9 veces), con un crecimiento previsto del 5,9 % similar al de IQVIA [53, 67].</w:t>
      </w:r>
    </w:p>
    <w:p>
      <w:pPr>
        <w:spacing w:after="100"/>
      </w:pPr>
      <w:r>
        <w:t xml:space="preserve">Creemos que el mercado se equivoca en la duración del crecimiento, no en su calidad. La cartera crece un 4,9 %, el consenso espera un 6,3 % en 2027 y el 41 % de los ingresos son reembolsos sin margen [1, 7, 53]. Para invertir hay que creer que Medpace volverá a crecer al 15-20 % durante una década y que el mercado seguirá descontándola por debajo del 8 %.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567,69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 × 16,10 = 349,37 · 29,9x × 20,42 = 610,56 · 29,9x × 23,42 = 700,26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 -0,2 %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595,92 (nuestro base +2,5 %)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326,15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 / -65,2 %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 frente a 11,2 % y 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382,27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 frente a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(7,9 %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-46,7 % (-37,5 % con la prima del mercado) y el precio pide 9,4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326,15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326,15 y 630,76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630,76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cotización baja de 424,97 USD, pasaríamos a Mantener; por debajo de 310,49 USD, a Comprar.</w:t>
      </w:r>
    </w:p>
    <w:p>
      <w:pPr>
        <w:pStyle w:val="ListParagraph"/>
        <w:numPr>
          <w:ilvl w:val="0"/>
          <w:numId w:val="2"/>
        </w:numPr>
        <w:spacing w:after="60"/>
      </w:pPr>
      <w:r>
        <w:t xml:space="preserve">Si el book-to-bill supera 1,2 en tres trimestres seguidos y la cartera crece más de un 12 % interanual, revisaríamos el caso base al alza y pasaríamos a Mantener.</w:t>
      </w:r>
    </w:p>
    <w:p>
      <w:pPr>
        <w:pStyle w:val="ListParagraph"/>
        <w:numPr>
          <w:ilvl w:val="0"/>
          <w:numId w:val="2"/>
        </w:numPr>
        <w:spacing w:after="60"/>
      </w:pPr>
      <w:r>
        <w:t xml:space="preserve">Si la guía de 2027 (febrero) prevé más de un 12 % de crecimiento de ingresos, revisaríamos el crecimiento de 2027-2030.</w:t>
      </w:r>
    </w:p>
    <w:p>
      <w:pPr>
        <w:pStyle w:val="ListParagraph"/>
        <w:numPr>
          <w:ilvl w:val="0"/>
          <w:numId w:val="2"/>
        </w:numPr>
        <w:spacing w:after="60"/>
      </w:pPr>
      <w:r>
        <w:t xml:space="preserve">Si el Tesoro a 10 años baja del 4 %, el coste de capital caería en torno a 1,2 puntos y revisaríamos el valor.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Medpace mantenga durante casi una década el crecimiento del 15-20 % de 2018-2025, con el beneficio por acción impulsado por recompras, y que la prima de 30 veces el beneficio sea permanente. La rentabilidad implícita en el precio con nuestros flujos es del 7,3 % anual, por debajo del 9,8 % que el mercado pide de media a una acción con su beta.</w:t>
      </w:r>
    </w:p>
    <w:p>
      <w:pPr>
        <w:keepNext/>
        <w:spacing w:after="100"/>
      </w:pPr>
      <w:r>
        <w:rPr>
          <w:b/>
          <w:bCs/>
        </w:rPr>
        <w:t xml:space="preserve">Lo que creemos nosotros.</w:t>
      </w:r>
    </w:p>
    <w:p>
      <w:pPr>
        <w:spacing w:after="100"/>
      </w:pPr>
      <w:r>
        <w:t xml:space="preserve">La calidad es real, pero el crecimiento de 2018-2025 tuvo dos impulsos irrepetibles: la financiación biotecnológica récord de 2021 y la ola de ensayos de obesidad, que explica el 68 % del crecimiento de 2025 [1, 33]. Esperamos un 7-9,5 % anual en 2027-2031, en línea con el consenso y con una cartera que crece un 4,9 %, que vale 321,96 USD por acción.</w:t>
      </w:r>
    </w:p>
    <w:p>
      <w:pPr>
        <w:keepNext/>
        <w:spacing w:after="100"/>
      </w:pPr>
      <w:r>
        <w:rPr>
          <w:b/>
          <w:bCs/>
        </w:rPr>
        <w:t xml:space="preserve">Por qué podemos tener razón.</w:t>
      </w:r>
    </w:p>
    <w:p>
      <w:pPr>
        <w:spacing w:after="100"/>
      </w:pPr>
      <w:r>
        <w:t xml:space="preserve">Porque las cifras de los próximos tres años no están en disputa (nuestra proyección difiere menos de un 2 % del consenso) y aun así el precio solo cuadra con un crecimiento que la cartera no muestra. Los analistas lo reflejan con 11 recomendaciones de mantener de 14, pero fijan precios objetivo con múltiplos históricos, no con flujos [54, 55].</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612,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Margen líder del sector</w:t>
      </w:r>
      <w:r>
        <w:t xml:space="preserve">: 21,1 % operativo en 2025 frente al 5,4-14,0 % de sus grandes rivales [1].</w:t>
      </w:r>
    </w:p>
    <w:p>
      <w:pPr>
        <w:pStyle w:val="ListParagraph"/>
        <w:numPr>
          <w:ilvl w:val="0"/>
          <w:numId w:val="2"/>
        </w:numPr>
        <w:spacing w:after="60"/>
      </w:pPr>
      <w:r>
        <w:rPr>
          <w:b/>
        </w:rPr>
        <w:t xml:space="preserve">Crece sin capital</w:t>
      </w:r>
      <w:r>
        <w:t xml:space="preserve">: anticipos de 904,7 M USD y capex del 1,2 % de las ventas; conversión del 148 % del beneficio en caja [1, 5].</w:t>
      </w:r>
    </w:p>
    <w:p>
      <w:pPr>
        <w:pStyle w:val="ListParagraph"/>
        <w:numPr>
          <w:ilvl w:val="0"/>
          <w:numId w:val="2"/>
        </w:numPr>
        <w:spacing w:after="60"/>
      </w:pPr>
      <w:r>
        <w:rPr>
          <w:b/>
        </w:rPr>
        <w:t xml:space="preserve">Balance sin deuda</w:t>
      </w:r>
      <w:r>
        <w:t xml:space="preserve">: 502,7 M USD de caja y 527,0 M de recompras autorizadas [5].</w:t>
      </w:r>
    </w:p>
    <w:p>
      <w:pPr>
        <w:pStyle w:val="ListParagraph"/>
        <w:numPr>
          <w:ilvl w:val="0"/>
          <w:numId w:val="2"/>
        </w:numPr>
        <w:spacing w:after="60"/>
      </w:pPr>
      <w:r>
        <w:rPr>
          <w:b/>
        </w:rPr>
        <w:t xml:space="preserve">Dirección que cumple</w:t>
      </w:r>
      <w:r>
        <w:t xml:space="preserve">: superó la guía inicial de BPA todos los años de 2020 a 2025 [9, 46, 47, 48, 49, 50, 51].</w:t>
      </w:r>
    </w:p>
    <w:p>
      <w:pPr>
        <w:pStyle w:val="ListParagraph"/>
        <w:numPr>
          <w:ilvl w:val="0"/>
          <w:numId w:val="2"/>
        </w:numPr>
        <w:spacing w:after="60"/>
      </w:pPr>
      <w:r>
        <w:rPr>
          <w:b/>
        </w:rPr>
        <w:t xml:space="preserve">Contratación récord en el 2T26</w:t>
      </w:r>
      <w:r>
        <w:t xml:space="preserve">: 795,7 M USD de adjudicaciones netas, book-to-bill de 1,13 [7].</w:t>
      </w:r>
    </w:p>
    <w:p>
      <w:pPr>
        <w:pStyle w:val="Heading2"/>
      </w:pPr>
      <w:r>
        <w:t xml:space="preserve">En contra</w:t>
      </w:r>
    </w:p>
    <w:p>
      <w:pPr>
        <w:pStyle w:val="ListParagraph"/>
        <w:numPr>
          <w:ilvl w:val="0"/>
          <w:numId w:val="2"/>
        </w:numPr>
        <w:spacing w:after="60"/>
      </w:pPr>
      <w:r>
        <w:rPr>
          <w:b/>
        </w:rPr>
        <w:t xml:space="preserve">Precio exigente</w:t>
      </w:r>
      <w:r>
        <w:t xml:space="preserve">: descuenta un 16,7 % de crecimiento anual hasta 2035, frente al 7,3 % del caso base.</w:t>
      </w:r>
    </w:p>
    <w:p>
      <w:pPr>
        <w:pStyle w:val="ListParagraph"/>
        <w:numPr>
          <w:ilvl w:val="0"/>
          <w:numId w:val="2"/>
        </w:numPr>
        <w:spacing w:after="60"/>
      </w:pPr>
      <w:r>
        <w:rPr>
          <w:b/>
        </w:rPr>
        <w:t xml:space="preserve">Múltiplo doble que el de las CRO</w:t>
      </w:r>
      <w:r>
        <w:t xml:space="preserve">: 25,5 veces el EBITDA de los próximos 12 meses frente a 12,9 veces de mediana [67].</w:t>
      </w:r>
    </w:p>
    <w:p>
      <w:pPr>
        <w:pStyle w:val="ListParagraph"/>
        <w:numPr>
          <w:ilvl w:val="0"/>
          <w:numId w:val="2"/>
        </w:numPr>
        <w:spacing w:after="60"/>
      </w:pPr>
      <w:r>
        <w:rPr>
          <w:b/>
        </w:rPr>
        <w:t xml:space="preserve">Cartera que crece poco</w:t>
      </w:r>
      <w:r>
        <w:t xml:space="preserve">: +4,9 % interanual a junio de 2026, frente a ingresos +17,2 % en el 2T26 [7].</w:t>
      </w:r>
    </w:p>
    <w:p>
      <w:pPr>
        <w:pStyle w:val="ListParagraph"/>
        <w:numPr>
          <w:ilvl w:val="0"/>
          <w:numId w:val="2"/>
        </w:numPr>
        <w:spacing w:after="60"/>
      </w:pPr>
      <w:r>
        <w:rPr>
          <w:b/>
        </w:rPr>
        <w:t xml:space="preserve">Crecimiento inflado por reembolsos</w:t>
      </w:r>
      <w:r>
        <w:t xml:space="preserve">: el 43,5 % de los ingresos del 1S26 son gastos a coste [7].</w:t>
      </w:r>
    </w:p>
    <w:p>
      <w:pPr>
        <w:pStyle w:val="ListParagraph"/>
        <w:numPr>
          <w:ilvl w:val="0"/>
          <w:numId w:val="2"/>
        </w:numPr>
        <w:spacing w:after="60"/>
      </w:pPr>
      <w:r>
        <w:rPr>
          <w:b/>
        </w:rPr>
        <w:t xml:space="preserve">Fundador que vende y sin sucesor</w:t>
      </w:r>
      <w:r>
        <w:t xml:space="preserve">: 358,5 M USD vendidos en 12 meses; President vacante desde mayo [20, 41].</w:t>
      </w:r>
    </w:p>
    <w:p>
      <w:pPr>
        <w:pStyle w:val="ListParagraph"/>
        <w:numPr>
          <w:ilvl w:val="0"/>
          <w:numId w:val="2"/>
        </w:numPr>
        <w:spacing w:after="60"/>
      </w:pPr>
      <w:r>
        <w:rPr>
          <w:b/>
        </w:rPr>
        <w:t xml:space="preserve">Concentración</w:t>
      </w:r>
      <w:r>
        <w:t xml:space="preserve">: 95 % de biotecnológicas pequeñas y medianas y 29,4 % de los ingresos en metabolismo [1].</w:t>
      </w:r>
    </w:p>
    <w:p>
      <w:pPr>
        <w:pStyle w:val="Heading2"/>
      </w:pPr>
      <w:r>
        <w:t xml:space="preserve">Qué tiene que pasar para que la tesis funcione</w:t>
      </w:r>
    </w:p>
    <w:p>
      <w:pPr>
        <w:spacing w:after="100"/>
      </w:pPr>
      <w:r>
        <w:t xml:space="preserve">La tesis depende de que el crecimiento se modere al 7-9 % anual a partir de 2027, como indican la cartera (+4,9 %) y el consenso [7, 53]. La señal de que no se cumple sería una contratación sostenida muy por encima de los ingresos: un book-to-bill por encima de 1,2 durante tres trimestres y una cartera creciendo a doble dígito, acompañados de una guía de 2027 por encima del 12 %. En ese caso el alcista (450,17 USD) pasaría a ser el escenario central y la recomendación, Mantener.</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neto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 (2T26); 0,88x (1T26)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1,2x tres trimestres (contra la tesis) o &lt; 1,0x (a favor)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los ingresos de 12-24 meses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crecimiento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crecimiento de doble dígito contradiría la desaceleración del caso base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reembolsados sobre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Inflan el crecimiento y diluyen el margen total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sobre ingresos totales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 o &gt; 24 %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utilización del personal y el poder de precios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 de clientes sobre ingresos LTM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caída consume caja y señala menos contratos nuevos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de los próximos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debajo, el precio se acercaría a nuestro rango de Mantener.</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27,8x / 25,5x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36,0x / 32,5x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August J. Troendle fundó Medpace en Cincinnati en 1992 como CRO de fases II-IV, con un modelo de servicio completo y fuerte peso científico, y la sigue dirigiendo como consejero delegado [1, 19]. Creció casi solo de forma orgánica [19]. En junio de 2011 el fondo CCMP Capital compró el 80 % y en abril de 2014 Cinven adquirió el 100 % por 921,3 M USD, con un préstamo de 530 M USD [19]. Salió a bolsa en el Nasdaq en agosto de 2016 a 23 USD por acción, con 2.300 empleados en 35 países y Cinven aún con un 58 % [19]. Desde entonces los ingresos pasaron de 925,9 M USD en 2020 a 2.530,2 M USD en 2025, impulsados en 2025 por el área metabólica (obesidad) [1, 2]. En 2026 el presidente Jesse Geiger se jubiló, Troendle volvió a asumir ese cargo (President) además del de consejero delegado, y los accionistas demandaron a la empresa por sus declaraciones sobre el book-to-bill [5,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August J. Troendle funda Medpace como CRO de fases II-IV con modelo de servicio completo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CCMP Capital compra el 80 % de la empresa (acuerdo del 17 de junio); el resto queda en manos de directivos y antiguos consejeros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Cinven compra el 100 % de Medpace IntermediateCo por 921,3 M USD (1 de abril), con un préstamo a plazo de 530 M USD; Cinven queda con el 75 % y los directivos con el 25 %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a 23 USD por acción (7 millones de acciones nuevas); Cinven conserva cerca del 58 %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pandemia apenas frena el crecimiento: ingresos +7,5 %, de 861,0 a 925,9 M USD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+29,2 %, hasta 1.885,8 M USD, pese a la caída de la financiación biotecnológica de 2022 [2,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2.530,2 M USD (+20,0 %) y margen operativo del 21,1 %; el área metabólica crece un 62,8 % y ya pesa tanto como oncología; 6.200 empleados en 46 países y sin deuda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Book-to-bill de 0,88 en el primer trimestre; demanda colectiva (6 de abril) y demanda derivada (22 de junio) por las declaraciones sobre el book-to-bill; Jesse Geiger deja el cargo de President el 31 de mayo y Troendle lo reasume [5, 8, 20].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Medpace es una CRO clínica de servicio completo: diseña y ejecuta ensayos de fases I a IV para biotecnológicas, farmacéuticas y fabricantes de productos sanitarios [1]. Su oferta cubre el departamento médico (líderes terapéuticos que diseñan el estudio y tratan con los reguladores), gestión del ensayo con su sistema propio ClinTrak, viabilidad y puesta en marcha, reclutamiento de pacientes, monitorización, asuntos regulatorios, redacción médica, bioestadística, farmacovigilancia, laboratorio central (Cincinnati, Lovaina, Shanghái y Singapur), laboratorio bioanalítico y una clínica de fase I en su campus de Cincinnati [1]. A diferencia de IQVIA, ICON o Fortrea, apenas ofrece provisión funcional de personal (FSP): vende el ensayo entero [1, 19]. Es fuerte en oncología (29,5 % de los ingresos de 2025), metabolismo (29,4 %), sistema nervioso central (10,1 %), cardiología (9,5 %) y antivirales y antiinfecciosos (5,3 %) [1]. Tiene unos 6.500 empleados en 46 países (junio de 2026) y factura casi todo (99 %) desde su sociedad estadounidense [1, 7].</w:t>
      </w:r>
    </w:p>
    <w:p>
      <w:pPr>
        <w:pStyle w:val="Heading2"/>
      </w:pPr>
      <w:r>
        <w:t xml:space="preserve">Cómo gana dinero</w:t>
      </w:r>
    </w:p>
    <w:p>
      <w:pPr>
        <w:spacing w:after="100"/>
      </w:pPr>
      <w:r>
        <w:t xml:space="preserve">Cobra contratos individuales de precio fijo o por unidad de servicio, de unos meses a varios años, y reconoce el ingreso por coste incurrido [1]. Los ingresos totales (2.530,2 M USD en 2025) incluyen los gastos que repercute al cliente a coste sin margen, sobre todo pagos a los centros investigadores y viajes: 1.037,5 M USD en 2025, el 41,0 % de los ingresos, frente al 36,5 % en 2024 [1]. Sin ellos, los ingresos netos de servicio fueron unos 1.492,7 M USD y el margen operativo sobre esa base, del 35,8 % (estimación propia: ingresos menos gastos repercutidos) [1]. Por eso el margen operativo publicado (21,1 %) baja cuando crecen los gastos repercutidos aunque el negocio no empeore [1]. La mayoría de los contratos llevan un anticipo que se cobra al firmar: los cobros anticipados sumaban 854,4 M USD a cierre de 2025 (34 % de los ingresos del año) y financian el circulante [1]. El coste es casi todo personal, así que el margen depende de la utilización; el cliente puede cancelar con 30 días de preaviso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Oncología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Metabolismo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 nervioso central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Cardiología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Antivirales y antiinfecciosos (AVAI)</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Oncología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Metabolismo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 nervioso central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Cardiología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Antivirales y antiinfecciosos (AVAI)</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base es muy biotecnológica: en 2025 el 82 % de los ingresos netos vino de biotecnológicas pequeñas y el 13 % de medianas, que dependen de la financiación externa [1]. Ningún cliente llega al 10 % de los ingresos y los diez primeros suman el 35,1 % [1]. Hay ingresos con partes vinculadas: CinRx, biotecnológica en la que participan el consejero delegado y otros directivos, aportó 45,3 M USD en 2025 (28,3 M en 2024) y LIB Therapeutics 7,9 M USD (43,7 M en 2023) [1]. Los contratos son proyecto a proyecto y cancelables con 30 días de preaviso, aunque el cliente paga el trabajo hecho y el cierre del estudio [1]. Medpace no publica subidas de tarifas; su poder de precios se ve en el margen operativo del 21,1 % frente al 5,4-14,0 % de los grandes rivales en 2025 [1, 21, 28, 29]. El riesgo de crédito se mitiga con los anticipos y las pérdidas por insolvencia han sido inmateriales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(backlog) al cierre,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2.902,2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3.027,2 (dic-25); 3.014,2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 en 2025; +4,9 %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los gastos reembolsables; no recoge importes a más de tres años. De la cartera de dic-25, 1.890-1.910 M se esperaban convertir en ingresos en 2026 [1, 7]. Serie: 1.283,2 (2019), 1.541,7 (2020), 1.997,1 (2021), 2.339,6 (2022)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adjudicaciones netas,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Brutas menos cancelaciones. Serie: 899,4 (2018), 1.094,4 (2019), 1.175,0 (2020), 1.610,4 (2021), 1.829,5 (2022). 1S26: 1.414,2 M frente a 1.120,6 M en 1S25 [1, 3,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neto (adjudicaciones netas /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 (2025); 0,88x (1T26); 1,13x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por la empresa sobre ingresos totales; 2024 es estimación propia (2.230,0 / 2.109,1) [7, 8,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reembolsados (pass-through), M USD y %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770,7 (36,5 %) en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1.037,5 (41,0 %) en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236,8 (2018), 294,3 (2019), 292,8 (2020), 373,1 (2021), 492,7 (2022), 723,1 (2023). 1S26: 615,1 M, 43,5 % de los ingresos [1, 3, 4,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netos de servicio (estimación propia: totales menos reembolsados),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1.492,7 (2025); LTM jun-26: 1.569,5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467,8 (2018), 566,7 (2019), 633,2 (2020), 769,2 (2021), 967,3 (2022), 1.162,8 (2023). La empresa no publica esta cifra; sale de la cuenta de resultados [1, 3, 4,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conversión de la cartera (ingresos del trimestre / cartera inicial)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4T25: 23,6 %; 1T26: 23,3 % [7, 8, 9,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los diez primeros clientes en los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 (2022)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p.p. aprox.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Ningún cliente supera el 10 % [1,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desarrollo clínico externalizado (fases I-IV y laboratorio asociado), mundial y sin el preclínico [1]. IQVIA estima que en 2025 el gasto biofarmacéutico en desarrollo fue de unos 199.000 M USD, de los que 159.000 M USD eran gasto clínico y unos 75.000 M USD se externalizaron [21]. Fortrea prevé un gasto clínico de fases I-IV de unos 145.000 M USD en 2026 [27]. El nicho de Medpace, el servicio completo para biotecnológicas pequeñas y medianas, no tiene serie pública: en su folleto de 2016 la empresa lo estimaba en unos 7.000 M USD en 2014 (el 69 % de su gasto en desarrollo se externalizaba) [19]. Usamos la serie de IQVIA del gasto total en desarrollo, porque en 2024 IQVIA amplió el perímetro del gasto clínico (de 99.000 a 155.000 M USD) y la serie externalizada no es homogénea [25, 26]. La CR5 del 44,2 % es estimación propia: ingresos de 2025 de la división de ensayos de IQVIA, ICON, la investigación clínica de Thermo Fisher y Fortrea, más Syneos con su último dato (2022), sobre los 75.000 M USD externalizados [21, 27, 28, 29,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75.000 M USD de desarrollo clínico externalizado en 2025, sobre 159.000 M USD de gasto clínico y 199.000 M USD de gasto total en desarrollo [21]; Fortrea estima 145.000 M USD de gasto clínico de fases I-IV en 2026 [27]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de gasto biofarmacéutico mundial en desarrollo de fármacos (estimación de IQV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las biotecnológicas (capital riesgo, salidas a bolsa, ampliaciones)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clave para Medpace, con el 95 % de sus ingresos en biotecnológicas pequeñas y medianas [1]. La financiación de biotecnológicas de EE. UU. y Europa cayó de 121.074 M USD en 2021 a 55.274 M USD en 2022 y fue de 68.450 M USD en 2025; el capital riesgo bajó un 17 %, hasta 20.600 M USD, y el 33 % de las biotecnológicas emergentes tenía menos de un año de caja a cierre de 2025 [33]. Las salidas a bolsa se reactivan en 2026 (Kailera, 718 M USD en abril)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I+D de la industria y tasa de externalización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en desarrollo pasó de 130.000 M USD en 2020 a 150.000 M en 2021, 160.000 M en 2022, 184.000 M en 2023 y 199.000 M USD en 2025 según IQVIA, un 8,9 % anual [21, 22, 23, 24, 25]; el I+D de las grandes farmacéuticas crecerá un 4-5 % anual en 2025-2030 según Fortrea [27]. La parte externalizada del gasto clínico accesible fue del 48 % en 2020 y del 47 % en 2025, con el perímetro nuevo [21,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Obesidad y metabolismo (GLP-1)</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metabólicos de Medpace crecieron un 62,8 % en 2025, de 457,5 a 745,0 M USD, y explican el 68 % del crecimiento del año [1]. El capital riesgo premia los activos de esta área: Kailera, con un GLP-1/GIP en fase 3, levantó 600 M USD en serie B en 2025 [33]. Concentra riesgo: el 29,4 % de los ingresos de Medpace depende de un área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Cancelaciones y retrasos de los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pueden cancelar con 30 días de preaviso [1]. El book-to-bill neto de Medpace cayó a 0,90 en el primer trimestre de 2025 y a 0,88 en el de 2026, y se recuperó a 1,04 en el cuarto de 2025 y 1,13 en el segundo de 2026 [7, 8, 9]; la cartera creció solo un 4,3 % en 2025, frente al 20,0 % de los ingresos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sanitaria de EE. UU. (precios de nación más favorecida, aranceles, NIH)</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administración firmó 17 acuerdos de precio de nación más favorecida con grandes farmacéuticas a cambio de aplazar los aranceles de la sección 232, y la industria comprometió unos 370.000 M USD de inversión en EE. UU.; las convocatorias de los NIH cayeron en 2025 y el presupuesto de 2027 propone más recortes [33]. Presiona los márgenes de los clientes y la financiación pública de las biotecnológicas en fase temprana.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como fuente de moléculas y Ley Biosecure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39 % del gasto de licencias de EE. UU. (biobucks) fue a China en 2025; la Ley Biosecure, firmada el 18 de diciembre de 2025, limita el acceso a fondos estadounidenses de biotecnológicas y fabricantes chinos señalados por el Pentágono [33]. Medpace tiene un laboratorio central en Shanghái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grupo reducido de CRO globales compite por los mismos concursos y por precio cuando la demanda flojea: en 2025 el margen operativo fue del 21,1 % en Medpace, del 13,4 % en IQVIA, del 14,0 % en el segmento de Thermo Fisher que incluye PPD, del 5,4 % en ICON y del −32,0 % en Fortrea [1, 21, 27, 28,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farmacéuticas concentran su gasto en pocos socios, pero los clientes de Medpace son biotecnológicas pequeñas sin equipos clínicos propios: ningún cliente llega al 10 % de sus ingresos y los diez primeros suman el 35,1 % [1]. Todos pueden cancelar con 30 días de preaviso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clave es el personal cualificado (médicos, doctores, monitores) y el acceso a centros e investigadores; Medpace destaca la competencia por ese personal como riesgo y cubrió el 75 % de sus nuevos puestos directivos con promoción interna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cientos de CRO pequeñas y especializadas, pero llegar a escala global exige experiencia terapéutica, infraestructura y capacidad regulatoria en muchos países, barreras que la propia Medpace cita [1]; las nuevas CRO chinas topan con la Ley Biosecure en EE. UU. [33].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es hacer el ensayo en casa, algo poco viable para biotecnológicas pequeñas; Medpace estimaba en 2016 que estas externalizaban el 69 % de su gasto en desarrollo [19]. En el conjunto del mercado la externalización ronda la mitad del gasto clínico desde 2020 [21, 22].</w:t>
            </w:r>
          </w:p>
        </w:tc>
      </w:tr>
    </w:tbl>
    <w:p>
      <w:pPr>
        <w:spacing w:after="160" w:before="0"/>
      </w:pPr>
    </w:p>
    <w:p>
      <w:pPr>
        <w:pStyle w:val="Heading2"/>
      </w:pPr>
      <w:r>
        <w:t xml:space="preserve">Ciclo</w:t>
      </w:r>
    </w:p>
    <w:p>
      <w:pPr>
        <w:spacing w:after="100"/>
      </w:pPr>
      <w:r>
        <w:t xml:space="preserve">El book-to-bill de Medpace tocó fondo en 0,90 en el primer trimestre de 2025 y en 0,88 en el de 2026, y volvió a 1,13 en el segundo trimestre de 2026 [7, 8]; la financiación biotecnológica de 2025 (68.450 M USD) seguía lejos de los 121.074 M de 2021 [33]. El sector es poco cíclico: ICON creció un 2,6 % en 2009 [32] y Medpace un 7,5 % en 2020 [2]. El bache de 2022-2024 golpeó a las biotecnológicas (financiación −54 % en 2022) [33], pero Medpace creció un 29,2 % en 2023 y un 11,8 % en 2024 por su cartera previa [2].</w:t>
      </w:r>
    </w:p>
    <w:p>
      <w:pPr>
        <w:pStyle w:val="Heading2"/>
      </w:pPr>
      <w:r>
        <w:t xml:space="preserve">Regulación</w:t>
      </w:r>
    </w:p>
    <w:p>
      <w:pPr>
        <w:spacing w:after="100"/>
      </w:pPr>
      <w:r>
        <w:t xml:space="preserve">Los ensayos exigen autorización previa (IND ante la FDA, equivalentes en la EMA, la MHRA y otros) y se rigen por las buenas prácticas clínicas; un incumplimiento puede invalidar datos o suspender ensayos [1]. La nueva guía ICH E6(R3) de buena práctica clínica, con más enfoque en riesgos y cabida para ensayos descentralizados, rige en la UE desde el 23 de julio de 2025 y su anexo 2 desde el 15 de enero de 2027 [34]. En EE. UU. pesan sobre los clientes los acuerdos de nación más favorecida, los aranceles farmacéuticos de la sección 232 y los recortes en los NIH; la Ley Biosecure (18 de diciembre de 2025) restringe a proveedores chinos señalados [33]. Medpace está sujeta a HIPAA y al RGPD por los datos de pacientes [1].</w:t>
      </w:r>
    </w:p>
    <w:p>
      <w:pPr>
        <w:pStyle w:val="Heading2"/>
      </w:pPr>
      <w:r>
        <w:t xml:space="preserve">Tendencias y disrupción</w:t>
      </w:r>
    </w:p>
    <w:p>
      <w:pPr>
        <w:spacing w:after="100"/>
      </w:pPr>
      <w:r>
        <w:t xml:space="preserve">Tres cambios mueven el sector. Primero, la IA y los datos aplicados a la selección de centros y al reclutamiento: IQVIA parte con ventaja con más de 1.200 millones de historiales anonimizados [21]. Segundo, los ensayos descentralizados e híbridos y la monitorización basada en riesgos, que ICH E6(R3) ampara [1, 34]; Medpace ya hace monitorización remota y basada en riesgos [1]. Tercero, el paso de parte del gasto de las grandes farmacéuticas al modelo funcional (FSP), que da menos margen [27]: Medpace no compite ahí y depende del servicio completo para biotecnológicas [1]. A más largo plazo, China gana peso como origen de moléculas licenciadas por empresas de EE. UU. [33].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CRO clínica mediana: por ingresos va detrás de IQVIA, ICON, PPD (Thermo Fisher), Syneos y Fortrea entre las que publican cifras, con cerca del 3,4 % del desarrollo clínico externalizado (estimación propia: 2.530 M USD sobre los 75.000 M USD de IQVIA [1, 21]); en su nicho, el servicio completo para biotecnológicas pequeñas y medianas, es probablemente líder, pero no hay cifra pública de cuota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IQVIA (Research &amp; Development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IQV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del grupo; la cuota se calcula solo con la división de ensayos, que de ensayos facturó 8.896 M USD (+4,3 %) con un beneficio de segmento de 1.873 M USD y una cartera de 32.700 M USD [21]. Compite con datos sanitarios y tecnología propios, sobre todo en grandes farmacéuticas.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ICON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ICLR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+0,8 % en 2025; el margen operativo cae del 12,6 % al 5,4 % por deterioros [28]. Servicio completo y FSP, con más peso de grandes farmacéuticas.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(PPD, investigación clínica)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investigación clínica (+1,0 %); el margen es el del segmento de productos de laboratorio y servicios biofarmacéuticos que la incluye [29]. Vende el ensayo junto a fabricación y logística de material clínico.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Syneos Health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de 2022, las últimas que presentó en la SEC antes de su exclusión de bolsa [31]. Combina CRO y servicios comerciales.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Fortrea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FTRE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Escindida de Labcorp en 2023; el resultado operativo de −872,6 M USD incluye deterioros [27]. Compite en precio y en FSP, con cartera de 7.700 M USD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Charles River Laboratories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Líder del preclínico, un mercado donde Medpace apenas está; el margen recoge 376 M USD de deterioros de fondo de comercio e intangibles [30].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de red: cada ensayo se contrata por separado y la base de clientes está atomizada (ningún cliente llega al 10 % de los ingresos)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ensayo en marcha casi nunca cambia de CRO, y la cartera de 3.027 M USD cubre 1,2 veces los ingresos de 2025 [1]. Pero el cliente puede cancelar con 30 días de preaviso y el book-to-bill bajó a 0,88 en el primer trimestre de 2026 [1,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patentes; protege como secreto comercial su sistema ClinTrak y su metodología [1]. Su reputación entre biotecnológicas se ve en el crecimiento: ingresos ×2,7 entre 2020 y 2025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21,1 % en 2025, frente al 13,4 % de IQVIA, el 14,0 % del segmento de Thermo Fisher, el 5,4 % de ICON y el 7,5 % de Syneos en 2022 [1, 9, 17, 16, 19]; en su salida a bolsa la empresa declaraba un margen EBITDA ajustado medio de cerca del 34 % en los quince años anteriores [2]. Lo explica un modelo estandarizado de servicio completo, sin FSP de bajo margen.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 por detrás de IQVIA, ICON, PPD, Syneos y Fortrea entre las CRO que publican cifras, con 6.500 empleados frente a los 40.100 de ICON; tiene escala suficiente para fases III globales en 46 países, pero no domina el mercado [3, 16, 1].</w:t>
            </w:r>
          </w:p>
        </w:tc>
      </w:tr>
    </w:tbl>
    <w:p>
      <w:pPr>
        <w:spacing w:after="160" w:before="0"/>
      </w:pPr>
    </w:p>
    <w:p>
      <w:pPr>
        <w:pStyle w:val="Heading2"/>
      </w:pPr>
      <w:r>
        <w:t xml:space="preserve">Amenazas</w:t>
      </w:r>
    </w:p>
    <w:p>
      <w:pPr>
        <w:spacing w:after="100"/>
      </w:pPr>
      <w:r>
        <w:t xml:space="preserve">La amenaza principal es la dependencia de la financiación biotecnológica: el 95 % de los ingresos viene de biotecnológicas pequeñas y medianas y un tercio de las emergentes tenía menos de un año de caja a cierre de 2025 [1, 33]. Probabilidad media: el capital riesgo cayó un 17 % en 2025 [33]. Segunda, la concentración en obesidad: el área metabólica creció un 62,8 % y ya es el 29,4 % de los ingresos; una caída del interés por los GLP-1 o la consolidación en pocos ganadores la frenaría [1]. Tercera, la credibilidad de las cifras de cartera tras la demanda colectiva de 2026 sobre el book-to-bill [5]. Cuarta, que las grandes CRO bajen precios para ganar biotecnológicas medianas (ICON y Fortrea tienen márgenes de entre −32 % y 5 %) [27, 28].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2018-2025: ingresos </w:t>
      </w:r>
      <w:r>
        <w:rPr>
          <w:b/>
          <w:bCs/>
        </w:rPr>
        <w:t xml:space="preserve">20,0 %</w:t>
      </w:r>
      <w:r>
        <w:t xml:space="preserve">, EBITDA </w:t>
      </w:r>
      <w:r>
        <w:rPr>
          <w:b/>
          <w:bCs/>
        </w:rPr>
        <w:t xml:space="preserve">22,0 %</w:t>
      </w:r>
      <w:r>
        <w:t xml:space="preserve">, BPA </w:t>
      </w:r>
      <w:r>
        <w:rPr>
          <w:b/>
          <w:bCs/>
        </w:rPr>
        <w:t xml:space="preserve">34,0 %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Medpace ha multiplicado por 3,6 sus ingresos totales entre 2018 y 2025 (de 704,6 a 2.530,2 M USD; TCAC del 20 %) sin compras relevantes: el fondo de comercio está en 662,4 M desde 2019 [1, 2]. </w:t>
      </w:r>
      <w:r>
        <w:rPr>
          <w:b/>
        </w:rPr>
        <w:t xml:space="preserve">Los ingresos totales incluyen los gastos reembolsados</w:t>
      </w:r>
      <w:r>
        <w:t xml:space="preserve"> (pagos a investigadores, viajes y otros costes por cuenta del cliente), que se facturan a coste y sin margen: 1.037,5 M en 2025 (41 % de los ingresos) frente a 236,8 M en 2018 (34 %) [1, 4]. Por eso el coste de ventas de la tabla son los costes directos totales: costes directos propios (732,1 M en 2025) más reembolsados (1.037,5 M). Sobre ingresos totales, el margen EBITDA pasa del 19,8 % de 2018 al 22,3 % de 2025; sobre ingresos netos de servicio (estimación propia: totales menos reembolsados, 1.492,7 M en 2025) sería del 37,7 %, frente al 35,6 % de 2024. Es decir: en 2025 el margen total bajó (22,6 % en 2024) solo porque los reembolsos crecieron un 34,6 %, mientras los costes directos propios subieron un 7,3 % con unos ingresos netos de servicio que crecieron un 11,5 % [1]. La amortización de intangibles de la compra por Cinven (2014) casi ha desaparecido (de 29,6 M en 2018 a 0,9 M en 2025), lo que hace que el EBIT crezca más que el EBITDA en 2018-2021 [2]. Se omiten 2016-2017: antes de la ASC 606 (2018) los ingresos se reconocían con otro criterio (436,2 M en 2017 frente a 704,6 M en 2018) y no son comparables [2].</w:t>
      </w:r>
    </w:p>
    <w:p>
      <w:pPr>
        <w:pStyle w:val="Heading2"/>
      </w:pPr>
      <w:r>
        <w:t xml:space="preserve">Ajustes y partidas no recurrentes</w:t>
      </w:r>
    </w:p>
    <w:p>
      <w:pPr>
        <w:spacing w:after="100"/>
      </w:pPr>
      <w:r>
        <w:t xml:space="preserve">Cifras reportadas US GAAP. El EBITDA de la tabla es EBIT más depreciación y amortización (563,1 M en 2025). El EBITDA no GAAP de la empresa parte del beneficio neto y solo descuenta los ingresos financieros netos, de modo que incluye diferencias de cambio y otros resultados: 557,7 M en 2025 y 480,2 M en 2024 [9]; la diferencia con la tabla es de −5,3 M en 2025 y +4,1 M en 2024. La empresa no excluye la remuneración en acciones (34,8 M en 2025, 1,4 % de los ingresos; 25,5 M en 2024; 20,5 M en 2023) [1]. No hay deterioros, reestructuraciones ni partidas no recurrentes dentro del EBITDA. El LTM a jun-26 (ingresos 2.782,3 M; EBITDA 611,2 M; BPA 17,02 USD; FCF 706,7 M = flujo operativo 752,7 M − capex 46,0 M) es 2025 + 1S26 − 1S25 [1, 7]. En 1S26 la remuneración en acciones cayó a 9,3 M (22,8 M en 1S25), lo que redujo el SG&amp;A en 12,9 M [5, 7]; si no se repite, el margen del LTM está algo favorecido. Los gastos financieros de 2020-2025 son los intereses pagados del estado de flujos, porque la cuenta solo publica el neto financiero [1,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EBITDA trimestral según la definición de la empresa (incluye diferencias de cambio); crecimiento orgánico = a tipo de cambio constante, publicado solo en 2026 (no hay compras) [7, 8, 9, 10]. Los crecimientos de 3T24 a 2T25 son estimación propia con los trimestres de 2023-2024 de los 10-Q [2]. Medpace batió el BPA de consenso en los ocho trimestres: 3,01 frente a 2,77 USD (3T24), 3,67 frente a 2,96 (4T24), 3,67 frente a 3,06 (1T25), 3,10 frente a 3,00 (2T25), 3,86 frente a 3,50 (3T25), 4,67 frente a 4,18 (4T25), 4,28 frente a 3,74 (1T26) y 4,25 frente a 3,98 (2T26), según el consenso previo que recoge MarketBeat [11, 12, 13, 14, 15, 16, 17, 18].</w:t>
      </w:r>
    </w:p>
    <w:p>
      <w:pPr>
        <w:spacing w:after="100"/>
      </w:pPr>
      <w:r>
        <w:rPr>
          <w:b/>
        </w:rPr>
        <w:t xml:space="preserve">1T26 (22-abr-26).</w:t>
      </w:r>
      <w:r>
        <w:t xml:space="preserve"> Ingresos +26,5 %, pero book-to-bill de solo 0,88x: el primer ejecutivo, August Troendle, dijo que las cancelaciones de cartera estaban en su punto más alto en más de un año, sobre todo en oncología y cardiovascular, y las atribuyó a causas «random», no a falta de financiación; las peticiones de oferta bajaron trimestre a trimestre y año a año. Mantuvo la guía 2026 y anunció la salida del presidente, Jesse Geiger, tras 18,5 años; Troendle reasume la presidencia sin sucesor a corto plazo [8, 11]. Las cancelaciones y el book-to-bill coparon las preguntas; Baird insistió en la menor cobertura de la cartera más allá de doce meses [11].</w:t>
      </w:r>
    </w:p>
    <w:p>
      <w:pPr>
        <w:spacing w:after="100"/>
      </w:pPr>
      <w:r>
        <w:rPr>
          <w:b/>
        </w:rPr>
        <w:t xml:space="preserve">2T26 (23-jul-26).</w:t>
      </w:r>
      <w:r>
        <w:t xml:space="preserve"> El tono mejoró: adjudicaciones netas récord de 795,7 M (book-to-bill 1,13x) porque las cancelaciones «came down quite a bit», con peticiones de oferta muy al alza interanual. La guía subió a 2.805-2.885 M de ingresos y 17,25-17,95 USD de BPA, sin recompras adicionales [7, 12]. Señales a vigilar: las adjudicaciones en cardiometabolismo «dropped off quite a bit», la oncología fue más de la mitad de las contrataciones y la dirección prevé reembolsos del 41-42 % de los ingresos en el 2S26. Evitó dar el ritmo de consumo de la cartera, el tamaño de la precartera, la tasa de éxito y la visión de 2027 [12].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de Medpace funciona con circulante muy negativo: los anticipos de clientes («advanced billings») sumaban 854,4 M a dic-25 (904,7 M a jun-26), frente a 402,1 M de clientes y obra pendiente de facturar (441,8 M a jun-26) [1, 7]. Los anticipos han crecido de 147,9 M en 2018 a 854,4 M en 2025, más deprisa que los ingresos (del 21 % al 34 % de las ventas), y son la principal fuente de caja de la empresa [2]. La deuda se amortizó en 2019 y desde entonces la caja oscila con las recompras: cayó a 28,3 M en 2022 (con 50 M dispuestos de la línea de crédito, ya devueltos en 2023) tras recomprar 847,8 M, y bajó de 669,4 M a 497,0 M en 2025 tras 917,4 M [2]. El patrimonio neto (459,1 M a dic-25; 433,9 M a jun-26) es bajo porque las acciones recompradas se amortizan contra reservas, que son negativas en −460,0 M [1, 7]. </w:t>
      </w:r>
      <w:r>
        <w:rPr>
          <w:b/>
        </w:rPr>
        <w:t xml:space="preserve">Para el puente a 30-jun-26:</w:t>
      </w:r>
      <w:r>
        <w:t xml:space="preserve"> caja 502,7 M, sin inversiones a corto ni deuda financiera; anticipos de clientes 904,7 M (+50,3 M en el semestre) [7]. No consta si hubo recompras entre julio y la fecha de corte (los resultados del 3T26 salen el 21-oct-26).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2.787</w:t>
      </w:r>
      <w:r>
        <w:t xml:space="preserve">, conversión </w:t>
      </w:r>
      <w:r>
        <w:rPr>
          <w:b/>
          <w:bCs/>
        </w:rPr>
        <w:t xml:space="preserve">148 %</w:t>
      </w:r>
      <w:r>
        <w:t xml:space="preserve"> del beneficio neto; adquisiciones 0, dividendos 0, recompras 2.240.</w:t>
      </w:r>
    </w:p>
    <w:p>
      <w:pPr>
        <w:spacing w:after="100"/>
      </w:pPr>
      <w:r>
        <w:t xml:space="preserve">La conversión de beneficio en caja es excepcional: el flujo operativo superó al beneficio neto todos los años, con un FCF de 681,9 M en 2025 (151 % del beneficio) y 572,3 M en 2024 (142 %) [1]. La causa es el circulante negativo: los anticipos de clientes aportaron 143,8 M en 2025 y 150,7 M en 2024, y en 2025 además los gastos devengados (+97,1 M) y el impuesto diferido (+80,8 M, con 39,7 M de impuestos pagados frente a 91,3 M de gasto) [1]. Es caja que depende de que sigan entrando contratos: si las adjudicaciones se frenan, los anticipos se consumen. En 1S26 el flujo operativo fue de 313,8 M (274,4 M en 1S25), con los anticipos aportando solo 50,3 M (98,2 M en 1S25) [7]. El capex es pequeño (1,2 % de los ingresos en 2025; 30,7 M en 1S26, casi el doble que en 1S25, por obras en instalaciones) [1, 7]. La empresa no separa mantenimiento y crecimiento; estimación propia: con una depreciación de 27,2 M, casi todo el capex es de reposición. Las recompras suman 2.239,5 M en 2020-2025, el 91 % del FCF acumulado del periodo (2.464,5 M) [2]. Los pagos de arrendamientos operativos están dentro del flujo operativo (US GAAP).</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y sobre el control interno; asunto clave de auditoría: estimación de los costes pendientes para reconocer los ingresos de los contratos clínicos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Deloitte es auditor desde 2002 [1]. El riesgo contable principal es el reconocimiento de ingresos por grado de avance: depende de las estimaciones de costes pendientes de cada contrato, y Deloitte lo señala como asunto clave [1]. Los reembolsos se reconocen como ingreso y gasto por el mismo importe, lo que no afecta al beneficio pero sí a los márgenes y al crecimiento aparente (en 2025 explican 266,8 M de los 421,2 M de aumento de los ingresos) [1]. No se activan gastos de desarrollo ni intereses relevantes. La remuneración en acciones es moderada (34,8 M en 2025, el 7,7 % del beneficio neto) [1], pero cayó a 9,3 M en 1S26 frente a 22,8 M en 1S25 sin explicación detallada en el 10-Q; coincide con la salida del presidente, aunque atribuirlo a la baja de sus opciones y acciones restringidas es una hipótesis propia no confirmada [5, 7, 8]. La diferencia entre impuesto contable y pagado es grande y cambia de signo: en 2025 el gasto fue de 91,3 M y el pago de 39,7 M, con un impuesto diferido de +80,8 M que consume el activo por anticipos de clientes (de 127,1 M a 15,0 M) [1]. El fondo de comercio (662,4 M) procede de la compra por Cinven en 2014 y nunca se ha deteriorado. El circulante negativo hará que Altman y Beneish den lecturas poco útiles: los anticipos de clientes deprimen el capital circulante sin indicar estrés.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y alquileres con partes vinculadas al primer ejecutivo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LIB Therapeutics y CinRx (53,2 M en 2025, 2,1 %), sede alquilada a sociedades del primer ejecutivo y su familia, hotel y vuelos privados controlados por él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remuneración en acciones en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9,3 M frente a 22,8 M en 1S25; mejora el SG&amp;A en 12,9 M y el margen del LTM [5,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inflados por reembolsos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41 % de los ingresos de 2025 y el 43,5 % de los de 1S26 son costes reembolsados a margen cero; el crecimiento de los ingresos totales sobrestima el del negocio propio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apoyado en anticipos y en impuestos diferidos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2025, anticipos +143,8 M e impuesto diferido +80,8 M; en 1S26 los anticipos solo aportaron 50,3 M [1, 7].</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11,2 %.</w:t>
      </w:r>
    </w:p>
    <w:p>
      <w:pPr>
        <w:spacing w:after="100"/>
      </w:pPr>
      <w:r>
        <w:t xml:space="preserve">Medpace crea valor con holgura desde hace años, pero su ROIC de 2025 (752,7 %) no es una medida útil: el capital invertido es casi nulo (59 M USD) porque los anticipos de clientes (854,4 M) financian todo el circulante y las recompras (2.240 M en 2018-2025) han dejado el patrimonio neto en 459,1 M con reservas negativas [1, 2]. La serie limpia es la de los años con capital positivo apreciable: un ROIC del 11,6 % en 2018, cerca del WACC (11,22 %), que sube al 35,1 % en 2021 y al 78,6 % en 2023 a medida que crece el margen EBITDA (del 19,8 % al 22,3 %) y los anticipos sustituyen al capital propio. El ROE de 2025 (70,2 %) también está inflado por el patrimonio reducido. Lo relevante es que el crecimiento no consume capital: la reinversión neta de la proyección es negativa (−225 M), así que el valor depende del margen y del crecimiento, no de cuánto invierta. Frente a sus rivales, el ROIC de IQVIA (9,8 %), Thermo Fisher (8,8 %) y Charles River (8,6 %) está por debajo del WACC, lastrado por el fondo de comercio de sus compras, y el de ICON (0,7 %) por el deterioro de 2025 [69]. El ROIC incremental del motor no se puede calcular con un capital invertido que se acerca a cero.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497,0 M a dic-25 y de 502,7 M a 30-jun-26, sin inversiones financieras a corto ni deuda; línea de crédito no garantizada de 10,0 M, sin disponer, que vence el 30-abr-27 (SOFR + 100 p.b.) [1, 5, 7]. Solo 21,2 M de la caja de dic-25 estaba en filiales extranjeras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no tiene deuda financiera ni bonos emitidos [1, 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No hay covenants relevantes: la única financiación es la línea de 10 M, con covenants habituales que se cumplían a dic-25 [1]. Arrendamientos operativos de 144,1 M a jun-26 (136,9 M a dic-25), en buena parte oficinas de la sede de Cincinnati alquiladas a sociedades del primer ejecutivo y su familia (pasivos de 84,2 M a dic-25 entre los cuatro contratos vinculados) [1, 5]; en US GAAP no van a la deuda. No hay planes de pensiones de prestación definida, solo de aportación definida [1]. Otros pasivos a largo plazo de 57,7 M (dic-25), que incluyen posiciones fiscales inciertas con 8,3 M de intereses y sanciones reconocidos [1]. Gastos devengados de 408,4 M (dic-25) y 451,1 M (jun-26), que crecen con los costes reembolsables [1, 7]. No hay litigios materiales ni pagos aplazados por compras [1].</w:t>
      </w:r>
    </w:p>
    <w:p>
      <w:pPr>
        <w:pStyle w:val="Heading1"/>
      </w:pPr>
      <w:r>
        <w:t xml:space="preserve">12. Asignación de capital</w:t>
      </w:r>
    </w:p>
    <w:p>
      <w:pPr>
        <w:pStyle w:val="Confianza"/>
        <w:spacing w:after="100"/>
      </w:pPr>
      <w:r>
        <w:t xml:space="preserve">Confianza: Alta</w:t>
      </w:r>
    </w:p>
    <w:p>
      <w:pPr>
        <w:spacing w:after="100"/>
      </w:pPr>
      <w:r>
        <w:t xml:space="preserve">Medpace no paga dividendos y dedica la caja libre a recomprar acciones [1]. El programa actual se aprobó en 2022 y se ha ampliado varias veces; quedaban 821,7 M disponibles a dic-25 y 527,0 M a jun-26 [1, 7]. Las recompras se hacen en mercado abierto o de forma negociada, con planes 10b5-1, y las acciones se amortizan [1]. Son oportunistas: 2.961.924 acciones por 912,9 M en 2025, todas en los nueve primeros meses (ninguna en 4T25 ni en 1T26), y 705.616 por 294,7 M en 2T26 [1, 6, 7, 10]. La dirección cita como prioridades de uso de la caja la inversión en crecimiento orgánico, el capex, las recompras y adquisiciones complementarias «highly selective» [1]. La guía 2026 no incluye recompras posteriores al 30-jun-26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En diez años Medpace no ha hecho adquisiciones relevantes: el fondo de comercio solo subió 1,4 M en 2019 y toda la expansión ha sido orgánica [2]. La asignación de capital se resume en recompras: 2.239,5 M entre 2020 y 2025, el 91 % del FCF acumulado (2.464,5 M), más 294,7 M en 1S26 [2, 7]. Las acciones diluidas medias han bajado de 37,7 M en 2020-2021 a 29,5 M en 2025 y 28,6 M en 2T26 (−24 %), lo que explica que el BPA creciera un 32 % anual entre 2020 y 2025 frente al 25 % del beneficio neto [2, 7]. Hay compras concentradas a precios distintos: 5.691.491 acciones por 847,7 M en 2022 (≈149 USD de media), 781.068 por 144,0 M en 2023 (≈184 USD), 527.160 por 174,2 M en 2024 (≈330 USD), 2.961.924 por 912,9 M en 2025 (≈308 USD) y 705.616 por 294,7 M en 2T26 (≈418 USD) [1, 3, 5]. En 2022 llegó a disponer 50 M de la línea de crédito para recomprar. La remuneración en acciones (34,8 M en 2025) absorbe una parte pequeña de las recompras.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August J. Troendle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del consejo y consejero delegado (CEO); de nuevo President (presidente operativo) interino desde el 31-may-2026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Médico; fue revisor médico en la FDA (1986-1987) y responsable de desarrollo clínico de hipolipemiantes en Sandoz (1987-1992) antes de fundar Medpace en 1992 [35]. Con él al frente, las ventas pasaron de 861,0 M USD en 2019 a 2.530,2 M en 2025 y el BPA diluido de 3,84 USD en 2020 a 15,28 USD en 2025 [9, 46]; la acción salió a bolsa en agosto de 2016 a 23 USD y cerraba a 460,92 USD el 19-mar-2026 [35]. Tiene 69 años; su 19,1 % incluye las 4.733.019 acciones de Medpace Investors y 274.187 opciones; sin opciones controla un 18,2 % de las 27,9 M de acciones (estimación propia) [43].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M. Brady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y tesorero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Medpace en noviembre de 2018 como director ejecutivo de Finanzas; tesorero desde 2019 y CFO desde el 1-ago-2021. Antes, controller de Assurex Health y vicepresidente de Finanzas de Myriad Genetics, once años en Procter &amp; Gamble y auditoría en Ernst &amp; Young [35]. Con él de CFO, la empresa superó la guía inicial de BPA todos los años de 2022 a 2025 [9, 48, 49, 50, 51].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E. Burwig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de Operaciones (comparte la dirección operativa con Brad Hansman)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Medpace desde agosto de 1993; vicepresidenta sénior de Operaciones Clínicas entre 2003 y 2015 y vicepresidenta ejecutiva de Operaciones desde enero de 2017. Enfermera de formación. Cobró en 2025 el bonus máximo (70 % del salario) y convive con el CEO, según el proxy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Brad W. Hansman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Medpace desde abril de 2011, primero en Finanzas y desde 2015 al frente de puesta en marcha de estudios, logística, asuntos regulatorios y redacción médica. Antes, supervisor de auditoría en Joseph Decosimo &amp; Company. Tiene 43 años y un salario de 492.250 USD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P. Ewald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Secretario general (General Counsel) y del consejo; dirige Recursos Humanos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Abogado; antes de Medpace fue director jurídico de Brevet Capital Management, director en Cantor Fitzgerald y pasó diez años en Bank of America. Lleva Recursos Humanos desde 2017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Jesse J. Geiger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 (presidente operativo) hasta el 31-may-2026; jubilado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Medpace desde 2007, fue CFO entre 2011 y 2014, director operativo de Laboratorios y President desde agosto de 2021 [35]. Anunció su retirada el 21-abr-2026, sin desacuerdos según la empresa [20], y vendió 76.238 acciones por 41,1 M USD en los 12 meses anteriores al corte [41].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975,0-1.005,0 M USD; BPA diluido de 3,24-3,34 USD (febrero de 2020, antes de la COVID-19)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925,9 M USD (−5,0 % frente al mínimo); BPA de 3,84 USD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1.075-1.175 M USD; BPA de 4,08-4,50 USD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1.142,4 M USD (dentro del rango); BPA de 4,81 USD [48]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1.400-1.460 M USD; BPA de 5,35-5,67 USD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1.460,0 M USD (techo del rango); BPA de 7,28 USD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1.690-1.750 M USD; BPA de 7,53-8,14 USD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1.885,8 M USD; BPA de 8,88 USD [50]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2.150-2.200 M USD; BPA de 10,18-10,87 USD [50]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2.109,1 M USD (−1,9 % frente al mínimo); BPA de 12,63 USD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2.110-2.210 M USD; BPA de 11,93-12,69 USD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2.530,2 M USD (+14,5 % sobre el máximo); BPA de 15,28 USD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2.755-2.855 M USD; BPA de 16,68-17,50 USD (febrero de 2026)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en julio subió la guía a 2.805-2.885 M USD de ventas y 17,25-17,95 USD de BPA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es creíble con sus cifras: en seis ejercicios (2020-2025) superó siempre la guía inicial de BPA y solo falló la de ventas en 2020, por la pandemia, y en 2024, un 1,9 % por debajo del mínimo [9, 46, 47, 48, 49, 50, 51]; el bonus depende de esa misma guía, lo que da un incentivo a fijarla prudente [35]. El riesgo está en la sucesión. Troendle, de 69 años, es fundador, presidente y CEO desde 1992, y la empresa admite en su 10-K que depende de él [1]. El President Jesse Geiger, el sucesor natural, se jubiló en mayo de 2026 y Troendle recuperó el cargo sin nombrar sustituto [20]; la dirección operativa se reparte ahora entre Burwig, de 63 años, y Hansman, de 43 [39]. El proxy no describe un plan de sucesión [35]. Además, la cúpula vende: Troendle se ha desprendido de 358,5 M USD en acciones en 12 meses [41].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August J. Troendle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 (CEO); 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Fred B. Davenport,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(lead director desde octubre de 2018)</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(presidente);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T. Carley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experto financiero);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O. Kraft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Cornelius P. McCarthy III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Femida H. Gwadry-Sridhar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Dani S. Zander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sustituyó en julio de 2024 a Ashley Keating [40]</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Gobierno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86 %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y sobre el control interno; asunto clave de auditoría: estimación de los costes pendientes para reconocer los ingresos de los contratos clínicos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467,02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August J. Troendle (directo, fideicomiso y Medpace Investors, LLC)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y CEO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 5.653.390 acciones (19,6 %, marzo de 2026) a 5.396.508 (19,1 %, 24-sep-2026, con 274.187 opciones ejercitables) tras vender 586.377 acciones en 12 meses; las 4.733.019 de Medpace Investors no se han movido [35,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Medpace Investors, LLC (incluida en Troendle)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de directivos y empleados controlada por Troendle (85,8 % económico)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4.733.019 acciones en marzo y en septiembre de 2026 [35,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2.417.994 acciones según su 13G/A de enero de 2024, último dato que recoge el proxy de 2026 [35]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 Associates,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declaración 13G: 2.069.679 acciones a 30-jun-2026 [44]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13G/A n.º 7 (marzo de 2026) declara 0 % tras una reorganización interna de enero de 2026: las filiales declaran por separado, no es una venta [45]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69.623 acciones a 31-dic-2025 (70.073 un año antes): Medpace amortiza casi todas las que recompra y solo retiene una pequeña parte; porcentaje sobre 28,6 M de acciones, estimación propia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August J. Troendle (presidente y CEO), ventas del 12-nov al 3-dic-2025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278.418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August J. Troendle (presidente y CEO), ventas del 27-jul al 30-sep-2026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307.959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Jesse J. Geiger (presidente operativo hasta mayo de 2026), 12,81 M con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76.238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Susan E. Burwig (vicepresidenta ejecutiva de Operaciones)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Stephen P. Ewald (secretario general y del consejo)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31.579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Fred B. Davenport, Jr. (consejero coordinador)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 O. Kraft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M. Brady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T. Carley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Cornelius P. McCarthy III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de August Troendle en 2025 sumó 11,44 M USD: 0,94 M de salario, 0,49 M de bonus en efectivo y 10,00 M en opciones sobre acciones (valor Black-Scholes), frente a 8,60 M en 2024 y 1,65 M en 2023; el ratio frente al empleado mediano (85.994 USD) es de 133 a 1 [35]. El variable anual depende en un 75 % de la guía de febrero (EBITDA 50 %, con umbral de 475 M USD; ventas 25 %, con umbral de 2.120 M USD) y en un 25 % de objetivos individuales; el máximo del CEO es el 100 % del salario y cobró el 52,5 % [35]. </w:t>
      </w:r>
      <w:r>
        <w:rPr>
          <w:b/>
        </w:rPr>
        <w:t xml:space="preserve">El variable a largo plazo no lleva métricas</w:t>
      </w:r>
      <w:r>
        <w:t xml:space="preserve">: las opciones de marzo de 2025 de Troendle y Burwig se consolidaron al concederse; las del resto consolidan en marzo de 2030 [35]. No hay métricas de ROIC, TSR ni flujo de caja. Hay </w:t>
      </w:r>
      <w:r>
        <w:rPr>
          <w:i/>
        </w:rPr>
        <w:t xml:space="preserve">clawback</w:t>
      </w:r>
      <w:r>
        <w:t xml:space="preserve"> conforme a la regla 10D-1 desde diciembre de 2023, sin indemnizaciones por despido del CEO ni acuerdos de cambio de control [35]. El say-on-pay obtuvo un 97,36 % a favor en 2024, un 94,80 % en 2025 y un 92,77 % en 2026 sobre los votos emitidos [36, 37, 38]; descontando los 5,38 M de votos de Troendle, el voto en contra de 2026 sube al 9,12 % del capital libre presente (estimación propia, suponiendo que votó a favor).</w:t>
      </w:r>
    </w:p>
    <w:p>
      <w:pPr>
        <w:pStyle w:val="Heading2"/>
      </w:pPr>
      <w:r>
        <w:t xml:space="preserve">Operaciones vinculadas, estructura de control y defensas</w:t>
      </w:r>
    </w:p>
    <w:p>
      <w:pPr>
        <w:spacing w:after="100"/>
      </w:pPr>
      <w:r>
        <w:t xml:space="preserve">August Troendle fundó Medpace en 1992, la preside y la dirige; controla el 19,1 % (5.396.508 acciones con opciones, de las que 4.733.019 son de Medpace Investors, LLC, sociedad de directivos que gestiona en exclusiva y de la que le corresponde el 85,8 %) [35, 43]. No es una «controlled company» según el Nasdaq ni tiene mayoría: en 2025 la propuesta de un accionista de pasar a mayoría simple salió con 18,21 M de votos a favor y 8,02 M en contra, y Troendle recibió 5,13 M de votos retenidos (19,5 %) [37]. Aun así decide de hecho quién dirige: su contrato obliga a la empresa a proponerle como consejero [35]. Las defensas se están desmontando: el consejo escalonado desaparece en la junta de 2027 (aprobado en 2024), y en 2026 se suprimieron las mayorías reforzadas y se dio a los accionistas con el 25 % el derecho a convocar juntas extraordinarias; la propuesta de un accionista de rebajar ese umbral obtuvo 8,31 M de votos a favor, un 43,6 % del capital libre presente según estimación propia [36]. Hay una sola clase de acciones. Las operaciones vinculadas con Troendle son relevantes: ingresos de CinRx (45,3 M USD en 2025) y LIB Therapeutics (7,9 M), cuatro sedes alquiladas a sociedades suyas (11,7 M de gasto en 2025), su hotel y aviones chárter de una empresa que controla (2,1 M) [35].</w:t>
      </w:r>
    </w:p>
    <w:p>
      <w:pPr>
        <w:pStyle w:val="Heading2"/>
      </w:pPr>
      <w:r>
        <w:t xml:space="preserve">Señales de alerta</w:t>
      </w:r>
    </w:p>
    <w:p>
      <w:pPr>
        <w:pStyle w:val="ListParagraph"/>
        <w:numPr>
          <w:ilvl w:val="0"/>
          <w:numId w:val="2"/>
        </w:numPr>
        <w:spacing w:after="60"/>
      </w:pPr>
      <w:r>
        <w:t xml:space="preserve">El presidente operativo (President) Jesse Geiger anunció el 21-abr-2026 que se retiraba el 31 de mayo; Troendle, de 69 años, recuperó el cargo de forma interina y no se ha nombrado sucesor. El 1-jun-2026 Brad Hansman pasó a vicepresidente ejecutivo de Operaciones y comparte con Susan Burwig la función de director operativo [20, 39].</w:t>
      </w:r>
    </w:p>
    <w:p>
      <w:pPr>
        <w:pStyle w:val="ListParagraph"/>
        <w:numPr>
          <w:ilvl w:val="0"/>
          <w:numId w:val="2"/>
        </w:numPr>
        <w:spacing w:after="60"/>
      </w:pPr>
      <w:r>
        <w:t xml:space="preserve">Troendle vendió 586.377 acciones por 358,45 M USD en 12 meses. Al menos las ventas de agosto y septiembre de 2026 fueron órdenes limitadas en ventana abierta, no un plan 10b5-1; ningún consejero ni directivo compró acciones en mercado [41, 42, 43].</w:t>
      </w:r>
    </w:p>
    <w:p>
      <w:pPr>
        <w:pStyle w:val="ListParagraph"/>
        <w:numPr>
          <w:ilvl w:val="0"/>
          <w:numId w:val="2"/>
        </w:numPr>
        <w:spacing w:after="60"/>
      </w:pPr>
      <w:r>
        <w:t xml:space="preserve">Ventas de toda la cúpula: 467,0 M USD de nueve consejeros y directivos en 12 meses, de los que solo 12,8 M (Geiger) fueron con plan 10b5-1 [41].</w:t>
      </w:r>
    </w:p>
    <w:p>
      <w:pPr>
        <w:pStyle w:val="ListParagraph"/>
        <w:numPr>
          <w:ilvl w:val="0"/>
          <w:numId w:val="2"/>
        </w:numPr>
        <w:spacing w:after="60"/>
      </w:pPr>
      <w:r>
        <w:t xml:space="preserve">Susan Burwig, vicepresidenta ejecutiva de Operaciones y una de las cinco directivas con remuneración publicada, convive con el CEO, según el proxy; sus opciones de 2025, como las de Troendle, se consolidaron al concederse [35].</w:t>
      </w:r>
    </w:p>
    <w:p>
      <w:pPr>
        <w:pStyle w:val="ListParagraph"/>
        <w:numPr>
          <w:ilvl w:val="0"/>
          <w:numId w:val="2"/>
        </w:numPr>
        <w:spacing w:after="60"/>
      </w:pPr>
      <w:r>
        <w:t xml:space="preserve">Operaciones vinculadas con el CEO por unos 67 M USD en 2025 (ingresos de CinRx y LIB, alquileres, hotel y aviones) [35].</w:t>
      </w:r>
    </w:p>
    <w:p>
      <w:pPr>
        <w:pStyle w:val="ListParagraph"/>
        <w:numPr>
          <w:ilvl w:val="0"/>
          <w:numId w:val="2"/>
        </w:numPr>
        <w:spacing w:after="60"/>
      </w:pPr>
      <w:r>
        <w:t xml:space="preserve">Antigüedad del auditor: Deloitte audita desde 2002; el presidente de la comisión de auditoría, Brian Carley, fue socio de Deloitte entre 2002 y 2014 [35].</w:t>
      </w:r>
    </w:p>
    <w:p>
      <w:pPr>
        <w:pStyle w:val="ListParagraph"/>
        <w:numPr>
          <w:ilvl w:val="0"/>
          <w:numId w:val="2"/>
        </w:numPr>
        <w:spacing w:after="60"/>
      </w:pPr>
      <w:r>
        <w:t xml:space="preserve">Dos de los seis independientes (Davenport y McCarthy) fueron consejeros de sociedades predecesoras de Medpace entre 2006-2007 y 2013, y Davenport recibió un 39 % de votos retenidos en 2024 [35, 38].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Alta</w:t>
      </w:r>
    </w:p>
    <w:p>
      <w:pPr>
        <w:spacing w:after="100"/>
      </w:pPr>
      <w:r>
        <w:t xml:space="preserve">El 22 de julio de 2026, con los resultados del 2T26, Medpace subió la guía de 2026: ingresos de 2.805-2.885 M USD (+10,9 % a +14,0 % sobre los 2.530 M de 2025), EBITDA de 618-642 M USD, beneficio neto GAAP de 494-514 M USD y BPA diluido GAAP de 17,25-17,95 USD [7]. Supone un tipo impositivo del 19,0-19,5 %, ingresos financieros de 21,1 M USD, tipos de cambio a 30 de junio y 28,6 M de acciones diluidas medias, sin recompras posteriores al 30 de junio [7]. La guía de febrero, confirmada sin cambios en abril, era de 2.755-2.855 M USD de ingresos, 605-635 M de EBITDA y 16,68-17,50 USD de BPA con 29,2 M de acciones [8, 9]. La empresa no publica objetivos a medio plazo.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14 analistas, a 9-oct-2026 [53]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14 analistas, a 9-oct-2026 [53]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14 analistas, a 9-oct-2026 [53]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 11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595,92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370,00 – 700,00</w:t>
            </w:r>
          </w:p>
        </w:tc>
      </w:tr>
    </w:tbl>
    <w:p>
      <w:pPr>
        <w:spacing w:after="160" w:before="0"/>
      </w:pPr>
    </w:p>
    <w:p>
      <w:pPr>
        <w:pStyle w:val="Heading2"/>
      </w:pPr>
      <w:r>
        <w:t xml:space="preserve">Revisiones de estimaciones</w:t>
      </w:r>
    </w:p>
    <w:p>
      <w:pPr>
        <w:spacing w:after="100"/>
      </w:pPr>
      <w:r>
        <w:t xml:space="preserve">MarketScreener solo publica las revisiones como gráficos, sin cifras, y Yahoo no cargó sus tablas [54]. La referencia es la guía: la subida de julio movió el punto medio del BPA de 2026 de 17,09 a 17,60 USD (+3,0 %), en parte por las recompras (28,6 M de acciones medias frente a 29,2 M), y el del EBITDA de 620 a 630 M USD (+1,6 %) [7, 8]. El consenso de BPA 2026 (17,59 USD en MarketScreener; 17,72 USD de media, entre 17,50 y 18,37, en Stock Analysis) ya está en la mitad alta de la guía [53, 55]. Las recomendaciones se han vuelto más prudentes: de 3 «compra fuerte» y 8 «mantener» en abril a 1 y 11 en octubre [55]. Los precios objetivo suben: el 7-oct, Mizuho de 665 a 700 USD y Barclays de 450 a 625 USD; UBS inició con 673 USD el 30-sep [55].</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bl>
    <w:p>
      <w:pPr>
        <w:spacing w:after="160" w:before="0"/>
      </w:pPr>
    </w:p>
    <w:p>
      <w:pPr>
        <w:spacing w:after="100"/>
      </w:pPr>
      <w:r>
        <w:t xml:space="preserve">Medpace sube un 9,0 % en 2026, por detrás del S&amp;P 500 (+15,1 %) y de XLV (+11,7 %), pero en diez años rinde un 35,5 % anual frente al 15,6 % del índice [52]. El año ha ido a golpes de resultados: el 10 de febrero, tras publicar el 4T25 y una guía de 2026 de 2.755-2.855 M USD, cayó un 15,9 %; el 23 de abril, con un book-to-bill de 0,88 veces en el 1T26, otro 22,6 %, hasta el mínimo de 52 semanas de 373 USD [8, 9, 52]. Desde ahí sube un 64 %: el 23 de julio tocó el máximo de 677,90 USD tras un book-to-bill de 1,13 veces y la subida de la guía [7, 52]. Esos días disparan la volatilidad (46 %) y la beta semanal a cinco años (1,42); la mensual es 1,13 y la semanal a dos años 0,98 [52]. Las posiciones cortas suman 1,60 M de acciones a 30-sep-2026, el 5,7 % de las acciones y el 7,2 % del flotante, 5,8 días de volumen [57].</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BPA diluido contable de cada año, Medpace cerró 2021 a 45,2 veces (217,64 USD sobre 4,81 USD), 2022 a 29,2 veces, 2023 a 34,5 veces, 2024 a 26,3 veces y 2025 a 36,8 veces (561,65 USD sobre 15,28 USD) [52, 53]. Hoy, a 612,05 USD y con un BPA de los últimos doce meses de 17,02 USD (8,53 USD del primer semestre de 2026 más 8,49 USD del segundo de 2025), cotiza a 36,0 veces, en la parte alta de su rango [7, 9, 52]. La subida de 2025 (+69 %) fue sobre todo de múltiplo: el beneficio por acción creció un 21 %, ayudado por recompras que redujeron un 7,2 % las acciones en un año [53, 56]. Medpace salió a bolsa en agosto de 2016: el cierre de 2016 corresponde a un ejercicio cotizado solo en parte.</w:t>
      </w:r>
    </w:p>
    <w:p>
      <w:pPr>
        <w:pStyle w:val="Heading1"/>
      </w:pPr>
      <w:r>
        <w:t xml:space="preserve">18. Comparables cotizados</w:t>
      </w:r>
    </w:p>
    <w:p>
      <w:pPr>
        <w:pStyle w:val="Confianza"/>
        <w:spacing w:after="100"/>
      </w:pPr>
      <w:r>
        <w:t xml:space="preserve">Confianza: Media</w:t>
      </w:r>
    </w:p>
    <w:p>
      <w:pPr>
        <w:spacing w:after="100"/>
      </w:pPr>
      <w:r>
        <w:t xml:space="preserve">Quedan pocas CRO cotizadas: Syneos, PPD, PRA y Parexel ya no cotizan [31, 74, 75, 76]. Se usan IQVIA (la mayor CRO), ICON (CRO de servicio completo y funcional, el comparable más directo), Charles River (preclínica), Labcorp (laboratorio central de ensayos), Fortrea (CRO escindida de Labcorp, en reestructuración) y Thermo Fisher (dueña de PPD, conglomerado) [67, 68, 69, 70]. Ninguna se parece del todo: Medpace es la única centrada en biotecnológicas pequeñas, sin deuda y sin compras. Se excluyen WuXi AppTec y Tigermed (China, riesgo geopolítico y beneficios con plusvalías de inversiones) [70].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Medpace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IQVIA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River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Fortrea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Scientific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243.301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Labcorp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 / 12,9x / 15,3x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373,57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 / 14,2x / 17,7x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397,07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 / 18,9x / 23,0x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432,66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 / 2,8x / 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414,97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(6 comparables): múltiplo = 12,8 + 0,46 × crecimiento; R² = 0,11. El crecimiento explica poco los múltiplos de estos comparables (R² &lt; 0,3): la regresión no se usa en la valoración.</w:t>
      </w:r>
    </w:p>
    <w:p>
      <w:pPr>
        <w:spacing w:after="100"/>
      </w:pPr>
      <w:r>
        <w:t xml:space="preserve">Medpace cotiza a 25,5 veces el EBITDA de los próximos 12 meses y a 32,5 veces el beneficio, frente a una mediana de 12,9 y 18,9 veces de sus comparables; solo Thermo Fisher (21,3 y 24,3 veces) se le acerca [67, 68]. A los múltiplos medianos valdría 318,23 USD por EV/EBITDA y 355,92 USD por PER, 337,08 USD de media. Parte de la prima está justificada: su margen EBITDA del 22,0 % está entre los altos del grupo, no tiene deuda (−0,8 veces el EBITDA frente a 3,2 veces de mediana) y su ROIC es incomparable, mientras que el de IQVIA, Charles River y Labcorp no llega al 10 % [69]. Lo que no justifica la prima es el crecimiento de los próximos 12 meses: un 5,9 %, igual que IQVIA (5,8 %) y Thermo Fisher (5,9 %), que cotizan a 13,4 y 21,3 veces. Los múltiplos de Medpace descuentan que vuelva a crecer al 15-20 % de 2018-2025, no el 6-10 % que espera el consenso para 2027-2028 [53]. La regresión no explica nada (R² 0,11) y la base de EBITDA de los comparables es ajustada, unos 1,4 puntos de margen por encima de la de Medpace: pesan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Clario (datos y tecnología de ensayos clínicos)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8.875 M USD en caja al cierre, más 125 M aplazados y hasta 400 M condicionados, por unos ingresos esperados de 1.250 M USD en 2025; no se publicó el EBITDA [73].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Syneos Health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Elliott, Patient Square Capital y Veritas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43,00 USD por acción en efectivo, un 24 % sobre el cierre del 13-feb-2023; unos 7.100 M USD con la deuda; múltiplo sobre el EBITDA ajustado previsto para 2023 (731 M USD) [74].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Clinigen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farmacéuticos (suministro para ensayos). Múltiplo sobre el EBITDA ajustado de los últimos doce meses, del análisis de operaciones de BofA Securities en el proxy de Syneos [74].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UDG Healthcare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Clayton Dubilier &amp; Rice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de comercialización y comunicación para la industria farmacéutica; EBITDA ajustado de los últimos doce meses [74].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PPD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47,50 USD por acción en efectivo, un 23,8 % sobre el cierre previo a la filtración; EBITDA ajustado de los últimos doce meses [74, 75].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 Health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USD en efectivo y 0,4125 acciones de ICON por acción, unos 12.000 M USD; prima del 30 % sobre el cierre del 23-feb-2021; EBITDA ajustado de los últimos doce meses [74, 76].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Huntsworth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Clayton Dubilier &amp; Rice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Comunicación médica e investigación clínica (Huntsworth Health); EBITDA ajustado de los últimos doce meses [74].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15,5x (11,1x – 22,0x)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348,36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255,77 – 487,51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 mediana de siete operaciones del sector, 15,5 veces el EBITDA ajustado, daría 348,36 USD por acción; no pesa en el valor objetivo [74]. Las dos más caras, PRA (24,4 veces) y PPD (23,4 veces), se pagaron en 2021 en pleno auge de la financiación biotecnológica; Syneos, en 2023, se vendió a 9,7 veces el EBITDA previsto con una prima del 24 % [74, 75, 76]. Ni siquiera el múltiplo de PRA, con prima de control, alcanza el EV/EBITDA actual de Medpace (27,8 veces el de los últimos 12 meses). Una OPA es improbable: el fundador controla el 19,1 % y dirige la compañía, y a 17.000 M USD de valor empresa solo Thermo Fisher o un gran fondo podrían pagarla [43].</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fijado en 2.850 M USD (+12,6 %), en el centro de la guía de julio (2.805-2.885 M) y del consenso (2.852 M) [7, 53]. 2027e crece un 7,0 %, algo por encima del consenso (+6,3 %), porque la cartera solo aumentó un 4,9 % interanual a junio de 2026 y la contratación del 1T26 fue débil (book-to-bill de 0,88) [7, 8]. 2028e-2031e, entre el 9,5 % y el 8,0 %, en línea con el consenso de 2028 (+9,8 %) y con el 11,5 % al que crecieron en 2025 los ingresos netos de servicio [1, 53]. Después converge al 4,5 % en 2035e. Es la mitad del 20 % anual de 2018-2025, que se apoyó en el auge de la financiación biotecnológica de 2020-2021 y en la obesidad [1, 33].</w:t>
      </w:r>
    </w:p>
    <w:p>
      <w:pPr>
        <w:keepNext/>
        <w:spacing w:after="100"/>
      </w:pPr>
      <w:r>
        <w:rPr>
          <w:b/>
          <w:bCs/>
        </w:rPr>
        <w:t xml:space="preserve">Márgenes.</w:t>
      </w:r>
    </w:p>
    <w:p>
      <w:pPr>
        <w:spacing w:after="100"/>
      </w:pPr>
      <w:r>
        <w:t xml:space="preserve">El margen EBITDA sobre ingresos totales parte del 22,0 % de la guía de 2026 (618-642 M USD) y del consenso, frente al 22,3 % de 2025 y el 22,6 % de 2024 [1, 7]. Sube 0,2 puntos al año hasta el 23,0 % en 2031e por apalancamiento operativo, como ya ocurrió entre 2018 (19,8 %) y 2024 [1]. No supone más: el peso de los reembolsos a margen cero (41-42 % previsto en el 2S26) diluye el margen total aunque el de servicio mejore, y la remuneración en acciones del 1S26 (9,3 M frente a 22,8 M) favorece el margen reciente y puede no repetirse [5, 7]. Sobre ingresos netos de servicio, el 23,0 % equivale a un 38-39 %, frente al 37,7 % de 2025 (estimación propia).</w:t>
      </w:r>
    </w:p>
    <w:p>
      <w:pPr>
        <w:keepNext/>
        <w:spacing w:after="100"/>
      </w:pPr>
      <w:r>
        <w:rPr>
          <w:b/>
          <w:bCs/>
        </w:rPr>
        <w:t xml:space="preserve">Inversión y circulante.</w:t>
      </w:r>
    </w:p>
    <w:p>
      <w:pPr>
        <w:spacing w:after="100"/>
      </w:pPr>
      <w:r>
        <w:t xml:space="preserve">Capex del 1,8 % de las ventas en 2026e, por las obras de la sede (30,7 M en el 1S26, casi el doble que en el 1S25), y del 1,5 % después, frente al 1,2 % de 2025; amortización del 1,1 % al 1,4 % [1, 5]. El circulante comercial incluye los anticipos de clientes: fue de −19,0 % de las ventas en 2025 y −21,2 % en 2024 [1]. Proyectamos que su peso baje poco a poco hasta −16,0 %, porque los anticipos crecieron más deprisa que las ventas (del 21 % al 34 % entre 2018 y 2025) y no pueden hacerlo siempre: con la ratio constante, cada dólar de ventas nuevas traería 19 céntimos de caja sin coste. No se incluyen los gastos devengados (408,4 M a dic-25), cuyo crecimiento sumaría unos 30 M de caja al año (estimación propia) [1].</w:t>
      </w:r>
    </w:p>
    <w:p>
      <w:pPr>
        <w:keepNext/>
        <w:spacing w:after="100"/>
      </w:pPr>
      <w:r>
        <w:rPr>
          <w:b/>
          <w:bCs/>
        </w:rPr>
        <w:t xml:space="preserve">Coste del capital.</w:t>
      </w:r>
    </w:p>
    <w:p>
      <w:pPr>
        <w:spacing w:after="100"/>
      </w:pPr>
      <w:r>
        <w:t xml:space="preserve">Medpace no tiene deuda, así que el WACC es el coste de los fondos propios: 11,22 %. Tasa libre: el bono del Tesoro de EE. UU. a 10 años al 5,22 % (8-oct-2026) [58]. Beta de 1,09, la ajustada mensual a cinco años frente al S&amp;P 500; la mensual sin ajustar es 1,13, la semanal a dos años 0,98 y Stock Analysis da 1,18 [52, 56]. Prima de mercado del 5,5 % y sin prima adicional: el riesgo del fundador y de la concentración en biotecnológicas va en los escenarios. Con la prima implícita del S&amp;P 500 de Damodaran (4,20 % en octubre de 2026), el coste baja al 9,8 % [59]; esa es la referencia relativa.</w:t>
      </w:r>
    </w:p>
    <w:p>
      <w:pPr>
        <w:keepNext/>
        <w:spacing w:after="100"/>
      </w:pPr>
      <w:r>
        <w:rPr>
          <w:b/>
          <w:bCs/>
        </w:rPr>
        <w:t xml:space="preserve">Valor terminal.</w:t>
      </w:r>
    </w:p>
    <w:p>
      <w:pPr>
        <w:spacing w:after="100"/>
      </w:pPr>
      <w:r>
        <w:t xml:space="preserve">Gordon con un crecimiento del 3,0 % a perpetuidad: 1-1,5 % real más una inflación del 2-2,5 %, por debajo de la tasa libre menos medio punto (4,72 %). Equivale a 9,7 veces el EBITDA de salida, por debajo de la mediana actual de los comparables (12,9 veces el de los próximos 12 meses) y del mínimo histórico de Medpace (14,5 veces) [67]. Es la consecuencia de un WACC del 11,22 %: un negocio sin necesidad de inversión vale en torno a 1 / (WACC − g) veces su beneficio operativo después de impuestos. No usamos el múltiplo de salida porque los 16-25 veces que el mercado paga hoy por las CRO de calidad presuponen tasas más bajas. El valor terminal pesa un 52 % del valor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305,26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400,11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M (-4 %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 (hoy: 3,4 %)</w:t>
            </w:r>
          </w:p>
        </w:tc>
      </w:tr>
    </w:tbl>
    <w:p>
      <w:pPr>
        <w:spacing w:after="160" w:before="0"/>
      </w:pPr>
    </w:p>
    <w:p>
      <w:pPr>
        <w:spacing w:after="100"/>
      </w:pPr>
      <w:r>
        <w:t xml:space="preserve">La proyección apenas necesita inversión neta de la amortización (reinversión acumulada de -283 M, con un capex bruto medio del 1,5 % de las ventas). En un negocio de activos ligeros, el crecimiento medio del 7,9 % tiene que salir de subir precios y de ganar volumen sin capital nuevo, y la prueba es el poder de precios y la cuota (4,2 % del mercado en 2030e, frente al 3,4 %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conversión de la cartera de 3.027 M USD de dic-25, de la que la empresa esperaba 1.890-1.910 M en ingresos de 2026 [1]. Precio: estimación propia de 2,5 puntos; Medpace no publica tarifas. Otros: el peso de los reembolsos sube del 41,0 % al 41-42 % previsto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débil: la cartera solo creció un 4,9 % interanual a junio de 2026 y el 1T26 tuvo el book-to-bill más bajo en años (0,88) [7, 8]; el consenso espera un +6,3 % [53].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apoyado en la recuperación de la contratación del 2T26 (adjudicaciones récord de 795,7 M; book-to-bill de 1,13) y en el consenso (+9,8 %) [7, 53].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mercado (4,5 % anual) más ganancia de cuota en biotecnológicas, como en 2018-2025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2029e; la cuota implícita pasa del 3,4 % al 4,2 % del desarrollo clínico externalizado [21].</w:t>
            </w:r>
          </w:p>
        </w:tc>
      </w:tr>
    </w:tbl>
    <w:p>
      <w:pPr>
        <w:spacing w:after="160" w:before="0"/>
      </w:pPr>
    </w:p>
    <w:p>
      <w:pPr>
        <w:spacing w:after="100"/>
      </w:pPr>
      <w:r>
        <w:t xml:space="preserve">La calidad de Medpace sostiene el 7,9 % anual que proyectamos para 2026e-2035e: es la mitad de su crecimiento de 2018-2025 (20 % anual), la cuota implícita sube del 3,4 % al 4,2 % del desarrollo clínico externalizado en 2030e (1,24 veces la actual, dentro del límite de 1,5) y el crecimiento no exige capital, porque los anticipos financian el circulante y el capex es del 1,5 % de las ventas [1, 21]. Su foso es estrecho pero real: margen operativo del 21,1 % frente al 5,4-14,0 % de sus rivales [1, 21, 28, 29]. Lo que no sostiene es el 16,7 % anual durante nueve años que descuenta el precio: exigiría casi cuadruplicar la cuota, con una cartera que solo crece un 4,9 % y un poder de precios que la empresa no publica [7].</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16,7 % (base: 7,3 %)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44,5 % (base: 23,0 %)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 (WACC: 11,2 %)</w:t>
            </w:r>
          </w:p>
        </w:tc>
      </w:tr>
    </w:tbl>
    <w:p>
      <w:pPr>
        <w:spacing w:after="160" w:before="0"/>
      </w:pPr>
    </w:p>
    <w:p>
      <w:pPr>
        <w:spacing w:after="100"/>
      </w:pPr>
      <w:r>
        <w:t xml:space="preserve">El DCF da 321,96 USD por acción, un 47,4 % por debajo del precio, con un WACC del 11,22 %; el valor terminal pesa un 52 % y el rango de sensibilidad (WACC y crecimiento ± 0,5 puntos) va de 295,65 a 355,29 USD. Con la prima implícita del mercado (WACC del 9,8 %) sube a 387,33 USD, todavía un 36,7 % por debajo. </w:t>
      </w:r>
      <w:r>
        <w:rPr>
          <w:b/>
        </w:rPr>
        <w:t xml:space="preserve">El DCF inverso es el centro del informe</w:t>
      </w:r>
      <w:r>
        <w:t xml:space="preserve">: a 612,05 USD el mercado pide que los ingresos crezcan un 16,7 % anual entre 2027e y 2035e con nuestro margen, frente al 7,3 % de nuestro caso base, o un margen EBITDA del 44,5 % con nuestro crecimiento, frente al 23,0 %. Dicho de otro modo, con nuestros flujos el precio solo rinde un 7,3 % anual, por debajo del 11,22 % de su coste de capital y del 9,8 % que pide el mercado. Es exigente frente a la historia: Medpace creció un 20 % anual en 2018-2025, pero con la financiación biotecnológica de 2021 (121.074 M USD) y el auge de la obesidad; hoy la cartera crece un 4,9 % y el consenso espera un 6,3 % en 2027 y un 9,8 % en 2028 [7, 33, 53]. Nuestra proyección coincide con el consenso de 2026-2028 con diferencias de menos del 2 %: la discrepancia con el precio no está en las cifras de los próximos tres años, sino en cuánto dura el crecimiento alto después.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nueva sequía de financiación biotecnológica, como la de 2022 (−54 %), coincide con el fin del auge de los ensayos de obesidad: las cancelaciones del 1T26 se repiten, el book-to-bill se queda por debajo de 1 varios trimestres y los ingresos de 2027 caen un 5 % [8, 33]. El margen baja 2-3 puntos por la menor utilización del personal y el crecimiento posterior se queda en el 5-6 %.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Medpace cumple la guía de 2026, crece un 7 % en 2027 por la debilidad de la cartera y vuelve al 8-9,5 % en 2028-2031 con la recuperación de la contratación del 2T26, en línea con el consenso [7, 53]. El margen sube poco a poco hasta el 23,0 % y los anticipos pierden algo de peso.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contratación récord del 2T26 se sostiene, la financiación biotecnológica se recupera con las salidas a bolsa de 2026 y Medpace vuelve a crecer al 11-13 % anual varios años, ganando cuota a ICON y Fortrea, con el margen en el 24,5 % [7, 33]. Aun así el valor queda por debajo del precio.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612,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326,76 USD (-46,6 %).</w:t>
      </w:r>
    </w:p>
    <w:p>
      <w:pPr>
        <w:spacing w:after="100"/>
      </w:pPr>
      <w:r>
        <w:t xml:space="preserve">La asimetría es negativa en los tres escenarios: el alcista vale 450,17 USD (−26,4 %), el base 321,96 USD (−47,4 %) y el bajista 212,93 USD (−65,2 %); ponderados, 326,76 USD. Incluso un alcista que supone volver a crecer al 11,3 % anual durante nueve años, con un margen final del 24,5 %, deja la acción un 26 % por debajo del precio. Con la prima del mercado el alcista sube a 548,83 USD, aún por debajo de 612,05 USD. El bajista no es cosmético: Medpace tuvo un book-to-bill de 0,88 en el 1T26 y de 0,90 en el 1T25, y la financiación biotecnológica cayó un 54 % en 2022 [8, 33]. Para que el precio tenga sentido hay que creer en un escenario mejor que nuestro alcista y en un coste de capital menor.</w:t>
      </w:r>
    </w:p>
    <w:p>
      <w:pPr>
        <w:pStyle w:val="Heading1"/>
      </w:pPr>
      <w:r>
        <w:t xml:space="preserve">22. Suma de partes</w:t>
      </w:r>
    </w:p>
    <w:p>
      <w:pPr>
        <w:pStyle w:val="Confianza"/>
        <w:spacing w:after="100"/>
      </w:pPr>
      <w:r>
        <w:t xml:space="preserve">Confianza: Alta</w:t>
      </w:r>
    </w:p>
    <w:p>
      <w:pPr>
        <w:spacing w:after="100"/>
      </w:pPr>
      <w:r>
        <w:t xml:space="preserve">Medpace tiene un único segmento (CRO clínica de servicio completo) y desglosa sus ingresos por área terapéutica, que comparten personal, márgenes y clientes: no hay negocios con perfiles distintos que valorar por separado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612,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326,15 USD (-46,7 % sobre 612,05).</w:t>
      </w:r>
    </w:p>
    <w:p>
      <w:pPr>
        <w:spacing w:after="100"/>
      </w:pPr>
      <w:r>
        <w:t xml:space="preserve">Pesos: 45 % DCF, 40 % escenarios y 15 % comparables; las transacciones no pesan porque llevan prima de control y no esperamos una OPA. El DCF es el método más fiable para Medpace: no tiene deuda, sus flujos son predecibles a dos años por la cartera y la clave del valor es cuánto dura el crecimiento, que solo un DCF hace explícito. Los comparables pesan poco porque ninguno crece ni gana lo que Medpace y la muestra no explica los múltiplos (R² 0,11). La dispersión entre métodos es pequeña: DCF 321,96 USD, comparables 337,08, transacciones 348,36 y escenarios 326,76 USD; todos están entre un 43 % y un 47 % por debajo del precio. Solo dos referencias se acercan a 612,05 USD: el precio objetivo medio de los analistas (595,92 USD) y el máximo de 52 semanas, y ninguna es una valoración [53, 54]. El valor objetivo es de 326,15 USD (382,27 USD con la prima implícita del mercado). El puente usa la caja de 502,7 M a 30-jun-2026, sin deuda; los arrendamientos operativos (144,1 M) ya restan en el EBITDA (US GAAP) y los anticipos de clientes (904,7 M) se tratan como circulante porque se compensan con el trabajo de los propios contratos [5].</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349,37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(32.9x) ÷ 1.1 (tope: la mediana de 5 años, 24.3x,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610,56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700,26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r>
    </w:tbl>
    <w:p>
      <w:pPr>
        <w:spacing w:after="160" w:before="0"/>
      </w:pPr>
    </w:p>
    <w:p>
      <w:pPr>
        <w:spacing w:after="100"/>
      </w:pPr>
      <w:r>
        <w:rPr>
          <w:b/>
          <w:bCs/>
        </w:rPr>
        <w:t xml:space="preserve">Objetivo a 12 meses (ponderado):</w:t>
      </w:r>
      <w:r>
        <w:t xml:space="preserve"> 567,69 USD · rentabilidad -7,2 % (base -0,2 %) · señal Mantener.</w:t>
      </w:r>
    </w:p>
    <w:p>
      <w:pPr>
        <w:spacing w:after="100"/>
      </w:pPr>
      <w:r>
        <w:t xml:space="preserve">Para comparar, con la regla v2 (historia al cierre, mismo precio): 26,3x / 32,9x / 32,9x, 3,7 % Mantener; con el tope anterior del base (×1,3, 14-oct mediodía): -11,4 % Vender. Decide la regla vigente (v3 con tope ×1,1; METODO-VIGENTE.md).</w:t>
      </w:r>
    </w:p>
    <w:p>
      <w:pPr>
        <w:keepNext/>
        <w:spacing w:after="100"/>
      </w:pPr>
      <w:r>
        <w:rPr>
          <w:b/>
          <w:bCs/>
        </w:rPr>
        <w:t xml:space="preserve">Frente al consenso (solo contraste).</w:t>
      </w:r>
    </w:p>
    <w:p>
      <w:pPr>
        <w:spacing w:after="100"/>
      </w:pPr>
      <w:r>
        <w:t xml:space="preserve">Nuestro BPA base de 2028e (20,42) se separa un -4,9 % del consenso (21,47) y nuestro precio base (671,82) un +12,7 % del objetivo medio de los analistas (595,92).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326,15 (-46,7 %) frente al objetivo a 12 meses ponderado 634,40 (+3,7 % con dividendo; base +9,8 %).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(conferencia el 22-oct)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cancelaciones y recompras del trimestre; primera indicación sobre 2027 [7].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+6,3 % de ingresos en 2027; una guía por debajo confirmaría la desaceleración [53].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estacionalidad de las cancelaciones: el 1T fue el trimestre débil en 2025 y 2026 (book-to-bill de 0,90 y 0,88)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 desaparece el consejo escalonado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Mejora de gobierno ya aprobada en 2024; posible nombramiento de un sucesor del President [20, 35].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colectiva (Durbin) y derivada por las declaraciones sobre el book-to-bill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provisión; un acuerdo tendría coste limitado pero mantendría el foco en la calidad de la cartera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del fundador (358,5 M USD en 12 meses) y nuevas recompras (527,0 M autorizados)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de Troendle presionan el precio; las recompras lo sostienen [5, 41].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para la tesis: el crecimiento vuelve al 15-20 % anual varios años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sobre nuestro valor (escenario alcista, 450,17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 el alcista alcanza el precio; habría que crecer más y con menor coste de capital.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&gt; 1,2 tres trimestres seguidos y guía 2027 de ingresos &gt; +12 %.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contratación y repunte de cancelaciones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−34 % sobre nuestro valor (bajista, 212,93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3.014 M USD (1,1 veces los ingresos) y cobro del trabajo hecho al cancelar [1,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&lt; 1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hacia los de las CRO comparables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−45 % sobre el precio (comparables a la mediana: 337,08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Medpace ha cotizado siempre con prima: PER mínimo de 26,3 veces en ocho años.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de los próximos 12 meses por debajo de 25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obesidad y metabolismo (29,4 % de los ingresos)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 (estimación propia: un año sin crecer en el área)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Oncología pesa lo mismo y dominó la contratación del 2T26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Adjudicaciones de cardiometabolismo, que ya cayeron en el 2T26 [12].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biotecnológica (95 % de los ingresos de biotecnológicas pequeñas y medianas)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−34 % (entre base y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Anticipos de 904,7 M que reducen el riesgo de crédito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riesgo y salidas a bolsa biotecnológicas trimestrales (EY, Nasdaq Biotech) [33].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del fundador (69 años, sin President desde mayo 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por mayor prima de riesgo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operativo con décadas en la casa (Burwig desde 1993, Hansman desde 2011) [35, 39].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Ausencia de un sucesor nombrado en la junta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Reversión de los anticipos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a −2 % del valor (volver al 30 % de las ventas de 2021: unos 110 M de caja)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anticipos se compensan con trabajo, no se devuelven en efectivo salvo cancelación.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Anticipos por debajo del 30 % de los ingresos de los últimos 12 meses.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Operaciones vinculadas y litigio por el book-to-bill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 a −3 %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publican en el proxy y el 10-K; los ingresos vinculados son el 2,1 % [1, 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Avance de la demanda colectiva o nuevas operaciones con sociedades del fundador.</w:t>
            </w:r>
          </w:p>
        </w:tc>
      </w:tr>
    </w:tbl>
    <w:p>
      <w:pPr>
        <w:spacing w:after="160" w:before="0"/>
      </w:pPr>
    </w:p>
    <w:p>
      <w:pPr>
        <w:pStyle w:val="Heading2"/>
      </w:pPr>
      <w:r>
        <w:t xml:space="preserve">Pre-mortem</w:t>
      </w:r>
    </w:p>
    <w:p>
      <w:pPr>
        <w:spacing w:after="100"/>
      </w:pPr>
      <w:r>
        <w:t xml:space="preserve">Octubre de 2029: hemos vendido Medpace y la acción ha subido un 40 %. ¿Qué pasó? La contratación récord del 2T26 no fue un rebote, sino el inicio de un nuevo ciclo: las salidas a bolsa biotecnológicas de 2026 desbloquearon una ola de ensayos de fase II y III, la obesidad pasó de los GLP-1 a una segunda generación de moléculas y Medpace, la única CRO de servicio completo sin distracciones (ICON con su reexpresión, Fortrea en reestructuración), se llevó la mayor parte [7, 33]. Los ingresos crecieron un 15 % anual, el margen subió al 25 % y las recompras redujeron las acciones otro 3 % al año, de modo que el BPA creció un 20 % anual y el mercado mantuvo el PER de 30 veces. El tipo del Tesoro bajó al 4 % y el coste de capital de las empresas de calidad cayó con él. Nuestro error habría sido tratar el 7 % de crecimiento del consenso como un techo y no como un suelo, y descontar con un 11 % un negocio que el mercado siempre ha descontado con menos. Los indicadores que lo habrían anticipado: un book-to-bill por encima de 1,2 durante tres trimestres, una guía de 2027 por encima del 12 % y una cartera creciendo más deprisa que los ingresos.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Para una CRO, lo material es el personal y la integridad de los datos, no las emisiones. El coste es casi todo plantilla (6.200 empleados a cierre de 2025, el 66 % mujeres) y la empresa cita la competencia por personal con doctorado o licenciatura en medicina como riesgo clave; el 75 % de los 182 puestos directivos cubiertos entre octubre de 2024 y septiembre de 2025 fue por promoción interna [1]. La calidad de los ensayos y la privacidad de los datos de pacientes (HIPAA, RGPD) son el riesgo operativo y reputacional más directo: un fallo de buenas prácticas clínicas puede invalidar datos o llevar a sanciones [1]. El gobierno es material: el fundador es consejero delegado y desde junio de 2026 también President, y hay ingresos con biotecnológicas en las que participan directivos (CinRx, 45,3 M USD en 2025) [1, 20].</w:t>
      </w:r>
    </w:p>
    <w:p>
      <w:pPr>
        <w:pStyle w:val="Heading2"/>
      </w:pPr>
      <w:r>
        <w:t xml:space="preserve">Controversias</w:t>
      </w:r>
    </w:p>
    <w:p>
      <w:pPr>
        <w:spacing w:after="100"/>
      </w:pPr>
      <w:r>
        <w:t xml:space="preserve">El 6 de abril de 2026 se presentó una demanda colectiva (Durbin, distrito sur de Ohio) contra Medpace, August Troendle, Jesse Geiger y Kevin Brady por declaraciones supuestamente engañosas sobre el book-to-bill; el 22 de junio de 2026 siguió una demanda derivada contra directivos y consejeros por los mismos hechos [5]. La empresa no ha reconocido pasivo porque no considera la pérdida probable ni estimable [5]. Los ingresos con partes vinculadas (CinRx y LIB Therapeutics) son recurrentes y se publican en las cuentas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3.014 M USD se convertirá en ingresos en los próximos 12 meses y cómo ha cambiado esa ratio en dos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crece un 4,9 % y los ingresos un 17 %: el consumo acelerado de la cartera es la causa de la desaceleración que esperamos [7].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Cancelaciones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sumaron las cancelaciones en importe en el 1T26 y el 2T26, y qué parte se concentró en obesidad?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solo publica adjudicaciones netas; sin las brutas no se sabe si el 2T26 fue recuperación o menos cancelaciones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han subido las tarifas por hora frente al coste salarial en 2024-2026?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poder de precios es la única forma de crecer sin capital por encima del mercado, y no se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Reembolsos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gastos reembolsados pasaron del 34 % al 43,5 % de los ingresos y qué peso esperan a medio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Inflan el crecimiento aparente y diluyen el margen total sin cambiar el beneficio [1, 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un plan de sucesión del primer ejecutivo y del President, y cuándo se nombrará al sucesor de Jesse Geiger?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Troendle tiene 69 años, concentra presidencia, dirección y el 19,1 % del capital, y vende acciones [35, 43].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criterio de valor se recompra: por qué 294,7 M a unos 418 USD en el 2T26 y nada en el 4T25 y el 1T26?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absorben el 91 % del FCF y son la palanca del BPA [1,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bajó de 22,8 M a 9,3 M en el 1S26 y cuánto se espera para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12,9 M de mejora del SG&amp;A; si no se repite, el margen del LTM está inflado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Vinculadas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condiciones tienen los contratos con CinRx y LIB Therapeutics frente a los de clientes independientes?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 53,2 M de ingresos con sociedades en las que participa el primer ejecutivo [1].</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 independientes, vía RSS)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 los resultados un autor sostenía que el relato de recuperación era prematuro; tras el 2T26 dos autores pasan a tesis favorables: compra por la mejora de métricas y cancelaciones que se normalizan [60].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Zacks (artículo de opinión, sindicado en The Globe and Mail)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Reconoce contratación récord, márgenes estables y caja sin deuda, pero pide selectividad por la valoración muy superior a la del sector, cancelaciones impredecibles y concentración en clientes y en oncología [61].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StockStory (análisis tras el 2T26, sindicado)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favorable por el crecimiento orgánico y la generación de caja, con la gran duda en la fuerte desaceleración de ingresos que esperan los analistas para los próximos doce meses [62].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(artículo sobre la venta del consejero delegado)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Quita hierro a la venta del fundador por su pequeño tamaño frente a la participación que conserva; el autor es accionista, no compraría más a la valoración actual salvo caída, pero no ve motivo para temer comprar [63].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MarketBeat (titulares, operaciones de directivos y ratings)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titulares de septiembre y octubre se reparten entre ventas repetidas del fundador y movimientos de analistas al alza (UBS sube a neutral desde venta, RBC mantiene compra); el agregado de recomendaciones sigue en mantener [64].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The Globe and Mail / TipRanks (flujo de notas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Jefferies mantiene mantener en septiembre y RBC compra en octubre; el consenso que recoge TipRanks es mantener, con la acción ya cerca del precio objetivo medio [65, 66].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Cancelaciones y book-to-bill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eje del debate: los bajistas de julio dudaban de la recuperación y tras el 2T26 la lectura pasa a «cancelaciones que se normalizan» [60, 61]. Hay que comprobarlo con la tasa de cancelaciones y el book-to-bill trimestral del 10-Q y la presentación del 2T26; el 3T26 del 21-oct es la prueba.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frente a otras CRO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todas las fuentes admiten el negocio pero ven poca holgura en el precio y prefieren esperar caídas [61, 63]. Contrastar con el PER y el EV/EBITDA de IQVIA, ICON, Fortrea y Charles River a la fecha de corte y con los múltiplos históricos de la propia Medpace.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del crecimiento en 2027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señala que gran parte de la contratación reciente aún no está en cartera y beneficiará sobre todo a 2027, y que el consenso espera un crecimiento de ingresos muy inferior al histórico [61, 62]. Verificar con la guía 2026 y la conversión de cartera a doce meses comunicada por la empresa.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del fundador y consejero delegado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son frecuentes en septiembre y octubre y generan titulares negativos, pero la prensa las relativiza por la participación que conserva [63, 64]. Comprobar en los Form 4 si van bajo plan 10b5-1 y qué fracción de su participación suponen.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y caja sin deuda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valora la ausencia de deuda y la autorización pendiente de recompra como soporte [61]. Contrastar el ritmo de recompra del primer semestre y la autorización restante en el 10-Q del 2T26.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Mezcla terapéutica (oncología frente a metabolismo/GLP-1) y concentración de clientes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apunta que la oncología domina la contratación reciente, lo que puede alargar la conversión, y que cinco clientes pesan casi un tercio de los ingresos [61]. Verificar en el 10-K y el 10-Q el peso de los cinco mayores clientes y por área terapéutica.</w:t>
            </w:r>
          </w:p>
        </w:tc>
      </w:tr>
    </w:tbl>
    <w:p>
      <w:pPr>
        <w:spacing w:after="160" w:before="0"/>
      </w:pPr>
    </w:p>
    <w:p>
      <w:pPr>
        <w:spacing w:after="100"/>
      </w:pPr>
      <w:r>
        <w:t xml:space="preserve">El debate público sobre Medpace ha girado de escéptico a moderadamente constructivo tras el 2T26: la tesis bajista de julio (recuperación prematura) cede ante lecturas de cancelaciones normalizadas, y en octubre UBS abandona su venta [60, 64]. Aun así no hay euforia: casi todas las voces aceptan la calidad del negocio pero dudan del precio y del crecimiento de 2027, y las ventas continuas del fundador añaden ruido [61, 63, 64]. El sentimiento particular coincide en lo esencial con el consenso de analistas, que es mantener; no lo contradice. El catalizador inmediato son los resultados del 3T26 el 21 de octubre: si las cancelaciones repuntan, la mejora reciente del tono se revertiría rápido. Aporta poco a la valoración, pero confirma que el mercado ya descuenta la normalización y deja poco margen de error.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22 controles correctos y 1 explicados. Fuentes: 76 (46 primarias); citas distintas en el texto: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4,2 % en 2030e frente al 3,4 %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-18,5 % frente a -19,0 % real: genera una variación de circulante de -47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0,11: el crecimiento no explica los múltiplos de estos comparables; no uses el valor de la regresión. Explicación: Con seis comparables y crecimientos del −0,1 % al 5,9 %, el crecimiento no explica los múltiplos (R² 0,11): el valor de la regresión no se usa; la valoración por comparables usa las medianas.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2,5 %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«Vender»: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-46,7 % (-37,5 % con la prima del mercado) y el precio pide 9,4 puntos más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fuentes (46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Cancelaciones en importe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y 10-Q 1T26/2T26: solo dan adjudicaciones netas, no brutas ni cancelaciones; 2) notas de prensa de resultados 3T25-2T26: tampoco; 3) transcripciones del 1T26 y 2T26 (MarketBeat): solo cualitativo («highest point in over a year», «came down quite a bit»)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(áreas terapéuticas) 2018-2019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2020: la tabla por área terapéutica sale desordenada en el texto; 2) XBRL Company Facts: sin desglose por área; 3) 10-K 2022: solo 2020-2022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(serie 2020-2025)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y adjudicaciones netas de 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solo 2024-2025; 2) 10-K 2022: hasta 2022; 3) no se descargó el 10-K 2023/2024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recompradas en 2020 y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XBRL: solo importes (98,3 M y 62,1 M); 2) 10-K 2022: solo 2022; 3) 10-K 2020/2021 no revisados en ese punto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previsto del mercado de CRO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Medpace, IQVIA y Fortrea y 20-F de ICON: solo Fortrea da una previsión, la del I+D de las grandes farmacéuticas (4-5 % anual en 2025-2030); 2) informe EY Beyond Borders 2026: cubre financiación, no el mercado de CRO; 3) informes de consultoras de mercado: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Medpace en su nicho (servicio completo para biotecnológicas pequeñas y medianas)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2025: no la publica; 2) folleto de 2016: solo el tamaño del nicho en 2014 (unos 7.000 M USD); 3) 10-K de IQVIA, Fortrea y 20-F de ICON: no segmentan el mercado por tamaño de cliente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de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2025: solo remite al informe de responsabilidad corporativa 2025-2026; 2) página de Sustainalytics de Medpace: se carga con JavaScript y no muestra la puntuación al descargarla ni con WebFetch; 3) búsqueda web: solo copias de terceros con cifras discrepantes (17,2 y 19,67) sin fecha, no utilizables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WuXi y de Parexel; cifras recientes de Syneos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EDGAR: WuXi y Parexel no presentan cuentas en la SEC y Syneos dejó de hacerlo en 2023; 2) 10-K de 2022 de Syneos: usado como último dato; 3) 10-K de IQVIA y 20-F de ICON: no dan cifras de rivales privados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equipo[Brad W. Hansman].participacion_pct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no figuraba aún como directivo con remuneración publicada; 2) 8-K del 4-jun-2026 de su nombramiento: no da acciones; 3) Form 4 de los últimos 12 meses (form4.mjs): sin operaciones suyas registradas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accionistas[BlackRock].variacion reciente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cita el 13G/A de enero de 2024; 2) lista de presentaciones de EDGAR del emisor: sin 13G de BlackRock posterior a 2024; 3) los 13G de 2026 en EDGAR solo son de T. Rowe Price y Vanguard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 el dato de 2024 marcado como tal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numéricas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revisiones: solo gráficos sin cifras; 2) Yahoo Finance, análisis (EPS Trend): la página no cargó los datos; 3) derivado de los cambios de la guía de febrero, abril y julio de 2026 y de los cambios de precio objetivo de Stock Analysis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 del registro de Nasdaq</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Nasdaq, short interest: tiempo agotado; 2) Stock Analysis: 1,60 M acciones sin fecha; 3) MarketBeat: 1.596.293 acciones a 30-sep-2026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EDGAR: ningún 8-K ni 10-Q posterior al 23-jul-2026 con recompras; 2) portada del 10-Q (acciones a 17-jul); 3) Stock Analysis da 27,91 M acciones, la cifra del 10-Q</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de particulares con comentarios fechados)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(búsqueda y old.reddit), Stocktwits (web y API) y artículos de Seeking Alpha: HTTP 403 o bloqueados; 2) Investing.com comentarios (abre pero sin fechas; descarga 403), Yahoo Finance comunidad (error de carga), Simply Wall St comunidad y Benzinga (403); 3) Stockchase sin página de MEDP, índices mensuales de Motley Fool jul-oct sin artículos de Medpace; se usan prensa con opinión, feed RSS de Seeking Alpha y MarketBeat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con confianza Baja: opinión de autores y prensa, sin hilos de particulares</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Medpace Holdings,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https://www.sec.gov/Archives/edgar/data/1668397/000166839726000006/medp-20251231.htm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Medpace Holdings, XBRL Company Facts (series de los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https://data.sec.gov/api/xbrl/companyfacts/CIK0001668397.json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Form 10-K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https://www.sec.gov/Archives/edgar/data/1668397/000166839723000008/medp-20221231.htm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Form 10-K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https://www.sec.gov/Archives/edgar/data/1668397/000156459021006072/medp-10k_20201231.htm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Form 10-Q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https://www.sec.gov/Archives/edgar/data/1668397/000166839726000025/medp-20260630.htm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Form 10-Q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https://www.sec.gov/Archives/edgar/data/1668397/000166839726000019/medp-20260331.htm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Reports Second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https://www.sec.gov/Archives/edgar/data/1668397/000166839726000023/medp-2026722exx991.htm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Reports First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https://www.sec.gov/Archives/edgar/data/1668397/000166839726000017/medp-20260422exx991.htm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Reports Fourth Quarter and Full Year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https://www.sec.gov/Archives/edgar/data/1668397/000166839726000004/medp-20260209exx991.htm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Reports Third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https://www.sec.gov/Archives/edgar/data/1668397/000166839725000108/medp-20251022exx991.htm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Q1 2026 Earnings Call Transcript y consenso previo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https://www.marketbeat.com/earnings/reports/2026-4-22-medpace-holdings-inc-stock/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Q2 2026 Earnings Call Transcript y consenso previo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https://www.marketbeat.com/earnings/reports/2026-7-22-medpace-holdings-inc-stock/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Q4 2025 earnings: consenso previo y resultado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https://www.marketbeat.com/earnings/reports/2026-2-9-medpace-holdings-inc-stock/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Q3 2025 earnings: consenso previo y resultado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https://www.marketbeat.com/earnings/reports/2025-10-22-medpace-holdings-inc-stock/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Q2 2025 earnings: consenso previo y resultado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https://www.marketbeat.com/earnings/reports/2025-7-21-medpace-holdings-inc-stock/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Q1 2025 earnings: consenso previo y resultado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https://www.marketbeat.com/earnings/reports/2025-4-21-medpace-holdings-inc-stock/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Q4 2024 earnings: consenso previo y resultado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https://www.marketbeat.com/earnings/reports/2025-2-10-medpace-holdings-inc-stock/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Q3 2024 earnings: consenso previo y resultado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https://www.marketbeat.com/earnings/reports/2024-10-21-medpace-holdings-inc-stock/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folleto de la salida a bolsa (424B4)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https://www.sec.gov/Archives/edgar/data/1668397/000119312516679354/d125783d424b4.htm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8-K de 22 de abril de 2026 (salida del presidente Jesse Geiger)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https://www.sec.gov/Archives/edgar/data/1668397/000166839726000017/medp-20260421.htm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https://www.sec.gov/Archives/edgar/data/1478242/000162828026008322/iqv-20251231.htm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https://www.sec.gov/Archives/edgar/data/1478242/000147824221000020/iqv-20201231.htm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https://www.sec.gov/Archives/edgar/data/1478242/000147824222000041/iqv-20211231.htm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https://www.sec.gov/Archives/edgar/data/1478242/000147824223000044/iqv-20221231.htm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https://www.sec.gov/Archives/edgar/data/1478242/000147824224000038/iqv-20231231.htm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https://www.sec.gov/Archives/edgar/data/1478242/000147824225000045/iqv-20241231.htm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https://www.sec.gov/Archives/edgar/data/1965040/000162828026012244/ftre-20251231.htm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Form 20-F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https://www.sec.gov/Archives/edgar/data/1060955/000162828026038487/iclr-20251231.htm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https://www.sec.gov/Archives/edgar/data/97745/000009774526000018/tmo-20251231.htm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Charles River Laboratories,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Charles River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https://www.sec.gov/Archives/edgar/data/1100682/000110068226000022/crl-20251227.htm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Form 10-K del ejercicio 2022 (último antes de su exclusión de bolsa)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https://www.sec.gov/Archives/edgar/data/1610950/000095017023002928/synh-20221231.htm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Form 20-F del ejercicio 2010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mar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https://www.sec.gov/Archives/edgar/data/1060955/000115752311001681/a6635473.htm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 Biotech Beyond Borders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https://www.ey.com/content/dam/ey-unified-site/ey-com/en-gl/campaigns/life-sciences-securing-value-data-driven-platforms/documents/ey-gl-beyond-borders-biotech-report-06-2026.pdf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ICH E6 Good clinical practice - Scientific guideline (ICH E6(R3))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Europea de Medicamentos (EMA)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https://www.ema.europa.eu/en/scientific-guidelines/ich-e6-good-clinical-practice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Inc.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https://www.sec.gov/Archives/edgar/data/1668397/000166839726000012/medp-20260401.htm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2026 (ítems 5.03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https://www.sec.gov/Archives/edgar/data/1668397/000119312526230425/d101911d8k.htm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2025 (ítems 5.02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https://www.sec.gov/Archives/edgar/data/1668397/000119312525121801/d918670d8k.htm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2024 (ítems 5.03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https://www.sec.gov/Archives/edgar/data/1668397/000119312524143907/d821074d8k.htm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Brad W. Hansman como vicepresidente ejecutivo de Operaciones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https://www.sec.gov/Archives/edgar/data/1668397/000119312526257387/d162455d8k.htm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renuncia de Ashley Keating y nombramiento de Dani Zander como consejera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https://www.sec.gov/Archives/edgar/data/1668397/000119312524175077/d822266d8k.htm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Medpace, 12-oct-2025 a 12-oct-2026 (72 presentaciones, agregadas)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https://www.sec.gov/cgi-bin/browse-edgar?action=getcompany&amp;CIK=0001668397&amp;type=4&amp;dateb=&amp;owner=include&amp;count=100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August J. Troendle, ventas del 29 y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https://www.sec.gov/Archives/edgar/data/1668397/000162205826000022/0001622058-26-000022.txt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n.º 24 de August J. Troendle y Medpace Investors, LLC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https://www.sec.gov/Archives/edgar/data/1668397/000119312526405684/primary_doc.xml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T. Rowe Price Associates sobre Medpace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https://www.sec.gov/Archives/edgar/data/1668397/000008025526000559/xslSCHEDULE_13G_X02/primary_doc.xml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n.º 7 de The Vanguard Group sobre Medpace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https://www.sec.gov/Archives/edgar/data/1668397/000010290926001781/xslSCHEDULE_13G_X02/primary_doc.xml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4T19 y guía 2020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https://www.sec.gov/Archives/edgar/data/1668397/000156459020006036/medp-ex991_6.htm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4T20 y guía 2021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https://www.sec.gov/Archives/edgar/data/1668397/000156459021005890/medp-ex991_6.htm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4T21 y guía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https://www.sec.gov/Archives/edgar/data/1668397/000095017022001213/medp-ex99_1.htm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4T22 y guía 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https://www.sec.gov/Archives/edgar/data/1668397/000166839723000003/medp-20230213exx991.htm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4T23 y guía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https://www.sec.gov/Archives/edgar/data/1668397/000166839724000008/medp-20240212exx991.htm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4T24 y guía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https://www.sec.gov/Archives/edgar/data/1668397/000166839725000012/medp-20250210exx991.htm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MEDP, SPY y XLV (bolsa.json)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https://finance.yahoo.com/quote/MEDP/history/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datos financieros y previsiones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https://www.marketscreener.com/quote/stock/MEDPACE-HOLDINGS-INC-30506552/finances/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https://www.marketscreener.com/quote/stock/MEDPACE-HOLDINGS-INC-30506552/consensus/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(MEDP)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https://stockanalysis.com/stocks/medp/forecast/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(MEDP)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https://stockanalysis.com/stocks/medp/statistics/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(MEDP) Short Interest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https://www.marketbeat.com/stocks/NASDAQ/MEDP/short-interest/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(MEDP): feed RSS de análisis y noticias (títulos y fechas de artículos 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https://seekingalpha.com/api/sa/combined/MEDP.xml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MEDP Worth Buying as Growth Collides With a Premium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 (vía The Globe and Mail)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https://www.theglobeandmail.com/investing/markets/stocks/MEDP/pressreleases/3697256/is-medp-worth-buying-as-growth-collides-with-a-premium-valuation/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(MEDP): Buy, Sell, or Hold Post Q2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 (vía The Globe and Mail)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https://www.theglobeandmail.com/investing/markets/stocks/MEDP/pressreleases/4212189/medpace-medp-buy-sell-or-hold-post-q2-earnings/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Investors Should Know About Medpace CEO Troendle Selling $10 Million in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https://www.fool.com/coverage/filings/2026/08/26/what-investors-should-know-about-medpace-ceo-troendle-selling-usd10-million-in-stock/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(MEDP) Stock Price, News &amp; Analysis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https://www.marketbeat.com/stocks/NASDAQ/MEDP/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 noticias y notas de analistas (ago-oct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Globe and Mail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https://www.theglobeandmail.com/investing/markets/stocks/MEDP/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(MEDP) Receives a Buy from RBC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 (vía The Globe and Mail)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https://www.theglobeandmail.com/investing/markets/stocks/MEDP/pressreleases/5019705/medpace-holdings-medp-receives-a-buy-from-rbc-capital/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financieros y previsiones del consenso de IQVIA, ICON, Charles River, Fortrea, Thermo Fisher y Labcorp (EBITDA ajustado y BPA de los últimos y próximos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https://www.marketscreener.com/quote/stock/IQVIA-HOLDINGS-INC-40331382/finances/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capitalización, deuda, caja y estimaciones de BPA de los comparables (IQV, ICLR, CRL, FTRE, TMO, LH)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https://finance.yahoo.com/quote/IQV/analysis/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ICON, IQVIA, Charles River, Fortrea, Thermo Fisher y Labcorp (rentabilidad del capital invertido y por flujo libre)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https://stockanalysis.com/stocks/iclr/statistics/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inversión de ICON plc, corte 2026-10-09 (tabla de comparables y puente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interno del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informes/icon-2026-10-09/ICON - 2026-10-09.pdf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diarios del 8 y 9 de octubre de 2026 de IQV, ICLR, CRL, FTRE, TMO y LH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https://finance.yahoo.com/quote/IQV/history/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Public Limited Company (ICLR): datos financieros y previsiones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https://www.marketscreener.com/quote/stock/ICON-PUBLIC-LIMITED-COMPA-12685103/finances/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to Acquire Clario (nota de prensa,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https://www.sec.gov/Archives/edgar/data/97745/000009774525000156/thermofisherscientifictoac.htm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Definitive Proxy Statement (DEFM14A) de la fusión con Elliott, Patient Square y Veritas (incluye el análisis de operaciones de BofA Securities)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https://www.sec.gov/Archives/edgar/data/1610950/000119312523176268/d450417ddefm14a.htm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PPD, Inc.: Definitive Information Statement (DEFM14C) de la fusión con Thermo Fisher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PPD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https://www.sec.gov/Archives/edgar/data/1793294/000119312521172340/d238109ddefm14c.htm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to acquire PRA Health Sciences (comunicación 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https://www.sec.gov/Archives/edgar/data/1060955/000114036121005941/nc10020781x7_425.htm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89,6 %</w:t>
      </w:r>
      <w:r>
        <w:t xml:space="preserve"> · Secciones con menos del 60 % de campos cubiertos: </w:t>
      </w:r>
      <w:r>
        <w:rPr>
          <w:b/>
          <w:bCs/>
        </w:rPr>
        <w:t xml:space="preserve">capital</w:t>
      </w:r>
      <w:r>
        <w:t xml:space="preserve"> · Generado el 14 oct 2026.</w:t>
      </w:r>
    </w:p>
    <w:p>
      <w:pPr>
        <w:pStyle w:val="Nota"/>
        <w:spacing w:after="100"/>
      </w:pPr>
      <w:r>
        <w:t xml:space="preserve">Precio de cierre del viernes 9-oct-2026: la sesión del lunes 12-oct no había abierto a la fecha de corte [52]. Acciones diluidas de 28,55 M por el método de autocartera sobre las 27,91 M en circulación a 17-jul-2026 [5]; no se conocen las recompras del 3T26 hasta los resultados del 21-oct. Los ingresos son los totales publicados, con los gastos reembolsados a coste (41 % en 2025); los ingresos netos de servicio son estimación propia (totales menos reembolsados) [1]. El EBITDA del informe es EBIT más amortizaciones; el de la empresa y el del consenso de MarketScreener difieren en menos de un 1 % y no excluyen los pagos en acciones [9, 53]. Los comparables son los del análisis de ICON del 9-oct (cifras de MarketScreener, Yahoo Finance y Stock Analysis a 8-oct), llevados al cierre del 9-oct con la variación de precio de cada acción, y ese mismo informe aporta los datos de ICON [67, 68, 69, 70, 71]; su EBITDA es el ajustado del consenso (sin pagos en acciones), mientras que el de Medpace los incluye (1,4 % de las ventas en 2025) [1]. Ejercicios 2016-2017 omitidos: anteriores a la norma de ingresos ASC 606 y no comparables [2].</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Medpace Holdings, Inc. (MEDP)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612,05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(373,00 – 677,90)</c:v>
                </c:pt>
                <c:pt idx="1">
                  <c:v>Precio objetivo de los analistas (370,00 – 700,00)</c:v>
                </c:pt>
                <c:pt idx="2">
                  <c:v>Comparables: EV/EBITDA NTM (297,83 – 373,57)</c:v>
                </c:pt>
                <c:pt idx="3">
                  <c:v>Comparables: PER NTM (313,08 – 432,66)</c:v>
                </c:pt>
                <c:pt idx="4">
                  <c:v>Transacciones precedentes (EV/EBITDA) (255,77 – 487,51)</c:v>
                </c:pt>
                <c:pt idx="5">
                  <c:v>DCF (WACC y g ± 0,5) (295,65 – 355,29)</c:v>
                </c:pt>
                <c:pt idx="6">
                  <c:v>Escenarios (bajista – alcista) (212,93 – 450,17)</c:v>
                </c:pt>
                <c:pt idx="7">
                  <c:v>DCF con la prima implícita del mercado (4,2 %)</c:v>
                </c:pt>
                <c:pt idx="8">
                  <c:v>Precio actual (612,05)</c:v>
                </c:pt>
              </c:strCache>
            </c:strRef>
          </c:cat>
          <c:val>
            <c:numRef>
              <c:f>Hoja1!$B$2:$B$10</c:f>
              <c:numCache>
                <c:formatCode>#,##0</c:formatCode>
                <c:ptCount val="9"/>
                <c:pt idx="0">
                  <c:v>373</c:v>
                </c:pt>
                <c:pt idx="1">
                  <c:v>370</c:v>
                </c:pt>
                <c:pt idx="2">
                  <c:v>297.83</c:v>
                </c:pt>
                <c:pt idx="3">
                  <c:v>313.08</c:v>
                </c:pt>
                <c:pt idx="4">
                  <c:v>255.77</c:v>
                </c:pt>
                <c:pt idx="5">
                  <c:v>295.65</c:v>
                </c:pt>
                <c:pt idx="6">
                  <c:v>212.93</c:v>
                </c:pt>
                <c:pt idx="7">
                  <c:v>361.33</c:v>
                </c:pt>
                <c:pt idx="8">
                  <c:v>608.99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(373,00 – 677,90)</c:v>
                </c:pt>
                <c:pt idx="1">
                  <c:v>Precio objetivo de los analistas (370,00 – 700,00)</c:v>
                </c:pt>
                <c:pt idx="2">
                  <c:v>Comparables: EV/EBITDA NTM (297,83 – 373,57)</c:v>
                </c:pt>
                <c:pt idx="3">
                  <c:v>Comparables: PER NTM (313,08 – 432,66)</c:v>
                </c:pt>
                <c:pt idx="4">
                  <c:v>Transacciones precedentes (EV/EBITDA) (255,77 – 487,51)</c:v>
                </c:pt>
                <c:pt idx="5">
                  <c:v>DCF (WACC y g ± 0,5) (295,65 – 355,29)</c:v>
                </c:pt>
                <c:pt idx="6">
                  <c:v>Escenarios (bajista – alcista) (212,93 – 450,17)</c:v>
                </c:pt>
                <c:pt idx="7">
                  <c:v>DCF con la prima implícita del mercado (4,2 %)</c:v>
                </c:pt>
                <c:pt idx="8">
                  <c:v>Precio actual (612,05)</c:v>
                </c:pt>
              </c:strCache>
            </c:strRef>
          </c:cat>
          <c:val>
            <c:numRef>
              <c:f>Hoja1!$C$2:$C$10</c:f>
              <c:numCache>
                <c:formatCode>#,##0</c:formatCode>
                <c:ptCount val="9"/>
                <c:pt idx="0">
                  <c:v>304.9</c:v>
                </c:pt>
                <c:pt idx="1">
                  <c:v>330</c:v>
                </c:pt>
                <c:pt idx="2">
                  <c:v>75.74000000000001</c:v>
                </c:pt>
                <c:pt idx="3">
                  <c:v>119.58000000000004</c:v>
                </c:pt>
                <c:pt idx="4">
                  <c:v>231.73999999999998</c:v>
                </c:pt>
                <c:pt idx="5">
                  <c:v>59.64000000000004</c:v>
                </c:pt>
                <c:pt idx="6">
                  <c:v>237.24</c:v>
                </c:pt>
                <c:pt idx="7">
                  <c:v>56.19999999999999</c:v>
                </c:pt>
                <c:pt idx="8">
                  <c:v>6.1200000000000045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Oncología</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297.7</c:v>
                </c:pt>
                <c:pt idx="1">
                  <c:v>362.8</c:v>
                </c:pt>
                <c:pt idx="2">
                  <c:v>467.8</c:v>
                </c:pt>
                <c:pt idx="3">
                  <c:v>587.1</c:v>
                </c:pt>
                <c:pt idx="4">
                  <c:v>651.2</c:v>
                </c:pt>
                <c:pt idx="5">
                  <c:v>747.6</c:v>
                </c:pt>
              </c:numCache>
            </c:numRef>
          </c:val>
        </c:ser>
        <c:ser>
          <c:idx val="1"/>
          <c:order val="1"/>
          <c:tx>
            <c:strRef>
              <c:f>Hoja1!$C$1</c:f>
              <c:strCache>
                <c:ptCount val="1"/>
                <c:pt idx="0">
                  <c:v>Metabolismo</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126.1</c:v>
                </c:pt>
                <c:pt idx="1">
                  <c:v>159.9</c:v>
                </c:pt>
                <c:pt idx="2">
                  <c:v>244.7</c:v>
                </c:pt>
                <c:pt idx="3">
                  <c:v>376.8</c:v>
                </c:pt>
                <c:pt idx="4">
                  <c:v>457.5</c:v>
                </c:pt>
                <c:pt idx="5">
                  <c:v>745</c:v>
                </c:pt>
              </c:numCache>
            </c:numRef>
          </c:val>
        </c:ser>
        <c:ser>
          <c:idx val="2"/>
          <c:order val="2"/>
          <c:tx>
            <c:strRef>
              <c:f>Hoja1!$D$1</c:f>
              <c:strCache>
                <c:ptCount val="1"/>
                <c:pt idx="0">
                  <c:v>Sistema nervioso central</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88.4</c:v>
                </c:pt>
                <c:pt idx="1">
                  <c:v>121.5</c:v>
                </c:pt>
                <c:pt idx="2">
                  <c:v>157.9</c:v>
                </c:pt>
                <c:pt idx="3">
                  <c:v>160.1</c:v>
                </c:pt>
                <c:pt idx="4">
                  <c:v>182</c:v>
                </c:pt>
                <c:pt idx="5">
                  <c:v>254.8</c:v>
                </c:pt>
              </c:numCache>
            </c:numRef>
          </c:val>
        </c:ser>
        <c:ser>
          <c:idx val="3"/>
          <c:order val="3"/>
          <c:tx>
            <c:strRef>
              <c:f>Hoja1!$E$1</c:f>
              <c:strCache>
                <c:ptCount val="1"/>
                <c:pt idx="0">
                  <c:v>Cardiología</c:v>
                </c:pt>
              </c:strCache>
            </c:strRef>
          </c:tx>
          <c:spPr>
            <a:solidFill>
              <a:srgbClr val="EDA100"/>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95.2</c:v>
                </c:pt>
                <c:pt idx="1">
                  <c:v>119.7</c:v>
                </c:pt>
                <c:pt idx="2">
                  <c:v>174.6</c:v>
                </c:pt>
                <c:pt idx="3">
                  <c:v>193.7</c:v>
                </c:pt>
                <c:pt idx="4">
                  <c:v>230.5</c:v>
                </c:pt>
                <c:pt idx="5">
                  <c:v>239.4</c:v>
                </c:pt>
              </c:numCache>
            </c:numRef>
          </c:val>
        </c:ser>
        <c:ser>
          <c:idx val="4"/>
          <c:order val="4"/>
          <c:tx>
            <c:strRef>
              <c:f>Hoja1!$F$1</c:f>
              <c:strCache>
                <c:ptCount val="1"/>
                <c:pt idx="0">
                  <c:v>Antivirales y antiinfecciosos (AVAI)</c:v>
                </c:pt>
              </c:strCache>
            </c:strRef>
          </c:tx>
          <c:spPr>
            <a:solidFill>
              <a:srgbClr val="E87BA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Hoja1!$F$2:$F$7</c:f>
              <c:numCache>
                <c:formatCode>#,##0</c:formatCode>
                <c:ptCount val="6"/>
                <c:pt idx="0">
                  <c:v>103.3</c:v>
                </c:pt>
                <c:pt idx="1">
                  <c:v>111</c:v>
                </c:pt>
                <c:pt idx="2">
                  <c:v>118</c:v>
                </c:pt>
                <c:pt idx="3">
                  <c:v>163.3</c:v>
                </c:pt>
                <c:pt idx="4">
                  <c:v>156.5</c:v>
                </c:pt>
                <c:pt idx="5">
                  <c:v>134.9</c:v>
                </c:pt>
              </c:numCache>
            </c:numRef>
          </c:val>
        </c:ser>
        <c:ser>
          <c:idx val="5"/>
          <c:order val="5"/>
          <c:tx>
            <c:strRef>
              <c:f>Hoja1!$G$1</c:f>
              <c:strCache>
                <c:ptCount val="1"/>
                <c:pt idx="0">
                  <c:v>Otros</c:v>
                </c:pt>
              </c:strCache>
            </c:strRef>
          </c:tx>
          <c:spPr>
            <a:solidFill>
              <a:srgbClr val="008300"/>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Hoja1!$G$2:$G$7</c:f>
              <c:numCache>
                <c:formatCode>#,##0</c:formatCode>
                <c:ptCount val="6"/>
                <c:pt idx="0">
                  <c:v>215.4</c:v>
                </c:pt>
                <c:pt idx="1">
                  <c:v>267.4</c:v>
                </c:pt>
                <c:pt idx="2">
                  <c:v>296.9</c:v>
                </c:pt>
                <c:pt idx="3">
                  <c:v>404.8</c:v>
                </c:pt>
                <c:pt idx="4">
                  <c:v>431.4</c:v>
                </c:pt>
                <c:pt idx="5">
                  <c:v>408.5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Oncología</c:v>
                </c:pt>
                <c:pt idx="1">
                  <c:v>Metabolismo</c:v>
                </c:pt>
                <c:pt idx="2">
                  <c:v>Sistema nervioso central</c:v>
                </c:pt>
                <c:pt idx="3">
                  <c:v>Cardiología</c:v>
                </c:pt>
                <c:pt idx="4">
                  <c:v>Antivirales y antiinfecciosos (AVAI)</c:v>
                </c:pt>
                <c:pt idx="5">
                  <c:v>Otros</c:v>
                </c:pt>
              </c:strCache>
            </c:strRef>
          </c:cat>
          <c:val>
            <c:numRef>
              <c:f>Hoja1!$B$2:$B$7</c:f>
              <c:numCache>
                <c:formatCode>General</c:formatCode>
                <c:ptCount val="6"/>
                <c:pt idx="0">
                  <c:v>29.5</c:v>
                </c:pt>
                <c:pt idx="1">
                  <c:v>29.4</c:v>
                </c:pt>
                <c:pt idx="2">
                  <c:v>10.1</c:v>
                </c:pt>
                <c:pt idx="3">
                  <c:v>9.5</c:v>
                </c:pt>
                <c:pt idx="4">
                  <c:v>5.3</c:v>
                </c:pt>
                <c:pt idx="5">
                  <c:v>16.1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Resto del mundo</c:v>
                </c:pt>
              </c:strCache>
            </c:strRef>
          </c:cat>
          <c:val>
            <c:numRef>
              <c:f>Hoja1!$B$2:$B$3</c:f>
              <c:numCache>
                <c:formatCode>0"%"</c:formatCode>
                <c:ptCount val="2"/>
                <c:pt idx="0">
                  <c:v>99</c:v>
                </c:pt>
                <c:pt idx="1">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de gasto biofarmacéutico mundial en desarrollo de fármacos (estimación de IQVIA))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130000</c:v>
                </c:pt>
                <c:pt idx="1">
                  <c:v>150000</c:v>
                </c:pt>
                <c:pt idx="2">
                  <c:v>160000</c:v>
                </c:pt>
                <c:pt idx="3">
                  <c:v>184000</c:v>
                </c:pt>
                <c:pt idx="4">
                  <c:v>194000</c:v>
                </c:pt>
                <c:pt idx="5">
                  <c:v>199000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Medpace</c:v>
                </c:pt>
                <c:pt idx="1">
                  <c:v>IQVIA (Research &amp; Development Solutions)</c:v>
                </c:pt>
                <c:pt idx="2">
                  <c:v>ICON</c:v>
                </c:pt>
                <c:pt idx="3">
                  <c:v>Thermo Fisher (PPD, investigación clínica)</c:v>
                </c:pt>
                <c:pt idx="4">
                  <c:v>Syneos Health</c:v>
                </c:pt>
                <c:pt idx="5">
                  <c:v>Fortrea</c:v>
                </c:pt>
                <c:pt idx="6">
                  <c:v>Charles River Laboratories</c:v>
                </c:pt>
              </c:strCache>
            </c:strRef>
          </c:cat>
          <c:val>
            <c:numRef>
              <c:f>Hoja1!$B$2:$B$8</c:f>
              <c:numCache>
                <c:formatCode>0.0"%"</c:formatCode>
                <c:ptCount val="7"/>
                <c:pt idx="0">
                  <c:v>21.1</c:v>
                </c:pt>
                <c:pt idx="1">
                  <c:v>13.4</c:v>
                </c:pt>
                <c:pt idx="2">
                  <c:v>5.4</c:v>
                </c:pt>
                <c:pt idx="3">
                  <c:v>14</c:v>
                </c:pt>
                <c:pt idx="4">
                  <c:v>7.5</c:v>
                </c:pt>
                <c:pt idx="5">
                  <c:v>-32</c:v>
                </c:pt>
                <c:pt idx="6">
                  <c:v>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2</c:v>
                </c:pt>
                <c:pt idx="3">
                  <c:v>4</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Hoja1!$B$2:$B$19</c:f>
              <c:numCache>
                <c:formatCode>#,##0</c:formatCode>
                <c:ptCount val="18"/>
                <c:pt idx="0">
                  <c:v>704.6</c:v>
                </c:pt>
                <c:pt idx="1">
                  <c:v>861</c:v>
                </c:pt>
                <c:pt idx="2">
                  <c:v>925.9</c:v>
                </c:pt>
                <c:pt idx="3">
                  <c:v>1142.4</c:v>
                </c:pt>
                <c:pt idx="4">
                  <c:v>1460</c:v>
                </c:pt>
                <c:pt idx="5">
                  <c:v>1885.8</c:v>
                </c:pt>
                <c:pt idx="6">
                  <c:v>2109.1</c:v>
                </c:pt>
                <c:pt idx="7">
                  <c:v>2530.2</c:v>
                </c:pt>
                <c:pt idx="8">
                  <c:v>2849</c:v>
                </c:pt>
                <c:pt idx="9">
                  <c:v>3048</c:v>
                </c:pt>
                <c:pt idx="10">
                  <c:v>3338</c:v>
                </c:pt>
                <c:pt idx="11">
                  <c:v>3638</c:v>
                </c:pt>
                <c:pt idx="12">
                  <c:v>3948</c:v>
                </c:pt>
                <c:pt idx="13">
                  <c:v>4264</c:v>
                </c:pt>
                <c:pt idx="14">
                  <c:v>4583</c:v>
                </c:pt>
                <c:pt idx="15">
                  <c:v>4881</c:v>
                </c:pt>
                <c:pt idx="16">
                  <c:v>5150</c:v>
                </c:pt>
                <c:pt idx="17">
                  <c:v>5381</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Hoja1!$C$2:$C$19</c:f>
              <c:numCache>
                <c:formatCode>#,##0</c:formatCode>
                <c:ptCount val="18"/>
                <c:pt idx="0">
                  <c:v>139.8</c:v>
                </c:pt>
                <c:pt idx="1">
                  <c:v>150.5</c:v>
                </c:pt>
                <c:pt idx="2">
                  <c:v>186.6</c:v>
                </c:pt>
                <c:pt idx="3">
                  <c:v>219.7</c:v>
                </c:pt>
                <c:pt idx="4">
                  <c:v>301.1</c:v>
                </c:pt>
                <c:pt idx="5">
                  <c:v>363.2</c:v>
                </c:pt>
                <c:pt idx="6">
                  <c:v>476.1</c:v>
                </c:pt>
                <c:pt idx="7">
                  <c:v>563.1</c:v>
                </c:pt>
                <c:pt idx="8">
                  <c:v>627</c:v>
                </c:pt>
                <c:pt idx="9">
                  <c:v>677</c:v>
                </c:pt>
                <c:pt idx="10">
                  <c:v>748</c:v>
                </c:pt>
                <c:pt idx="11">
                  <c:v>822</c:v>
                </c:pt>
                <c:pt idx="12">
                  <c:v>900</c:v>
                </c:pt>
                <c:pt idx="13">
                  <c:v>981</c:v>
                </c:pt>
                <c:pt idx="14">
                  <c:v>1054</c:v>
                </c:pt>
                <c:pt idx="15">
                  <c:v>1123</c:v>
                </c:pt>
                <c:pt idx="16">
                  <c:v>1184</c:v>
                </c:pt>
                <c:pt idx="17">
                  <c:v>1238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30.6</c:v>
                </c:pt>
                <c:pt idx="1">
                  <c:v>28.5</c:v>
                </c:pt>
                <c:pt idx="2">
                  <c:v>30.1</c:v>
                </c:pt>
                <c:pt idx="3">
                  <c:v>28.7</c:v>
                </c:pt>
                <c:pt idx="4">
                  <c:v>29.6</c:v>
                </c:pt>
                <c:pt idx="5">
                  <c:v>27.8</c:v>
                </c:pt>
                <c:pt idx="6">
                  <c:v>31.1</c:v>
                </c:pt>
                <c:pt idx="7">
                  <c:v>30.1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19.8</c:v>
                </c:pt>
                <c:pt idx="1">
                  <c:v>17.5</c:v>
                </c:pt>
                <c:pt idx="2">
                  <c:v>20.2</c:v>
                </c:pt>
                <c:pt idx="3">
                  <c:v>19.2</c:v>
                </c:pt>
                <c:pt idx="4">
                  <c:v>20.6</c:v>
                </c:pt>
                <c:pt idx="5">
                  <c:v>19.3</c:v>
                </c:pt>
                <c:pt idx="6">
                  <c:v>22.6</c:v>
                </c:pt>
                <c:pt idx="7">
                  <c:v>22.3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14.3</c:v>
                </c:pt>
                <c:pt idx="1">
                  <c:v>14.8</c:v>
                </c:pt>
                <c:pt idx="2">
                  <c:v>18</c:v>
                </c:pt>
                <c:pt idx="3">
                  <c:v>17.4</c:v>
                </c:pt>
                <c:pt idx="4">
                  <c:v>19.1</c:v>
                </c:pt>
                <c:pt idx="5">
                  <c:v>17.9</c:v>
                </c:pt>
                <c:pt idx="6">
                  <c:v>21.2</c:v>
                </c:pt>
                <c:pt idx="7">
                  <c:v>21.1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10.4</c:v>
                </c:pt>
                <c:pt idx="1">
                  <c:v>11.7</c:v>
                </c:pt>
                <c:pt idx="2">
                  <c:v>15.7</c:v>
                </c:pt>
                <c:pt idx="3">
                  <c:v>15.9</c:v>
                </c:pt>
                <c:pt idx="4">
                  <c:v>16.8</c:v>
                </c:pt>
                <c:pt idx="5">
                  <c:v>15</c:v>
                </c:pt>
                <c:pt idx="6">
                  <c:v>19.2</c:v>
                </c:pt>
                <c:pt idx="7">
                  <c:v>17.8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8.3</c:v>
                </c:pt>
                <c:pt idx="1">
                  <c:v>7.7</c:v>
                </c:pt>
                <c:pt idx="2">
                  <c:v>9.3</c:v>
                </c:pt>
                <c:pt idx="3">
                  <c:v>14.2</c:v>
                </c:pt>
                <c:pt idx="4">
                  <c:v>23.7</c:v>
                </c:pt>
                <c:pt idx="5">
                  <c:v>32</c:v>
                </c:pt>
                <c:pt idx="6">
                  <c:v>26.5</c:v>
                </c:pt>
                <c:pt idx="7">
                  <c:v>17.2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6">
                  <c:v>25.8</c:v>
                </c:pt>
                <c:pt idx="7">
                  <c:v>17.2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44</c:v>
                </c:pt>
                <c:pt idx="1">
                  <c:v>54</c:v>
                </c:pt>
                <c:pt idx="2">
                  <c:v>54</c:v>
                </c:pt>
                <c:pt idx="3">
                  <c:v>48</c:v>
                </c:pt>
                <c:pt idx="4">
                  <c:v>53</c:v>
                </c:pt>
                <c:pt idx="5">
                  <c:v>53</c:v>
                </c:pt>
                <c:pt idx="6">
                  <c:v>50</c:v>
                </c:pt>
                <c:pt idx="7">
                  <c:v>54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12</c:v>
                </c:pt>
                <c:pt idx="1">
                  <c:v>13</c:v>
                </c:pt>
                <c:pt idx="2">
                  <c:v>15</c:v>
                </c:pt>
                <c:pt idx="3">
                  <c:v>12</c:v>
                </c:pt>
                <c:pt idx="4">
                  <c:v>12</c:v>
                </c:pt>
                <c:pt idx="5">
                  <c:v>9</c:v>
                </c:pt>
                <c:pt idx="6">
                  <c:v>8</c:v>
                </c:pt>
                <c:pt idx="7">
                  <c:v>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138.7</c:v>
                </c:pt>
                <c:pt idx="1">
                  <c:v>184</c:v>
                </c:pt>
                <c:pt idx="2">
                  <c:v>227.39999999999998</c:v>
                </c:pt>
                <c:pt idx="3">
                  <c:v>235</c:v>
                </c:pt>
                <c:pt idx="4">
                  <c:v>351.20000000000005</c:v>
                </c:pt>
                <c:pt idx="5">
                  <c:v>396.79999999999995</c:v>
                </c:pt>
                <c:pt idx="6">
                  <c:v>572.3</c:v>
                </c:pt>
                <c:pt idx="7">
                  <c:v>681.8000000000001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73.2</c:v>
                </c:pt>
                <c:pt idx="1">
                  <c:v>100.4</c:v>
                </c:pt>
                <c:pt idx="2">
                  <c:v>145.4</c:v>
                </c:pt>
                <c:pt idx="3">
                  <c:v>181.8</c:v>
                </c:pt>
                <c:pt idx="4">
                  <c:v>245.4</c:v>
                </c:pt>
                <c:pt idx="5">
                  <c:v>282.8</c:v>
                </c:pt>
                <c:pt idx="6">
                  <c:v>404.4</c:v>
                </c:pt>
                <c:pt idx="7">
                  <c:v>451.1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11.6</c:v>
                </c:pt>
                <c:pt idx="1">
                  <c:v>16.1</c:v>
                </c:pt>
                <c:pt idx="2">
                  <c:v>25.7</c:v>
                </c:pt>
                <c:pt idx="3">
                  <c:v>35.1</c:v>
                </c:pt>
                <c:pt idx="4">
                  <c:v>53.7</c:v>
                </c:pt>
                <c:pt idx="5">
                  <c:v>78.6</c:v>
                </c:pt>
                <c:pt idx="6">
                  <c:v>161.7</c:v>
                </c:pt>
                <c:pt idx="7">
                  <c:v>752.7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11.2</c:v>
                </c:pt>
                <c:pt idx="1">
                  <c:v>11.2</c:v>
                </c:pt>
                <c:pt idx="2">
                  <c:v>11.2</c:v>
                </c:pt>
                <c:pt idx="3">
                  <c:v>11.2</c:v>
                </c:pt>
                <c:pt idx="4">
                  <c:v>11.2</c:v>
                </c:pt>
                <c:pt idx="5">
                  <c:v>11.2</c:v>
                </c:pt>
                <c:pt idx="6">
                  <c:v>11.2</c:v>
                </c:pt>
                <c:pt idx="7">
                  <c:v>11.2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12.2</c:v>
                </c:pt>
                <c:pt idx="1">
                  <c:v>15.2</c:v>
                </c:pt>
                <c:pt idx="2">
                  <c:v>19</c:v>
                </c:pt>
                <c:pt idx="3">
                  <c:v>20.7</c:v>
                </c:pt>
                <c:pt idx="4">
                  <c:v>36.6</c:v>
                </c:pt>
                <c:pt idx="5">
                  <c:v>59.8</c:v>
                </c:pt>
                <c:pt idx="6">
                  <c:v>58.4</c:v>
                </c:pt>
                <c:pt idx="7">
                  <c:v>70.2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0.58</c:v>
                </c:pt>
                <c:pt idx="1">
                  <c:v>-0.88</c:v>
                </c:pt>
                <c:pt idx="2">
                  <c:v>-1.49</c:v>
                </c:pt>
                <c:pt idx="3">
                  <c:v>-2.1</c:v>
                </c:pt>
                <c:pt idx="4">
                  <c:v>0.07</c:v>
                </c:pt>
                <c:pt idx="5">
                  <c:v>-0.68</c:v>
                </c:pt>
                <c:pt idx="6">
                  <c:v>-1.41</c:v>
                </c:pt>
                <c:pt idx="7">
                  <c:v>-0.88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0</c:v>
                </c:pt>
                <c:pt idx="1">
                  <c:v>0</c:v>
                </c:pt>
                <c:pt idx="2">
                  <c:v>0</c:v>
                </c:pt>
                <c:pt idx="3">
                  <c:v>0</c:v>
                </c:pt>
                <c:pt idx="4">
                  <c:v>0</c:v>
                </c:pt>
                <c:pt idx="5">
                  <c:v>0</c:v>
                </c:pt>
                <c:pt idx="6">
                  <c:v>0</c:v>
                </c:pt>
                <c:pt idx="7">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0</c:v>
                </c:pt>
                <c:pt idx="1">
                  <c:v>0</c:v>
                </c:pt>
                <c:pt idx="2">
                  <c:v>98.3</c:v>
                </c:pt>
                <c:pt idx="3">
                  <c:v>62.1</c:v>
                </c:pt>
                <c:pt idx="4">
                  <c:v>847.8</c:v>
                </c:pt>
                <c:pt idx="5">
                  <c:v>144</c:v>
                </c:pt>
                <c:pt idx="6">
                  <c:v>169.9</c:v>
                </c:pt>
                <c:pt idx="7">
                  <c:v>917.4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August J. Troendle (directo, fideicomiso y Medpace Investors, LLC)</c:v>
                </c:pt>
                <c:pt idx="1">
                  <c:v>Medpace Investors, LLC (incluida en Troendle)</c:v>
                </c:pt>
                <c:pt idx="2">
                  <c:v>BlackRock, Inc.</c:v>
                </c:pt>
                <c:pt idx="3">
                  <c:v>T. Rowe Price Associates, Inc.</c:v>
                </c:pt>
                <c:pt idx="4">
                  <c:v>The Vanguard Group</c:v>
                </c:pt>
                <c:pt idx="5">
                  <c:v>Autocartera</c:v>
                </c:pt>
              </c:strCache>
            </c:strRef>
          </c:cat>
          <c:val>
            <c:numRef>
              <c:f>Hoja1!$B$2:$B$7</c:f>
              <c:numCache>
                <c:formatCode>0.0"%"</c:formatCode>
                <c:ptCount val="6"/>
                <c:pt idx="0">
                  <c:v>19.1</c:v>
                </c:pt>
                <c:pt idx="1">
                  <c:v>16.8</c:v>
                </c:pt>
                <c:pt idx="2">
                  <c:v>8.5</c:v>
                </c:pt>
                <c:pt idx="3">
                  <c:v>7.2</c:v>
                </c:pt>
                <c:pt idx="4">
                  <c:v>0</c:v>
                </c:pt>
                <c:pt idx="5">
                  <c:v>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0.5</c:v>
                </c:pt>
                <c:pt idx="1">
                  <c:v>46</c:v>
                </c:pt>
                <c:pt idx="2">
                  <c:v>58.8</c:v>
                </c:pt>
                <c:pt idx="3">
                  <c:v>65.6</c:v>
                </c:pt>
                <c:pt idx="4">
                  <c:v>56.4</c:v>
                </c:pt>
                <c:pt idx="5">
                  <c:v>-2.4</c:v>
                </c:pt>
                <c:pt idx="6">
                  <c:v>44.3</c:v>
                </c:pt>
                <c:pt idx="7">
                  <c:v>8.4</c:v>
                </c:pt>
                <c:pt idx="8">
                  <c:v>69.1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21.7</c:v>
                </c:pt>
                <c:pt idx="1">
                  <c:v>-4.6</c:v>
                </c:pt>
                <c:pt idx="2">
                  <c:v>31.2</c:v>
                </c:pt>
                <c:pt idx="3">
                  <c:v>18.3</c:v>
                </c:pt>
                <c:pt idx="4">
                  <c:v>28.7</c:v>
                </c:pt>
                <c:pt idx="5">
                  <c:v>-18.2</c:v>
                </c:pt>
                <c:pt idx="6">
                  <c:v>26.2</c:v>
                </c:pt>
                <c:pt idx="7">
                  <c:v>24.9</c:v>
                </c:pt>
                <c:pt idx="8">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2">
                  <c:v>14.5</c:v>
                </c:pt>
                <c:pt idx="3">
                  <c:v>20.1</c:v>
                </c:pt>
                <c:pt idx="4">
                  <c:v>26.6</c:v>
                </c:pt>
                <c:pt idx="5">
                  <c:v>35.2</c:v>
                </c:pt>
                <c:pt idx="6">
                  <c:v>23.8</c:v>
                </c:pt>
                <c:pt idx="7">
                  <c:v>26.2</c:v>
                </c:pt>
                <c:pt idx="8">
                  <c:v>20.9</c:v>
                </c:pt>
                <c:pt idx="9">
                  <c:v>28.5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25</c:v>
                </c:pt>
                <c:pt idx="1">
                  <c:v>25</c:v>
                </c:pt>
                <c:pt idx="2">
                  <c:v>25</c:v>
                </c:pt>
                <c:pt idx="3">
                  <c:v>25</c:v>
                </c:pt>
                <c:pt idx="4">
                  <c:v>25</c:v>
                </c:pt>
                <c:pt idx="5">
                  <c:v>25</c:v>
                </c:pt>
                <c:pt idx="6">
                  <c:v>25</c:v>
                </c:pt>
                <c:pt idx="7">
                  <c:v>25</c:v>
                </c:pt>
                <c:pt idx="8">
                  <c:v>25</c:v>
                </c:pt>
                <c:pt idx="9">
                  <c:v>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Medpace</c:v>
                </c:pt>
                <c:pt idx="1">
                  <c:v>IQVIA</c:v>
                </c:pt>
                <c:pt idx="2">
                  <c:v>ICON</c:v>
                </c:pt>
                <c:pt idx="3">
                  <c:v>Charles River Laboratories</c:v>
                </c:pt>
                <c:pt idx="4">
                  <c:v>Fortrea</c:v>
                </c:pt>
                <c:pt idx="5">
                  <c:v>Thermo Fisher Scientific</c:v>
                </c:pt>
                <c:pt idx="6">
                  <c:v>Labcorp</c:v>
                </c:pt>
              </c:strCache>
            </c:strRef>
          </c:cat>
          <c:val>
            <c:numRef>
              <c:f>Hoja1!$B$2:$B$8</c:f>
              <c:numCache>
                <c:formatCode>0.0"x"</c:formatCode>
                <c:ptCount val="7"/>
                <c:pt idx="0">
                  <c:v>25.5</c:v>
                </c:pt>
                <c:pt idx="1">
                  <c:v>13.4</c:v>
                </c:pt>
                <c:pt idx="2">
                  <c:v>10.9</c:v>
                </c:pt>
                <c:pt idx="3">
                  <c:v>15.9</c:v>
                </c:pt>
                <c:pt idx="4">
                  <c:v>12.4</c:v>
                </c:pt>
                <c:pt idx="5">
                  <c:v>21.3</c:v>
                </c:pt>
                <c:pt idx="6">
                  <c:v>11.9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Medpace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5.9</c:v>
                </c:pt>
              </c:numCache>
            </c:numRef>
          </c:xVal>
          <c:yVal>
            <c:numRef>
              <c:f>Hoja1!$C$2</c:f>
              <c:numCache>
                <c:formatCode>0.0"x"</c:formatCode>
                <c:ptCount val="1"/>
                <c:pt idx="0">
                  <c:v>25.5</c:v>
                </c:pt>
              </c:numCache>
            </c:numRef>
          </c:yVal>
          <c:smooth val="0"/>
        </c:ser>
        <c:ser>
          <c:idx val="1"/>
          <c:order val="1"/>
          <c:tx>
            <c:strRef>
              <c:f>Hoja1!$A$3</c:f>
              <c:strCache>
                <c:ptCount val="1"/>
                <c:pt idx="0">
                  <c:v>IQVIA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5.8</c:v>
                </c:pt>
              </c:numCache>
            </c:numRef>
          </c:xVal>
          <c:yVal>
            <c:numRef>
              <c:f>Hoja1!$C$3</c:f>
              <c:numCache>
                <c:formatCode>0.0"x"</c:formatCode>
                <c:ptCount val="1"/>
                <c:pt idx="0">
                  <c:v>13.4</c:v>
                </c:pt>
              </c:numCache>
            </c:numRef>
          </c:yVal>
          <c:smooth val="0"/>
        </c:ser>
        <c:ser>
          <c:idx val="2"/>
          <c:order val="2"/>
          <c:tx>
            <c:strRef>
              <c:f>Hoja1!$A$4</c:f>
              <c:strCache>
                <c:ptCount val="1"/>
                <c:pt idx="0">
                  <c:v>ICON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0.9</c:v>
                </c:pt>
              </c:numCache>
            </c:numRef>
          </c:xVal>
          <c:yVal>
            <c:numRef>
              <c:f>Hoja1!$C$4</c:f>
              <c:numCache>
                <c:formatCode>0.0"x"</c:formatCode>
                <c:ptCount val="1"/>
                <c:pt idx="0">
                  <c:v>10.9</c:v>
                </c:pt>
              </c:numCache>
            </c:numRef>
          </c:yVal>
          <c:smooth val="0"/>
        </c:ser>
        <c:ser>
          <c:idx val="3"/>
          <c:order val="3"/>
          <c:tx>
            <c:strRef>
              <c:f>Hoja1!$A$5</c:f>
              <c:strCache>
                <c:ptCount val="1"/>
                <c:pt idx="0">
                  <c:v>Charles River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-0.1</c:v>
                </c:pt>
              </c:numCache>
            </c:numRef>
          </c:xVal>
          <c:yVal>
            <c:numRef>
              <c:f>Hoja1!$C$5</c:f>
              <c:numCache>
                <c:formatCode>0.0"x"</c:formatCode>
                <c:ptCount val="1"/>
                <c:pt idx="0">
                  <c:v>15.9</c:v>
                </c:pt>
              </c:numCache>
            </c:numRef>
          </c:yVal>
          <c:smooth val="0"/>
        </c:ser>
        <c:ser>
          <c:idx val="4"/>
          <c:order val="4"/>
          <c:tx>
            <c:strRef>
              <c:f>Hoja1!$A$6</c:f>
              <c:strCache>
                <c:ptCount val="1"/>
                <c:pt idx="0">
                  <c:v>Fortrea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1.6</c:v>
                </c:pt>
              </c:numCache>
            </c:numRef>
          </c:xVal>
          <c:yVal>
            <c:numRef>
              <c:f>Hoja1!$C$6</c:f>
              <c:numCache>
                <c:formatCode>0.0"x"</c:formatCode>
                <c:ptCount val="1"/>
                <c:pt idx="0">
                  <c:v>12.4</c:v>
                </c:pt>
              </c:numCache>
            </c:numRef>
          </c:yVal>
          <c:smooth val="0"/>
        </c:ser>
        <c:ser>
          <c:idx val="5"/>
          <c:order val="5"/>
          <c:tx>
            <c:strRef>
              <c:f>Hoja1!$A$7</c:f>
              <c:strCache>
                <c:ptCount val="1"/>
                <c:pt idx="0">
                  <c:v>Thermo Fisher Scientific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5.9</c:v>
                </c:pt>
              </c:numCache>
            </c:numRef>
          </c:xVal>
          <c:yVal>
            <c:numRef>
              <c:f>Hoja1!$C$7</c:f>
              <c:numCache>
                <c:formatCode>0.0"x"</c:formatCode>
                <c:ptCount val="1"/>
                <c:pt idx="0">
                  <c:v>21.3</c:v>
                </c:pt>
              </c:numCache>
            </c:numRef>
          </c:yVal>
          <c:smooth val="0"/>
        </c:ser>
        <c:ser>
          <c:idx val="6"/>
          <c:order val="6"/>
          <c:tx>
            <c:strRef>
              <c:f>Hoja1!$A$8</c:f>
              <c:strCache>
                <c:ptCount val="1"/>
                <c:pt idx="0">
                  <c:v>Labcorp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5.3</c:v>
                </c:pt>
              </c:numCache>
            </c:numRef>
          </c:xVal>
          <c:yVal>
            <c:numRef>
              <c:f>Hoja1!$C$8</c:f>
              <c:numCache>
                <c:formatCode>0.0"x"</c:formatCode>
                <c:ptCount val="1"/>
                <c:pt idx="0">
                  <c:v>11.9</c:v>
                </c:pt>
              </c:numCache>
            </c:numRef>
          </c:yVal>
          <c:smooth val="0"/>
        </c:ser>
        <c:axId val="10"/>
        <c:axId val="20"/>
      </c:scatterChart>
      <c:valAx>
        <c:axId val="10"/>
        <c:scaling>
          <c:orientation val="minMax"/>
          <c:max val="8"/>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Clario (datos y tecnología de ensayos clínicos)</c:v>
                </c:pt>
                <c:pt idx="1">
                  <c:v>Syneos Health</c:v>
                </c:pt>
                <c:pt idx="2">
                  <c:v>Clinigen Group</c:v>
                </c:pt>
                <c:pt idx="3">
                  <c:v>UDG Healthcare</c:v>
                </c:pt>
                <c:pt idx="4">
                  <c:v>PPD</c:v>
                </c:pt>
                <c:pt idx="5">
                  <c:v>PRA Health Sciences</c:v>
                </c:pt>
                <c:pt idx="6">
                  <c:v>Huntsworth</c:v>
                </c:pt>
              </c:strCache>
            </c:strRef>
          </c:cat>
          <c:val>
            <c:numRef>
              <c:f>Hoja1!$B$2:$B$8</c:f>
              <c:numCache>
                <c:formatCode>0.0"x"</c:formatCode>
                <c:ptCount val="7"/>
                <c:pt idx="1">
                  <c:v>9.7</c:v>
                </c:pt>
                <c:pt idx="2">
                  <c:v>13.3</c:v>
                </c:pt>
                <c:pt idx="3">
                  <c:v>17.6</c:v>
                </c:pt>
                <c:pt idx="4">
                  <c:v>23.4</c:v>
                </c:pt>
                <c:pt idx="5">
                  <c:v>24.4</c:v>
                </c:pt>
                <c:pt idx="6">
                  <c:v>10.4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506</c:v>
                </c:pt>
                <c:pt idx="1">
                  <c:v>521</c:v>
                </c:pt>
                <c:pt idx="2">
                  <c:v>595</c:v>
                </c:pt>
                <c:pt idx="3">
                  <c:v>654</c:v>
                </c:pt>
                <c:pt idx="4">
                  <c:v>713</c:v>
                </c:pt>
                <c:pt idx="5">
                  <c:v>773</c:v>
                </c:pt>
                <c:pt idx="6">
                  <c:v>831</c:v>
                </c:pt>
                <c:pt idx="7">
                  <c:v>878</c:v>
                </c:pt>
                <c:pt idx="8">
                  <c:v>918</c:v>
                </c:pt>
                <c:pt idx="9">
                  <c:v>956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4188</c:v>
                </c:pt>
                <c:pt idx="1">
                  <c:v>4501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612,05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212.93</c:v>
                </c:pt>
                <c:pt idx="1">
                  <c:v>321.96</c:v>
                </c:pt>
                <c:pt idx="2">
                  <c:v>450.17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612,05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(373,00 – 677,90)</c:v>
                </c:pt>
                <c:pt idx="1">
                  <c:v>Precio objetivo de los analistas (370,00 – 700,00)</c:v>
                </c:pt>
                <c:pt idx="2">
                  <c:v>Comparables: EV/EBITDA NTM (297,83 – 373,57)</c:v>
                </c:pt>
                <c:pt idx="3">
                  <c:v>Comparables: PER NTM (313,08 – 432,66)</c:v>
                </c:pt>
                <c:pt idx="4">
                  <c:v>Transacciones precedentes (EV/EBITDA) (255,77 – 487,51)</c:v>
                </c:pt>
                <c:pt idx="5">
                  <c:v>DCF (WACC y g ± 0,5) (295,65 – 355,29)</c:v>
                </c:pt>
                <c:pt idx="6">
                  <c:v>Escenarios (bajista – alcista) (212,93 – 450,17)</c:v>
                </c:pt>
                <c:pt idx="7">
                  <c:v>DCF con la prima implícita del mercado (4,2 %)</c:v>
                </c:pt>
                <c:pt idx="8">
                  <c:v>Precio actual (612,05)</c:v>
                </c:pt>
              </c:strCache>
            </c:strRef>
          </c:cat>
          <c:val>
            <c:numRef>
              <c:f>Hoja1!$B$2:$B$10</c:f>
              <c:numCache>
                <c:formatCode>#,##0</c:formatCode>
                <c:ptCount val="9"/>
                <c:pt idx="0">
                  <c:v>373</c:v>
                </c:pt>
                <c:pt idx="1">
                  <c:v>370</c:v>
                </c:pt>
                <c:pt idx="2">
                  <c:v>297.83</c:v>
                </c:pt>
                <c:pt idx="3">
                  <c:v>313.08</c:v>
                </c:pt>
                <c:pt idx="4">
                  <c:v>255.77</c:v>
                </c:pt>
                <c:pt idx="5">
                  <c:v>295.65</c:v>
                </c:pt>
                <c:pt idx="6">
                  <c:v>212.93</c:v>
                </c:pt>
                <c:pt idx="7">
                  <c:v>361.33</c:v>
                </c:pt>
                <c:pt idx="8">
                  <c:v>608.99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(373,00 – 677,90)</c:v>
                </c:pt>
                <c:pt idx="1">
                  <c:v>Precio objetivo de los analistas (370,00 – 700,00)</c:v>
                </c:pt>
                <c:pt idx="2">
                  <c:v>Comparables: EV/EBITDA NTM (297,83 – 373,57)</c:v>
                </c:pt>
                <c:pt idx="3">
                  <c:v>Comparables: PER NTM (313,08 – 432,66)</c:v>
                </c:pt>
                <c:pt idx="4">
                  <c:v>Transacciones precedentes (EV/EBITDA) (255,77 – 487,51)</c:v>
                </c:pt>
                <c:pt idx="5">
                  <c:v>DCF (WACC y g ± 0,5) (295,65 – 355,29)</c:v>
                </c:pt>
                <c:pt idx="6">
                  <c:v>Escenarios (bajista – alcista) (212,93 – 450,17)</c:v>
                </c:pt>
                <c:pt idx="7">
                  <c:v>DCF con la prima implícita del mercado (4,2 %)</c:v>
                </c:pt>
                <c:pt idx="8">
                  <c:v>Precio actual (612,05)</c:v>
                </c:pt>
              </c:strCache>
            </c:strRef>
          </c:cat>
          <c:val>
            <c:numRef>
              <c:f>Hoja1!$C$2:$C$10</c:f>
              <c:numCache>
                <c:formatCode>#,##0</c:formatCode>
                <c:ptCount val="9"/>
                <c:pt idx="0">
                  <c:v>304.9</c:v>
                </c:pt>
                <c:pt idx="1">
                  <c:v>330</c:v>
                </c:pt>
                <c:pt idx="2">
                  <c:v>75.74000000000001</c:v>
                </c:pt>
                <c:pt idx="3">
                  <c:v>119.58000000000004</c:v>
                </c:pt>
                <c:pt idx="4">
                  <c:v>231.73999999999998</c:v>
                </c:pt>
                <c:pt idx="5">
                  <c:v>59.64000000000004</c:v>
                </c:pt>
                <c:pt idx="6">
                  <c:v>237.24</c:v>
                </c:pt>
                <c:pt idx="7">
                  <c:v>56.19999999999999</c:v>
                </c:pt>
                <c:pt idx="8">
                  <c:v>6.1200000000000045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