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Meta Platforms, Inc.</w:t>
      </w:r>
    </w:p>
    <w:p>
      <w:pPr>
        <w:spacing w:after="60"/>
        <w:rPr>
          <w:color w:val="52514E"/>
          <w:sz w:val="22"/>
          <w:szCs w:val="22"/>
        </w:rPr>
      </w:pPr>
      <w:r>
        <w:rPr>
          <w:color w:val="52514E"/>
          <w:sz w:val="22"/>
          <w:szCs w:val="22"/>
        </w:rPr>
        <w:t xml:space="preserve">META · Nasdaq Global Select · ISIN US30303M1027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718,67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633,96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-11,5 % (base +4,4 %)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529,62 USD · mercado 583,72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1.842.670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Meta Platforms,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META / US30303M1027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 Nasdaq-100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Medios y servicios interactivos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Menlo Park (California) · 2004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75.472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investor.atmeta.com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718,67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525,01 – 779,82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1.842.670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1.836.070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633,96 USD</w:t>
      </w:r>
      <w:r>
        <w:t xml:space="preserve"> frente a 718,67 · Rentabilidad a 12 meses </w:t>
      </w:r>
      <w:r>
        <w:rPr>
          <w:b/>
          <w:bCs/>
        </w:rPr>
        <w:t xml:space="preserve">-11,5 % (base +4,4 %)</w:t>
      </w:r>
      <w:r>
        <w:t xml:space="preserve"> · Valor intrínseco 529,62 USD · con la prima implícita del mercado: 583,72 (-18,8 %) · Alcista / bajista -18,4 % / -64,9 %</w:t>
      </w:r>
    </w:p>
    <w:p>
      <w:pPr>
        <w:spacing w:after="100"/>
      </w:pPr>
      <w:r>
        <w:rPr>
          <w:b/>
        </w:rPr>
        <w:t xml:space="preserve">La recomendación y por qué.</w:t>
      </w:r>
      <w:r>
        <w:t xml:space="preserve"> Mantener, con convicción media; no comprar a este precio. Con nuestro BPA y la regla común de múltiplos, el objetivo a 12 meses es de 670,71 USD frente a 718,67 USD del último cierre localizado (9 de octubre): −6,4 % con el dividendo, y +4,8 % en el caso base (751,29 USD). El valor intrínseco es menor aún: 529,62 USD (−26,3 %). El objetivo medio de los analistas (826,60 USD) queda un 9,1 % por encima de nuestro base y por debajo de nuestro alcista. La asimetría a 12 meses es pobre (0,34 veces): el bajista pierde un 54 % y el alcista gana un 18,8 %. La convicción es media porque la recomendación está lejos de los umbrales; subiría a Vender si la guía de capex de 2027 del 28 de octubre supera los 190.000 M sin aceleración de ingresos, y a Comprar por debajo de 529,62 USD.</w:t>
      </w:r>
    </w:p>
    <w:p>
      <w:pPr>
        <w:spacing w:after="100"/>
      </w:pPr>
      <w:r>
        <w:rPr>
          <w:b/>
        </w:rPr>
        <w:t xml:space="preserve">El negocio.</w:t>
      </w:r>
      <w:r>
        <w:t xml:space="preserve"> Meta es el mayor vendedor de publicidad digital del mundo en 2026 (26,8 % del mercado según eMarketer) [16], con 3.560 M de personas activas al día [3] y un ROIC del 35,7 % en 2025, 24,6 puntos por encima de nuestro WACC del 11,06 %. Los ingresos crecían un 28 % en el 2T26 [4]. La prueba de sostenibilidad da </w:t>
      </w:r>
      <w:r>
        <w:rPr>
          <w:b/>
        </w:rPr>
        <w:t xml:space="preserve">Sí</w:t>
      </w:r>
      <w:r>
        <w:t xml:space="preserve">: la reinversión financia un 16,3 % de crecimiento frente al 11,3 % que proyectamos, el capital nuevo rinde por debajo del ROIC incremental histórico (20,8 % frente a 22,6 %) y la cuota pasaría del 26,8 % al 29,3 %.</w:t>
      </w:r>
    </w:p>
    <w:p>
      <w:pPr>
        <w:spacing w:after="100"/>
      </w:pPr>
      <w:r>
        <w:rPr>
          <w:b/>
        </w:rPr>
        <w:t xml:space="preserve">Finanzas.</w:t>
      </w:r>
      <w:r>
        <w:t xml:space="preserve"> La caja es el problema. El capex con arrendamientos financieros pasó de 39.225 M en 2024 a 72.220 M en 2025, y la guía de 2026 es de 130.000-145.000 M; la caja libre del 2T26 fue de 784 M frente a 8.549 M un año antes [4, 10]. La caja neta cayó a unos 6.600 M tras emitir 55.000 M en bonos en doce meses [5, 12]. La amortización sube del 9 % a cerca del 18 % de las ventas, y por eso nuestro BPA de 2028e (31,70 USD) queda un 21 % por debajo del consenso.</w:t>
      </w:r>
    </w:p>
    <w:p>
      <w:pPr>
        <w:spacing w:after="100"/>
      </w:pPr>
      <w:r>
        <w:rPr>
          <w:b/>
        </w:rPr>
        <w:t xml:space="preserve">Equipo y gobierno.</w:t>
      </w:r>
      <w:r>
        <w:t xml:space="preserve"> Resta. Zuckerberg controla el 60,8 % del voto con el 13,5 % del capital [28, 29]; la propuesta de una acción, un voto sacó en torno al 26 % y ninguna propuesta de accionistas prosperó. La guía de capex de 2026 se ha subido tres veces.</w:t>
      </w:r>
    </w:p>
    <w:p>
      <w:pPr>
        <w:spacing w:after="100"/>
      </w:pPr>
      <w:r>
        <w:rPr>
          <w:b/>
        </w:rPr>
        <w:t xml:space="preserve">Valoración.</w:t>
      </w:r>
      <w:r>
        <w:t xml:space="preserve"> El DCF da 434,41 USD (512,38 USD con la prima implícita del mercado); los comparables por PER, 759,21 USD; la síntesis, 529,62 USD. El DCF inverso pide un crecimiento del 16,5 % anual en 2027-2035 frente al 9,8 % de nuestro base, y la rentabilidad implícita en el precio es del 8,5 %, por debajo del 10,1 % que pide el mercado.</w:t>
      </w:r>
    </w:p>
    <w:p>
      <w:pPr>
        <w:spacing w:after="100"/>
      </w:pPr>
      <w:r>
        <w:rPr>
          <w:b/>
        </w:rPr>
        <w:t xml:space="preserve">Riesgos y catalizadores.</w:t>
      </w:r>
      <w:r>
        <w:t xml:space="preserve"> El mayor riesgo es una capacidad sobredimensionada: si la IA no monetiza y la publicidad se frena como en 2022, el bajista pierde un 54 % a 12 meses. El segundo, la regulación de menores (2.400 M de cargos legales en el 2T26) [4]. Catalizadores: resultados del 3T26 el 28 de octubre, con la primera cifra de inversión de 2027, y la guía formal en enero. Los foros están eufóricos tras la mejor subida mensual desde 2013 con Muse [20], por delante de unos ingresos que BofA no espera antes de 2028 [22].</w:t>
      </w:r>
    </w:p>
    <w:p>
      <w:pPr>
        <w:spacing w:after="100"/>
      </w:pPr>
      <w:r>
        <w:rPr>
          <w:b/>
        </w:rPr>
        <w:t xml:space="preserve">Qué cambiaría la decisión.</w:t>
      </w:r>
      <w:r>
        <w:t xml:space="preserve"> Compraríamos por debajo de 529,62 USD (ponderada a 12 meses ≥ 15 %, base ≥ 12 % y precio por debajo del valor intrínseco) y venderíamos por encima de 747,56 USD. Revisaríamos al alza con una inversión de 2027 por debajo de 160.000 M o ingresos medibles de Muse; a la baja, con un crecimiento trimestral por debajo del 15 %.</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633,96 USD</w:t>
      </w:r>
      <w:r>
        <w:t xml:space="preserve"> (rentabilidad -11,5 % (base +4,4 %)) · Valor intrínseco: 529,62 USD (-26,3 % sobre 718,67) · con la prima implícita del mercado: 583,72 (-18,8 %)</w:t>
      </w:r>
    </w:p>
    <w:p>
      <w:pPr>
        <w:spacing w:after="100"/>
      </w:pPr>
      <w:r>
        <w:t xml:space="preserve">Meta es la mayor máquina de publicidad del mundo: 200.966 M de ingresos en 2025, un margen operativo del 41 %, un ROIC del 35,7 % y 3.560 M de usuarios diarios que alimentan unos modelos de anuncios que suben el precio por anuncio un 12 % al año [2, 3]. Su foso (efectos de red y escala) es amplio y no se estrecha.</w:t>
      </w:r>
    </w:p>
    <w:p>
      <w:pPr>
        <w:spacing w:after="100"/>
      </w:pPr>
      <w:r>
        <w:t xml:space="preserve">El precio (718,67 USD) descuenta que la inversión masiva en IA (72.220 M en 2025, 130.000-145.000 M en 2026 y más en 2027) rendirá como la de la década pasada: el DCF inverso pide un crecimiento del 16,5 % anual hasta 2035, y a 12 meses el mercado paga 26 veces nuestro BPA de 2027e, por encima de la mediana de cinco años (23,7 veces).</w:t>
      </w:r>
    </w:p>
    <w:p>
      <w:pPr>
        <w:spacing w:after="100"/>
      </w:pPr>
      <w:r>
        <w:t xml:space="preserve">Para invertir hay que creer que Muse y la IA abrirán una segunda fuente de ingresos antes de que la amortización se coma el margen. Es posible, y por eso no vendemos, pero a este precio el inversor asume el riesgo de ejecución sin cobrar prima: nuestro base a 12 meses da +4,8 % y el valor intrínseco, −26,3 % [4, 22].</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633,96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23,63 = 191,40 · 23,6x × 31,70 = 748,12 · 23,6x × 35,94 = 848,18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 / 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826,60 (nuestro base -9,5 %)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529,62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 / -64,9 %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frente a 11,1 % y 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583,72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(11,3 % anual proyectado; financiable al ROIC actual: 16,3 %)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529,62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529,62 y 706,73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706,73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529,62 USD: pasaríamos a Comprar (ponderada a 12 meses ≥ 15 %, base ≥ 12 % y precio bajo el valor intrínseco).</w:t>
      </w:r>
    </w:p>
    <w:p>
      <w:pPr>
        <w:pStyle w:val="ListParagraph"/>
        <w:numPr>
          <w:ilvl w:val="0"/>
          <w:numId w:val="2"/>
        </w:numPr>
        <w:spacing w:after="60"/>
      </w:pPr>
      <w:r>
        <w:t xml:space="preserve">Precio por encima de 747,56 USD: pasaríamos a Vender (ponderada a 12 meses ≤ −10 %).</w:t>
      </w:r>
    </w:p>
    <w:p>
      <w:pPr>
        <w:pStyle w:val="ListParagraph"/>
        <w:numPr>
          <w:ilvl w:val="0"/>
          <w:numId w:val="2"/>
        </w:numPr>
        <w:spacing w:after="60"/>
      </w:pPr>
      <w:r>
        <w:t xml:space="preserve">Guía de capex de 2027 por encima de 190.000 M sin aceleración de ingresos: bajaríamos el BPA de 2028e y probablemente a Vender.</w:t>
      </w:r>
    </w:p>
    <w:p>
      <w:pPr>
        <w:pStyle w:val="ListParagraph"/>
        <w:numPr>
          <w:ilvl w:val="0"/>
          <w:numId w:val="2"/>
        </w:numPr>
        <w:spacing w:after="60"/>
      </w:pPr>
      <w:r>
        <w:t xml:space="preserve">Ingresos medibles de Muse (publicidad o suscripción) antes de mediados de 2027: subiríamos el caso alcista.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ciclo de inversión en IA se rentabiliza pronto: BPA de 34,56 USD en 2027 y de unos 40 USD en 2028, un PER de más de 25 veces y un objetivo medio de 826,60 USD, con 56 de 63 analistas en compra y ninguno en venta [33, 39].</w:t>
      </w:r>
    </w:p>
    <w:p>
      <w:pPr>
        <w:keepNext/>
        <w:spacing w:after="100"/>
      </w:pPr>
      <w:r>
        <w:rPr>
          <w:b/>
          <w:bCs/>
        </w:rPr>
        <w:t xml:space="preserve">Lo que creemos nosotros.</w:t>
      </w:r>
    </w:p>
    <w:p>
      <w:pPr>
        <w:spacing w:after="100"/>
      </w:pPr>
      <w:r>
        <w:t xml:space="preserve">La amortización de la inversión subirá al 16,5-18 % de las ventas y el gasto financiero crecerá con la deuda: BPA de 27,63 USD en 2027e y 31,70 USD en 2028e. El múltiplo debería bajar hacia la mediana histórica (23,7 veces), porque la empresa ha pasado de devolver caja a gastarla toda.</w:t>
      </w:r>
    </w:p>
    <w:p>
      <w:pPr>
        <w:keepNext/>
        <w:spacing w:after="100"/>
      </w:pPr>
      <w:r>
        <w:rPr>
          <w:b/>
          <w:bCs/>
        </w:rPr>
        <w:t xml:space="preserve">Por qué podemos tener razón.</w:t>
      </w:r>
    </w:p>
    <w:p>
      <w:pPr>
        <w:spacing w:after="100"/>
      </w:pPr>
      <w:r>
        <w:t xml:space="preserve">Los gastos de 2027 que suponemos (206.400 M) están entre el consenso (202.000 M) y Wells Fargo (210.000-215.000 M) [23], y la propia dirección admite que subestima sus necesidades de cómputo [15]: el riesgo de revisiones de BPA es a la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18,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Líder del mercado</w:t>
      </w:r>
      <w:r>
        <w:t xml:space="preserve">: 26,8 % de la publicidad digital mundial en 2026, por delante de Google [16].</w:t>
      </w:r>
    </w:p>
    <w:p>
      <w:pPr>
        <w:pStyle w:val="ListParagraph"/>
        <w:numPr>
          <w:ilvl w:val="0"/>
          <w:numId w:val="2"/>
        </w:numPr>
        <w:spacing w:after="60"/>
      </w:pPr>
      <w:r>
        <w:rPr>
          <w:b/>
        </w:rPr>
        <w:t xml:space="preserve">Crecimiento alto</w:t>
      </w:r>
      <w:r>
        <w:t xml:space="preserve">: ingresos +28 % en el 2T26 y +24,5 % previsto en 2026 [4].</w:t>
      </w:r>
    </w:p>
    <w:p>
      <w:pPr>
        <w:pStyle w:val="ListParagraph"/>
        <w:numPr>
          <w:ilvl w:val="0"/>
          <w:numId w:val="2"/>
        </w:numPr>
        <w:spacing w:after="60"/>
      </w:pPr>
      <w:r>
        <w:rPr>
          <w:b/>
        </w:rPr>
        <w:t xml:space="preserve">Rentabilidad sobre el capital</w:t>
      </w:r>
      <w:r>
        <w:t xml:space="preserve">: ROIC del 35,7 %, 24,6 puntos por encima del WACC.</w:t>
      </w:r>
    </w:p>
    <w:p>
      <w:pPr>
        <w:pStyle w:val="ListParagraph"/>
        <w:numPr>
          <w:ilvl w:val="0"/>
          <w:numId w:val="2"/>
        </w:numPr>
        <w:spacing w:after="60"/>
      </w:pPr>
      <w:r>
        <w:rPr>
          <w:b/>
        </w:rPr>
        <w:t xml:space="preserve">Opción Muse</w:t>
      </w:r>
      <w:r>
        <w:t xml:space="preserve">: el lanzamiento superó al de ChatGPT en descargas [21].</w:t>
      </w:r>
    </w:p>
    <w:p>
      <w:pPr>
        <w:pStyle w:val="ListParagraph"/>
        <w:numPr>
          <w:ilvl w:val="0"/>
          <w:numId w:val="2"/>
        </w:numPr>
        <w:spacing w:after="60"/>
      </w:pPr>
      <w:r>
        <w:rPr>
          <w:b/>
        </w:rPr>
        <w:t xml:space="preserve">Balance sólido</w:t>
      </w:r>
      <w:r>
        <w:t xml:space="preserve">: caja de 90.260 M frente a 83.660 M de deuda [4].</w:t>
      </w:r>
    </w:p>
    <w:p>
      <w:pPr>
        <w:pStyle w:val="Heading2"/>
      </w:pPr>
      <w:r>
        <w:t xml:space="preserve">En contra</w:t>
      </w:r>
    </w:p>
    <w:p>
      <w:pPr>
        <w:pStyle w:val="ListParagraph"/>
        <w:numPr>
          <w:ilvl w:val="0"/>
          <w:numId w:val="2"/>
        </w:numPr>
        <w:spacing w:after="60"/>
      </w:pPr>
      <w:r>
        <w:rPr>
          <w:b/>
        </w:rPr>
        <w:t xml:space="preserve">Caja libre casi nula</w:t>
      </w:r>
      <w:r>
        <w:t xml:space="preserve">: 784 M en el 2T26 frente a 8.549 M un año antes [10].</w:t>
      </w:r>
    </w:p>
    <w:p>
      <w:pPr>
        <w:pStyle w:val="ListParagraph"/>
        <w:numPr>
          <w:ilvl w:val="0"/>
          <w:numId w:val="2"/>
        </w:numPr>
        <w:spacing w:after="60"/>
      </w:pPr>
      <w:r>
        <w:rPr>
          <w:b/>
        </w:rPr>
        <w:t xml:space="preserve">Inversión sin techo</w:t>
      </w:r>
      <w:r>
        <w:t xml:space="preserve">: guía de capex de 2026 subida tres veces, hasta 130.000-145.000 M [4].</w:t>
      </w:r>
    </w:p>
    <w:p>
      <w:pPr>
        <w:pStyle w:val="ListParagraph"/>
        <w:numPr>
          <w:ilvl w:val="0"/>
          <w:numId w:val="2"/>
        </w:numPr>
        <w:spacing w:after="60"/>
      </w:pPr>
      <w:r>
        <w:rPr>
          <w:b/>
        </w:rPr>
        <w:t xml:space="preserve">Precio exigente</w:t>
      </w:r>
      <w:r>
        <w:t xml:space="preserve">: el DCF inverso pide un 16,5 % de crecimiento anual hasta 2035.</w:t>
      </w:r>
    </w:p>
    <w:p>
      <w:pPr>
        <w:pStyle w:val="ListParagraph"/>
        <w:numPr>
          <w:ilvl w:val="0"/>
          <w:numId w:val="2"/>
        </w:numPr>
        <w:spacing w:after="60"/>
      </w:pPr>
      <w:r>
        <w:rPr>
          <w:b/>
        </w:rPr>
        <w:t xml:space="preserve">Control del fundador</w:t>
      </w:r>
      <w:r>
        <w:t xml:space="preserve">: 60,8 % del voto con el 13,5 % del capital [29].</w:t>
      </w:r>
    </w:p>
    <w:p>
      <w:pPr>
        <w:pStyle w:val="ListParagraph"/>
        <w:numPr>
          <w:ilvl w:val="0"/>
          <w:numId w:val="2"/>
        </w:numPr>
        <w:spacing w:after="60"/>
      </w:pPr>
      <w:r>
        <w:rPr>
          <w:b/>
        </w:rPr>
        <w:t xml:space="preserve">Litigios por menores</w:t>
      </w:r>
      <w:r>
        <w:t xml:space="preserve">: 2.400 M de cargos legales en el 2T26 [4].</w:t>
      </w:r>
    </w:p>
    <w:p>
      <w:pPr>
        <w:pStyle w:val="Heading2"/>
      </w:pPr>
      <w:r>
        <w:t xml:space="preserve">Qué tiene que pasar para que la tesis funcione</w:t>
      </w:r>
    </w:p>
    <w:p>
      <w:pPr>
        <w:spacing w:after="100"/>
      </w:pPr>
      <w:r>
        <w:t xml:space="preserve">La tesis depende de que la inversión de 2027 no supere con mucho la de 2026 y de que los ingresos sigan creciendo por encima del 20 %. La señal de que no se cumple: una guía de capex de 2027 por encima de 190.000 M el 28 de octubre o en enero sin aceleración de los ingresos publicitarios, o un crecimiento trimestral por debajo del 15 %.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anual (con arrendamientos financieros)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130.000-145.000 M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190.000 M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Determina la amortización y la caja libre.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ingresos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caso base del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Obliga a más deuda y elimina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por anuncio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(1T26)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precios de la IA publicitaria.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Cargos legales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2.400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creciente de los litigios por menores.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27,1x / 21,4x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2004 en Harvard por Mark Zuckerberg como Facebook, salió a bolsa en el Nasdaq en mayo de 2012. Compró Instagram (2012), WhatsApp (2014) y Oculus (2014), que hoy forman la familia de apps y Reality Labs. En 2021 cambió su nombre a Meta Platforms para apostar por el metaverso; la caída de ingresos y de bolsa de 2022 llevó al «año de la eficiencia» de 2023, con despidos de unos 21.000 empleados. Desde 2024 paga dividendo. En 2025-2026 giró su inversión hacia la inteligencia artificial: centros de datos gigantes (Hyperion, Prometheus), el laboratorio de superinteligencia y, en septiembre de 2026, el asistente Muse, que impulsó la mejor subida mensual de la acción desde 2013 [20,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Facebook en Harvard.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y compra de Instagram.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WhatsApp y de Oculus.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Meta Platforms y apuesta por el metaverso (Reality Labs).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 caída de ingresos y desplome de la acción por el cambio de privacidad de Apple y el gasto en el metaverso.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dividendo de su historia.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Marzo: dos veredictos de jurado por daños a menores (Nuevo México y California) [18,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despidos y emisión de bonos de 25.000 M para financiar la inversión en 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Septiembre: lanzamiento de Muse y subida de la acción de en torno al 30-36 % en el mes [20, 21].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Meta tiene dos segmentos. Family of Apps (Facebook, Instagram, Messenger, WhatsApp, Threads y el asistente Meta AI, ahora Muse) reúne a 3.560 millones de personas activas cada día (marzo de 2026) [24] y genera casi todos los ingresos, sobre todo publicidad vendida por subasta a millones de anunciantes, desde pymes hasta grandes marcas, con fuerte peso del comercio electrónico y de los anunciantes chinos que venden fuera de China. Reality Labs vende gafas inteligentes (Ray-Ban Meta, Oakley Meta) y cascos Quest y pierde más de 17.000 M al año. La empresa invierte en infraestructura propia de IA: 72.220 M en 2025 y 130.000-145.000 M previstos en 2026.</w:t>
      </w:r>
    </w:p>
    <w:p>
      <w:pPr>
        <w:pStyle w:val="Heading2"/>
      </w:pPr>
      <w:r>
        <w:t xml:space="preserve">Cómo gana dinero</w:t>
      </w:r>
    </w:p>
    <w:p>
      <w:pPr>
        <w:spacing w:after="100"/>
      </w:pPr>
      <w:r>
        <w:t xml:space="preserve">Ingresos = impresiones de anuncios × precio por anuncio. En el 1T26 las impresiones crecieron un 19 % y el precio un 12 % [24]. Los modelos de recomendación con IA elevan el tiempo de uso (más impresiones) y la conversión (más precio). El gasto es en su mayoría fijo: personal (más de 75.000 empleados), centros de datos y amortización; por eso el apalancamiento operativo es alto en los años de crecimiento y doloroso cuando la amortización de la inversión en IA crece más deprisa que los ingresos, como en 2026. Hay estacionalidad: el cuarto trimestre es el más fuerte por las campañas navideñas. Casi nada es contractual: el anunciante puede cortar el gasto de un día para otro, como en 2022.</w:t>
      </w:r>
    </w:p>
    <w:p>
      <w:pPr>
        <w:pStyle w:val="Heading2"/>
      </w:pPr>
      <w:r>
        <w:t xml:space="preserve">Segmentos (2024)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8"/>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Family of Apps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162.355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Reality Labs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Family of Apps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162.355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Reality Labs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2.146</w:t>
            </w:r>
          </w:p>
        </w:tc>
      </w:tr>
    </w:tbl>
    <w:p>
      <w:pPr>
        <w:spacing w:after="160" w:before="0"/>
      </w:pPr>
    </w:p>
    <w:p>
      <w:pPr>
        <w:pStyle w:val="Heading2"/>
      </w:pPr>
      <w:r>
        <w:t xml:space="preserve">Clientes, recurrencia y poder de precios</w:t>
      </w:r>
    </w:p>
    <w:p>
      <w:pPr>
        <w:spacing w:after="100"/>
      </w:pPr>
      <w:r>
        <w:t xml:space="preserve">Más de diez millones de anunciantes; ninguno pesa de forma significativa y la empresa no publica concentración. Los anunciantes de comercio electrónico y los exportadores chinos (Temu, Shein) explican una parte relevante del crecimiento desde 2023, lo que expone a Meta a los aranceles y a la regulación de envíos de bajo valor. El poder de precios es indirecto: la subasta fija el precio y este sube cuando la conversión mejora; en el 1T26 el precio medio por anuncio subió un 12 % con las impresiones al alza un 19 % [24], señal de que la demanda absorbe la oferta adicional.</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Personas activas diarias en la familia de apps (DAP, media de marzo)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 M (mar-25)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3.560 M (mar-26)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Ligera caída secuencial por cortes de internet en Irán y la restricción de WhatsApp en Rusia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Impresiones de anuncios (1T26,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explica dos tercios del crecimiento publicitario del 1T26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 por anuncio (1T26,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 conversión por los modelos de recomendación y de anuncios con IA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del grupo (2T26,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47.516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60.800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(+27 %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Cuarto trimestre seguido por encima del 20 %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(capex con arrendamientos financieros,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17.010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31.080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2026: 130.000-145.000 M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publicidad digital mundial (búsqueda, redes sociales, vídeo, comercio minorista), donde Meta compite por presupuestos con Alphabet, Amazon, ByteDance (TikTok) y otros. Se usa la estimación de eMarketer de abril de 2026: Meta tendría el 26,8 % del gasto mundial en 2026, con 243.460 M de ingresos publicitarios netos, lo que implica un mercado de unos 908.000 M (cálculo propio: 243.460 / 0,268) [16,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908.000 M USD en 2026 (estimación propia a partir de la cuota y los ingresos de Meta según eMarketer)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Mejoras de recomendación y de anuncios con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Impresiones +19 % y precio por anuncio +12 % en el 1T26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electrónico transfronterizo (anunciantes chinos)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Sostuvo el crecimiento de 2023-2025; expuesto a aranceles.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menores y privacidad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Veredictos de marzo de 2026: 375 M en Nuevo México y 6 M en California [18,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Asistentes de IA como nueva superficie publicitaria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Muse superó en descargas al lanzamiento de ChatGPT, pero los ingresos no serían materiales antes de 2028 según BofA [21, 22].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grupos (Meta, Google, Amazon) suman el 62,3 % del gasto mundial en 2026 [16]; TikTok compite por el tiempo de uso.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Millones de anunciantes atomizados que compran por subasta.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Dependencia de Nvidia para chips de IA y de Apple y Google para la distribución en móviles.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de usuarios y datos y una inversión de 130.000-145.000 M al año son barreras enormes.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asistentes de IA (ChatGPT, Gemini) pueden desviar tiempo y presupuestos.</w:t>
            </w:r>
          </w:p>
        </w:tc>
      </w:tr>
    </w:tbl>
    <w:p>
      <w:pPr>
        <w:spacing w:after="160" w:before="0"/>
      </w:pPr>
    </w:p>
    <w:p>
      <w:pPr>
        <w:pStyle w:val="Heading2"/>
      </w:pPr>
      <w:r>
        <w:t xml:space="preserve">Ciclo</w:t>
      </w:r>
    </w:p>
    <w:p>
      <w:pPr>
        <w:spacing w:after="100"/>
      </w:pPr>
      <w:r>
        <w:t xml:space="preserve">La publicidad digital crece a doble dígito: Meta acelera del 22,1 % en 2025 al 24,1 % previsto en 2026 según eMarketer [16] y crecía un 28 % en el 2T26. La publicidad es cíclica: en 2022 los ingresos de Meta cayeron un 1 % por el cambio de privacidad de Apple y el frenazo de los anunciantes; en 2020 crecieron un 22 % pese a la pandemia; en 2008-09 la empresa aún no cotizaba.</w:t>
      </w:r>
    </w:p>
    <w:p>
      <w:pPr>
        <w:pStyle w:val="Heading2"/>
      </w:pPr>
      <w:r>
        <w:t xml:space="preserve">Regulación</w:t>
      </w:r>
    </w:p>
    <w:p>
      <w:pPr>
        <w:spacing w:after="100"/>
      </w:pPr>
      <w:r>
        <w:t xml:space="preserve">En EE. UU., la ola de demandas por daños a menores: en marzo de 2026 un jurado de Nuevo México impuso 375 M y otro de California 6 M; Meta ha recurrido [18, 19]. Hay miles de demandas similares agrupadas. En Europa, la Ley de Mercados Digitales (DMA) limita el uso cruzado de datos y obligó a ofrecer una versión sin anuncios de pago. Los cargos legales del 2T26 sumaron 2.400 M.</w:t>
      </w:r>
    </w:p>
    <w:p>
      <w:pPr>
        <w:pStyle w:val="Heading2"/>
      </w:pPr>
      <w:r>
        <w:t xml:space="preserve">Tendencias y disrupción</w:t>
      </w:r>
    </w:p>
    <w:p>
      <w:pPr>
        <w:spacing w:after="100"/>
      </w:pPr>
      <w:r>
        <w:t xml:space="preserve">La IA cambia el producto (recomendación, creación automática de anuncios) y abre una superficie nueva: los asistentes. Meta gana con la primera, porque su escala de datos mejora la conversión, y compite en la segunda con Muse frente a OpenAI y Google [21, 22]. El riesgo es que la carrera de inversión en infraestructura (capex de 2027 por encima de 2026 según la dirección) no se rentabilice.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del mundo en publicidad digital en 2026 según eMarketer (26,8 %), por delante de Google (26,4 %) y Amazon (9,0 %)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 (Google, YouTube)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GOOGL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402.836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Búsqueda y YouTube; 239.540 M de ingresos publicitarios previstos en 2026 [16]. Ingresos y EBIT de 2025 del informe de Alphabet del repositorio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 (publicidad)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716.924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Publicidad en su tienda (82.070 M previstos en 2026) [16]; los ingresos y el EBIT son del grupo entero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ByteDance (TikTok)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principal rival por el tiempo de vídeo corto.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Netflix (publicidad y tiempo de vídeo)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NFLX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45.183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Compite por el tiempo de ocio; su publicidad es aún pequeña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3.560 M de personas activas al día en sus apps [9]; cuantos más usuarios, más valor para usuarios y anunciantes.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anunciante puede mover presupuesto sin coste; el usuario pierde su red social si se va.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comportamiento y modelos de IA propios; las marcas pesan menos que la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41 % en 2025 frente al 32 % de Alphabet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tres grupos superan el 9 % del mercado mundial [1].</w:t>
            </w:r>
          </w:p>
        </w:tc>
      </w:tr>
    </w:tbl>
    <w:p>
      <w:pPr>
        <w:spacing w:after="160" w:before="0"/>
      </w:pPr>
    </w:p>
    <w:p>
      <w:pPr>
        <w:pStyle w:val="Heading2"/>
      </w:pPr>
      <w:r>
        <w:t xml:space="preserve">Amenazas</w:t>
      </w:r>
    </w:p>
    <w:p>
      <w:pPr>
        <w:spacing w:after="100"/>
      </w:pPr>
      <w:r>
        <w:t xml:space="preserve">La amenaza principal es un cambio de superficie: si los asistentes de IA de OpenAI o Google capturan el tiempo y la intención de compra, el inventario de Meta pierde valor. Probabilidad media a cinco años; Muse es la respuesta y empezó con fuerza [21]. Segunda: la regulación de menores, que puede limitar el uso por adolescentes y elevar costes legales (2.400 M en el 2T26). Tercera: TikTok, cuya continuidad en EE. UU. ya no está en cuestión.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200.966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2021-2025: ingresos </w:t>
      </w:r>
      <w:r>
        <w:rPr>
          <w:b/>
          <w:bCs/>
        </w:rPr>
        <w:t xml:space="preserve">14,3 %</w:t>
      </w:r>
      <w:r>
        <w:t xml:space="preserve">, EBITDA </w:t>
      </w:r>
      <w:r>
        <w:rPr>
          <w:b/>
          <w:bCs/>
        </w:rPr>
        <w:t xml:space="preserve">16,8 %</w:t>
      </w:r>
      <w:r>
        <w:t xml:space="preserve">, BPA </w:t>
      </w:r>
      <w:r>
        <w:rPr>
          <w:b/>
          <w:bCs/>
        </w:rPr>
        <w:t xml:space="preserve">14,3 %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pasaron de 117.929 M en 2021 a 200.966 M en 2025 (TCAC del 14 %), todo orgánico: Meta no ha hecho compras relevantes desde 2014. El año malo fue 2022 (−1 %), por el cambio de privacidad de Apple y el frenazo publicitario; el margen EBIT cayó del 39,6 % al 24,8 %. El «año de la eficiencia» lo devolvió al 34,7 % en 2023 y al 42,2 % en 2024. En 2025 bajó al 41,4 % y en el 2T26 al 31 % [4]: la amortización de la inversión en IA (de 15.498 M en 2024 a 18.616 M en 2025, y muy por encima en 2026) y la contratación de investigadores de IA crecen más deprisa que los ingresos. El 2T26 incluye además 2.400 M de cargos legales y 1.180 M de indemnizaciones por los despidos de mayo; sin ellos el beneficio operativo habría crecido un 9 % [4]. El beneficio neto de 2025 (60.458 M) cayó un 3 % por un cargo fiscal único.</w:t>
      </w:r>
    </w:p>
    <w:p>
      <w:pPr>
        <w:pStyle w:val="Heading2"/>
      </w:pPr>
      <w:r>
        <w:t xml:space="preserve">Ajustes y partidas no recurrentes</w:t>
      </w:r>
    </w:p>
    <w:p>
      <w:pPr>
        <w:spacing w:after="100"/>
      </w:pPr>
      <w:r>
        <w:t xml:space="preserve">Cifras reportadas en US GAAP. Partidas no recurrentes: en 2025, el cargo fiscal de la ley OBBBA (sin él, el tipo efectivo habría sido del 13 % y no del 30 %, unos 14.300 M de impuesto adicional, cálculo propio) [2]; en el 1T26, un beneficio fiscal de 8.030 M por una guía del Tesoro (3,13 USD por acción) [3]; en el 2T26, 2.400 M de cargos legales y 1.180 M de indemnizaciones, que se registran como no recurrentes en el EBITDA de los últimos 12 meses [4]. Los cargos legales se repiten casi cada año (multas de la FTC en 2019, veredictos de 2026): no son del todo extraordinarios. El BPA normalizado de 2025 es de 29,04 USD (estimación propia con el tipo del 13 %).</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la conferencia del 2T26 (29-jul) la dirección subió la guía de gastos de 2026 a 165.000-169.000 M y estrechó la de capex a 130.000-145.000 M, y mantuvo que el beneficio operativo de 2026 superará al de 2025 [4, 11]. La directora financiera insistió en que la capacidad de cómputo está limitada por la demanda y en exprimir su uso en 2026 y 2027. Las preguntas se centraron en por qué sube el capex otra vez (respuesta: «más visibilidad tres meses después») y en el equilibrio entre inversión y caja libre, que la dirección no cuantificó [11]. Frente a la conferencia del 1T26, el discurso pasó de la eficiencia al «compute»: en abril ya se negó a dar una cifra de capex de 2027 y admitió que la empresa subestima de forma sistemática sus necesidades [15]. Lo que evitó: una cifra de inversión y de gastos para 2027 y el plazo de monetización de Meta AI. El BPA (6,18 USD) quedó por debajo de los 7,2 USD esperados por los cargos legales y de despidos.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366.021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217.243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Meta pasó de no tener deuda en 2021 a 83.660 M de bonos a 30-jun-2026, tras emitir 30.000 M en octubre de 2025 y 25.000 M en mayo de 2026 con demanda menguante (96.000 M de órdenes frente a 125.000 M) [5, 12]. La caja e inversiones (90.260 M) apenas cubre ya la deuda: la caja neta cayó de 22.850 M a finales de 2025 a unos 6.600 M en junio [2, 4]. Con caja libre negativa prevista en 2026-2028, la deuda neta subirá. El circulante es pequeño y estable: clientes de 19.769 M frente a proveedores de 8.894 M en 2025.</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195.105</w:t>
      </w:r>
      <w:r>
        <w:t xml:space="preserve">, conversión </w:t>
      </w:r>
      <w:r>
        <w:rPr>
          <w:b/>
          <w:bCs/>
        </w:rPr>
        <w:t xml:space="preserve">87 %</w:t>
      </w:r>
      <w:r>
        <w:t xml:space="preserve"> del beneficio neto; adquisiciones 3.062, dividendos 10.392, recompras 148.276.</w:t>
      </w:r>
    </w:p>
    <w:p>
      <w:pPr>
        <w:spacing w:after="100"/>
      </w:pPr>
      <w:r>
        <w:t xml:space="preserve">Meta convierte bien el beneficio en caja de explotación (115.800 M en 2025, 1,9 veces el beneficio neto, por la amortización y los 20.427 M de remuneración en acciones) [13, 14], pero la inversión se la come: el capex con arrendamientos financieros pasó de 39.225 M en 2024 a 72.220 M en 2025 y a 31.080 M solo en el 2T26, y la caja libre del trimestre fue de 784 M frente a 8.549 M un año antes [4, 10]. No hay recompras desde el 3T25. Casi todo el capex es de crecimiento (centros de datos y servidores de IA); estimamos el de mantenimiento en torno a la amortización, del 9-12 % de las ventas (estimación propia). La remuneración en acciones (≈10 % de las ventas) es un coste real que el flujo operativo no recoge.</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Auditoría de Ernst &amp; Young con opinión favorable. Los indicadores del motor no muestran alarma: Altman Z de 9,55 (muy lejos de la zona de riesgo), Beneish M de −3,12 (sin señales de manipulación) y Piotroski F de 5, intermedio, penalizado por la caída del margen y del flujo libre y por la deuda nueva, no por la contabilidad. Lo que hay que vigilar son tres juicios: (1) la vida útil de los servidores, que Meta alargó a 5,5 años en 2025 y que reduce la amortización frente a una vida más corta; (2) la remuneración en acciones (20.427 M en 2025, ≈10 % de las ventas) [13], excluida en el EBITDA de los proveedores; (3) la financiación fuera de balance de Hyperion. Los beneficios fiscales y cargos únicos de 2025-2026 distorsionan el beneficio neto, no la caja.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Vida útil de servidores alargada a 5,5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Reduce la amortización en plena ola de inversión; con chips que quedan obsoletos antes, el beneficio puede estar sobrestimado.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Hyperion fuera de balance (≈27.000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la soporta una sociedad aparte; Meta alquila y garantiza el valor residual según la prensa.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del 10 % de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 real que el EBITDA ajustado de los analistas no resta.</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164.022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22,6 % · </w:t>
      </w:r>
      <w:r>
        <w:rPr>
          <w:b/>
          <w:bCs/>
        </w:rPr>
        <w:t xml:space="preserve">WACC</w:t>
      </w:r>
      <w:r>
        <w:t xml:space="preserve">: 11,1 %.</w:t>
      </w:r>
    </w:p>
    <w:p>
      <w:pPr>
        <w:spacing w:after="100"/>
      </w:pPr>
      <w:r>
        <w:t xml:space="preserve">Meta crea mucho valor: ROIC del 35,7 % en 2025 frente a un WACC del 11,06 %, 24,6 puntos por encima, y entre el 27 % y el 51 % desde 2021. El ROIC lo mueve el margen (beneficio neto del 30 % de las ventas) más que la rotación (0,63 veces el capital), que baja año tras año porque el inmovilizado crece más deprisa que las ventas: de 57.809 M en 2021 a 196.804 M en 2025. El ROIC incremental histórico (22,6 %) es bueno pero inferior al medio: el capital nuevo rinde menos que el antiguo. Con un capex de 130.000-145.000 M en 2026 el capital invertido se duplicará en dos años, y el ROIC caerá hacia el 20-25 % hasta que los ingresos de la IA lleguen. Alphabet tiene un ROIC parecido (30 %) y Amazon y Oracle en torno al 12 % [45].</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financieras de 90.260 M a 30-jun-2026 frente a deuda a largo de 83.660 M [4]: caja neta de unos 6.600 M, frente a 22.850 M a cierre de 2025 [2].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Fuera de balance, el centro de datos Hyperion (Luisiana) se financió con unos 27.000 M de deuda privada a través de una sociedad con un socio financiero; Meta lo alquila y, según la prensa, garantiza su valor residual: es un pasivo económico que no está en el puente (estimación de la prensa, no comprobada en el 10-Q) [5]. Los arrendamientos operativos de oficinas y centros de datos no se suman (US GAAP: su coste ya está en el EBITDA). Hay miles de demandas por daños a menores agrupadas en EE. UU.; los cargos legales del 2T26 (2.400 M) apuntan a provisiones crecientes [4]. No consta deuda con covenants financieros.</w:t>
      </w:r>
    </w:p>
    <w:p>
      <w:pPr>
        <w:pStyle w:val="Heading1"/>
      </w:pPr>
      <w:r>
        <w:t xml:space="preserve">12. Asignación de capital</w:t>
      </w:r>
    </w:p>
    <w:p>
      <w:pPr>
        <w:pStyle w:val="Confianza"/>
        <w:spacing w:after="100"/>
      </w:pPr>
      <w:r>
        <w:t xml:space="preserve">Confianza: Media</w:t>
      </w:r>
    </w:p>
    <w:p>
      <w:pPr>
        <w:spacing w:after="100"/>
      </w:pPr>
      <w:r>
        <w:t xml:space="preserve">Dividendo trimestral de 0,525 USD (2,10 USD al año, 0,3 % de rentabilidad) desde 2025 y recompras oportunistas, sin recompras desde el 3T25 [14]. La prioridad declarada es la inversión en infraestructura de IA (130.000-145.000 M en 2026) y en talento; la deuda (30.000 M en 2025 y 25.000 M en 2026) cubre la diferencia [12]. No hay objetivo de apalancamiento publicado.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Scale AI (participación del 49 %, sin control)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financiera para traer al equipo de datos de IA; sin consolidación.</w:t>
            </w:r>
          </w:p>
        </w:tc>
      </w:tr>
    </w:tbl>
    <w:p>
      <w:pPr>
        <w:spacing w:after="160" w:before="0"/>
      </w:pPr>
    </w:p>
    <w:p>
      <w:pPr>
        <w:spacing w:after="100"/>
      </w:pPr>
      <w:r>
        <w:t xml:space="preserve">Meta ha devuelto mucho dinero: 148.276 M de recompras y 10.392 M de dividendos en 2021-2025 (calc del motor sobre los flujos), con lo que las acciones diluidas bajaron de 2.859 M a 2.574 M. El ROIC (35,7 % en 2025) y el ROIC incremental histórico (22,6 %) confirman que la inversión pasada creó valor. El historial de grandes apuestas es mixto: Instagram y WhatsApp fueron compras excelentes; Reality Labs ha perdido más de 17.000 M al año sin retorno visible. La duda actual es de escala: la reinversión ha pasado del 30-40 % al 100 % del flujo operativo, y el retorno de ese capital no se verá hasta 2028.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Zuckerberg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del consejo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la empresa en 2004 y la dirige desde entonces. Llevó los ingresos de cero a 200.966 M en 2025 con un margen operativo del 41 %; también impulsó la apuesta por el metaverso, que acumula pérdidas de más de 17.000 M al año en Reality Labs. Controla el 60,8 % del voto [28,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Li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Sustituyó a David Wehner en noviembre de 2022. Gestionó el «año de la eficiencia» de 2023 y la financiación con bonos de la inversión en IA (30.000 M en 2025 y 25.000 M en mayo de 2026); se negó a dar guía de capex para 2027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Robert Kimmitt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Exvicesecretario del Tesoro de EE. UU.; coordina a los consejeros independientes [29].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2025 de 66.000-72.000 M (con arrendamientos financieros)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72.220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inicial 115.000-135.000 M (enero); 125.000-145.000 M (abril); 130.000-145.000 M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tendencia al alza en cada revisión</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totales 162.000-169.000 M (enero); 165.000-169.000 M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61.000-64.000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publica el 28-oct-2026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con un fundador que controla la junta: la credibilidad depende de Zuckerberg. Su historial operativo es excelente (márgenes del 41 % y crecimiento del 22 % en 2025), pero la guía de inversión se ha revisado al alza tres veces en 2026 y la directora financiera admitió que la empresa subestima sus necesidades de cómputo [15]. No hay plan de sucesión público para el consejero delegado.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Zuckerberg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Robert Kimmitt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 Zuckerberg (clase B, 10 votos por acción)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 60,8 % del voto a 1-abr-2026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periódicas con planes 10b5-1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cobra un salario simbólico y no recibe acciones; su remuneración declarada es sobre todo el coste de seguridad personal. El voto consultivo sobre remuneración es trienal (aprobado por los accionistas en 2025) y en la junta de 2026 se rechazó la propuesta de hacerlo anual [29]. No se pudieron leer las métricas del variable de los demás directivos.</w:t>
      </w:r>
    </w:p>
    <w:p>
      <w:pPr>
        <w:pStyle w:val="Heading2"/>
      </w:pPr>
      <w:r>
        <w:t xml:space="preserve">Operaciones vinculadas, estructura de control y defensas</w:t>
      </w:r>
    </w:p>
    <w:p>
      <w:pPr>
        <w:spacing w:after="100"/>
      </w:pPr>
      <w:r>
        <w:t xml:space="preserve">Doble clase: las acciones B tienen diez votos y Zuckerberg, con en torno al 13,5 % del capital, controla el 60,8 % del voto (1-abr-2026) [28, 29]. Meta es «empresa controlada» según el Nasdaq, aunque 11 de sus 12 consejeros son independientes [29]. La propuesta de una acción, un voto obtuvo en torno al 26 % de apoyo en la junta del 27-may-2026 y las diez propuestas de accionistas fueron rechazadas [29, 30]. Ningún accionista minoritario puede cambiar la dirección ni frenar la inversión en IA.</w:t>
      </w:r>
    </w:p>
    <w:p>
      <w:pPr>
        <w:pStyle w:val="Heading2"/>
      </w:pPr>
      <w:r>
        <w:t xml:space="preserve">Señales de alerta</w:t>
      </w:r>
    </w:p>
    <w:p>
      <w:pPr>
        <w:pStyle w:val="ListParagraph"/>
        <w:numPr>
          <w:ilvl w:val="0"/>
          <w:numId w:val="2"/>
        </w:numPr>
        <w:spacing w:after="60"/>
      </w:pPr>
      <w:r>
        <w:t xml:space="preserve">Control del 60,8 % del voto por el fundador: las decisiones de inversión (130.000-145.000 M en 2026) no dependen de los minoritarios.</w:t>
      </w:r>
    </w:p>
    <w:p>
      <w:pPr>
        <w:pStyle w:val="ListParagraph"/>
        <w:numPr>
          <w:ilvl w:val="0"/>
          <w:numId w:val="2"/>
        </w:numPr>
        <w:spacing w:after="60"/>
      </w:pPr>
      <w:r>
        <w:t xml:space="preserve">Veredictos por daños a menores en 2026 y cargos legales de 2.400 M en el 2T26.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del 29-jul-2026 [A4]: ingresos del 3T26 de 61.000-64.000 M (divisa −1 punto); gastos totales de 2026 de 165.000-169.000 M (subidos desde 162.000-169.000 M en enero) y capex de 130.000-145.000 M con arrendamientos financieros (desde 115.000-135.000 M en enero y 125.000-145.000 M en abril). La dirección espera un beneficio operativo de 2026 superior al de 2025 y no ha dado guía de 2027, aunque adelantó que la inversión seguirá creciendo [A15]. Algunos analistas sitúan el capex de 2027 en 175.000-197.000 M y los gastos de 2027 en 210.000-215.000 M (Wells Fargo), frente a 202.000 M del consenso [23,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Tickflow (42-44 analistas, 1-ago-2026) [33]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296.670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Tickflow (40-45 analistas, 1-ago-2026) [33]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Eulerpool (fecha incierta, probablemente anterior al 2T26) [34]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114.593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292.737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296.670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134.659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333.720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160.186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 7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826,60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595,00 – 1.000,00</w:t>
            </w:r>
          </w:p>
        </w:tc>
      </w:tr>
    </w:tbl>
    <w:p>
      <w:pPr>
        <w:spacing w:after="160" w:before="0"/>
      </w:pPr>
    </w:p>
    <w:p>
      <w:pPr>
        <w:pStyle w:val="Heading2"/>
      </w:pPr>
      <w:r>
        <w:t xml:space="preserve">Revisiones de estimaciones</w:t>
      </w:r>
    </w:p>
    <w:p>
      <w:pPr>
        <w:spacing w:after="100"/>
      </w:pPr>
      <w:r>
        <w:t xml:space="preserve">Una sola fuente con estimaciones completas (Tickflow, 1-ago-2026), contrastada con MarketBeat (consenso de BPA de 2026 de 29,51 USD y Erste con 35,13 USD en 2027) [33, 35]. Tras el 2T26 los objetivos se recortaron (Morgan Stanley de 820 a 750 USD; BofA de 900 a 810 USD) [36, 37] y Simply Wall St bajó su valor razonable medio de 829 a 754 USD [38]; con Muse, en septiembre, volvieron a subir (Wells Fargo a 1.000 USD) [23]. El objetivo medio pasó de 785,22 USD (MarketBeat, 9-sep) a 826,60 USD (24/7 Wall St., 15-sep) [35, 39]. Las estimaciones de BPA de 2027 son las más inciertas por la amortización de la inversión en IA.</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bl>
    <w:p>
      <w:pPr>
        <w:spacing w:after="160" w:before="0"/>
      </w:pPr>
    </w:p>
    <w:p>
      <w:pPr>
        <w:spacing w:after="100"/>
      </w:pPr>
      <w:r>
        <w:t xml:space="preserve">La acción cerró 2025 en 660,05 USD [41] y cayó hasta 525,01 USD el 27 de marzo de 2026 [42], con las dudas sobre la inversión en IA y los veredictos por daños a menores. Tras el 2T26 (beneficio por acción de 6,18 USD frente a 7,2 esperados y caja libre de 784 M) siguió débil; en septiembre subió en torno a un 30-36 %, su mejor mes desde 2013, con el lanzamiento de Muse [B5, B6], hasta un máximo de 779,82 USD el 24 de septiembre [43]. El 9 de octubre cerró en 718,67 USD [31]: +8,9 % en el año. Rentabilidades de precio calculadas con los cierres anuales de Macrotrends [40]. La posición corta es baja: 1,31 % del capital flotante a 31-ago-2026 [44].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Meta ha cotizado de forma estable a 23-25 veces su beneficio de los últimos 12 meses (2021, 2023, 2024) y a 22,7 veces el normalizado de 2025, salvo el desplome de 2022 (13,9 veces). Hoy, a 718,67 USD, cotiza a unas 27 veces el beneficio de los últimos 12 meses (26,54 USD con el beneficio fiscal del 1T26) y a 26 veces nuestro BPA de 2027e: por encima de su mediana de cinco años. Ha cambiado el perfil: la empresa pasa de devolver caja a invertirla toda, y el tipo a 10 años ha subido al 5,2 %; las dos cosas deberían pedir un múltiplo menor, no mayor.</w:t>
      </w:r>
    </w:p>
    <w:p>
      <w:pPr>
        <w:pStyle w:val="Heading1"/>
      </w:pPr>
      <w:r>
        <w:t xml:space="preserve">18. Comparables cotizados</w:t>
      </w:r>
    </w:p>
    <w:p>
      <w:pPr>
        <w:pStyle w:val="Confianza"/>
        <w:spacing w:after="100"/>
      </w:pPr>
      <w:r>
        <w:t xml:space="preserve">Confianza: Media</w:t>
      </w:r>
    </w:p>
    <w:p>
      <w:pPr>
        <w:spacing w:after="100"/>
      </w:pPr>
      <w:r>
        <w:t xml:space="preserve">Los grandes grupos tecnológicos de EE. UU. que compiten con Meta por publicidad, tiempo de uso o infraestructura de IA: Alphabet y Amazon (publicidad), Microsoft y Oracle (IA y nube, mismo ciclo de inversión), Apple (plataforma móvil) y Netflix (tiempo de vídeo). No hay comparables puros de su tamaño: Pinterest, Snap y Reddit valen menos del 2 % de Meta y no se encontraron múltiplos fechados. Cifras tomadas de los informes de Amazon (12-oct, precios del 9-oct) y de Alphabet (8-oct, precios del 7-oct) del repositorio [45, 46]; ver limitaciones.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1.842.670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4.299.621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3.973.430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427.594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2.804.537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4.912.015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Netflix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289.952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101.892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 / 20,1x / 23,4x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 / 22,6x / 25,3x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228.246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6,4x / 8,3x / 10,0x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9" name="Gráfico 19"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0" name="Gráfico 20"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Meta cotiza a 21,4 veces el PER de los próximos 12 meses del consenso, en la parte baja del grupo (mediana de 22,6 veces entre 18,6 de Netflix y 35,2 de Apple) pese a crecer más que todos salvo Oracle y Alphabet. La regresión del motor la sitúa cerca de la línea múltiplo-crecimiento. El descuento se explica por la caja libre: Meta tiene un rendimiento por FCF del 2,4 % que va a caer a cero en 2026-2027, y sus compañeros con un ciclo de inversión parecido (Oracle, Amazon) cotizan con descuento por lo mismo. Usamos el PER de los próximos 12 meses como múltiplo principal; los EV/EBITDA no son homogéneos (ver limitaciones) y tienen menos peso.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(+24,5 %) es casi un dato: 117.110 M en el primer semestre (+30 %) y guía de 61.000-64.000 M en el 3T26 [3, 4]; coincide con el consenso de 250.360 M [33]. Después bajamos al 17 % en 2027 (consenso: +18,5 %) y en línea recta hasta el 5 % en 2035. La historia lo permite: TCAC del 14 % en 2021-2025 con un año negativo. eMarketer prevé que el mercado crezca en torno al 9-10 % y Meta más que él [16]. No incluimos ingresos de Muse hasta 2028.</w:t>
      </w:r>
    </w:p>
    <w:p>
      <w:pPr>
        <w:keepNext/>
        <w:spacing w:after="100"/>
      </w:pPr>
      <w:r>
        <w:rPr>
          <w:b/>
          <w:bCs/>
        </w:rPr>
        <w:t xml:space="preserve">Márgenes.</w:t>
      </w:r>
    </w:p>
    <w:p>
      <w:pPr>
        <w:spacing w:after="100"/>
      </w:pPr>
      <w:r>
        <w:t xml:space="preserve">El margen EBITDA de 2026 (45,8 %) sale de la guía de gastos (165.000-169.000 M) con una amortización estimada del 12,5 % de las ventas; el de 2025 fue del 50,7 %. Sube hasta el 52 % en 2031 porque los gastos de personal y de infraestructura de IA crecen menos que los ingresos cuando la inversión madura; queda por debajo del 51-58 % de 2021-2024 sin Reality Labs. El margen EBIT terminal (35 %) es inferior al 41,4 % de 2025: la amortización estructural es mucho mayor.</w:t>
      </w:r>
    </w:p>
    <w:p>
      <w:pPr>
        <w:keepNext/>
        <w:spacing w:after="100"/>
      </w:pPr>
      <w:r>
        <w:rPr>
          <w:b/>
          <w:bCs/>
        </w:rPr>
        <w:t xml:space="preserve">Inversión y circulante.</w:t>
      </w:r>
    </w:p>
    <w:p>
      <w:pPr>
        <w:spacing w:after="100"/>
      </w:pPr>
      <w:r>
        <w:t xml:space="preserve">Capex del 55 % de las ventas en 2026 (guía de 130.000-145.000 M) y del 60 % en 2027 (la dirección anticipa más inversión; analistas en 175.000-197.000 M) [32], 50 % en 2028 y normalización al 18 % en 2035, el doble que antes de la IA (13-27 % en 2021-2024). La amortización sube del 9,3 % al 19 % de las ventas y termina en el 17 %. Circulante del 5 % de las ventas, como el histórico.</w:t>
      </w:r>
    </w:p>
    <w:p>
      <w:pPr>
        <w:keepNext/>
        <w:spacing w:after="100"/>
      </w:pPr>
      <w:r>
        <w:rPr>
          <w:b/>
          <w:bCs/>
        </w:rPr>
        <w:t xml:space="preserve">Coste del capital.</w:t>
      </w:r>
    </w:p>
    <w:p>
      <w:pPr>
        <w:spacing w:after="100"/>
      </w:pPr>
      <w:r>
        <w:t xml:space="preserve">Tasa libre del 5,21 % (bono a 10 años del 13-oct-2026) [48]. Beta de 1,23: la de Fintel (1,34-1,37, sin fecha) ajustada a la Blume [49]. Prima de mercado del 5 %, como en los informes de Alphabet y Microsoft. Coste de la deuda del 5,25 % (cupón de los bonos a 2036) con un tipo del 15 %; peso de la deuda del 4,3 % a valor de mercado. WACC del 11,06 %. Con la prima implícita del mercado (4,2 %) baja al 10,1 %.</w:t>
      </w:r>
    </w:p>
    <w:p>
      <w:pPr>
        <w:keepNext/>
        <w:spacing w:after="100"/>
      </w:pPr>
      <w:r>
        <w:rPr>
          <w:b/>
          <w:bCs/>
        </w:rPr>
        <w:t xml:space="preserve">Valor terminal.</w:t>
      </w:r>
    </w:p>
    <w:p>
      <w:pPr>
        <w:spacing w:after="100"/>
      </w:pPr>
      <w:r>
        <w:t xml:space="preserve">Gordon con un 3 % de crecimiento: inflación esperada en USD de en torno al 2,3 % más algo de crecimiento real, por debajo de la tasa libre menos medio punto (4,7 %). El múltiplo de salida de referencia (15 veces el EBITDA) está en la parte baja de los comparables (15-29 veces el de los últimos 12 meses).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292.737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373.767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209.683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483.998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517.878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576.398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299.727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97.988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103.752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65.824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2.099.266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4.495.905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308.820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798.413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1.107.233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1.113.833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404,57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544,65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542.838 M (46 %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 (ROIC 35,7 %)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 (histórico: 22,6 %)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 (hoy: 26,8 %)</w:t>
            </w:r>
          </w:p>
        </w:tc>
      </w:tr>
    </w:tbl>
    <w:p>
      <w:pPr>
        <w:spacing w:after="160" w:before="0"/>
      </w:pPr>
    </w:p>
    <w:p>
      <w:pPr>
        <w:spacing w:after="100"/>
      </w:pPr>
      <w:r>
        <w:t xml:space="preserve">La proyección reinvierte el 46 % del NOPAT. Con el ROIC del último ejercicio (35,7 %), eso financia un crecimiento del 16,3 % anual, frente al 11,3 % de ingresos proyectado. Supone que el capital nuevo rinde un 20,8 %, frente a un ROIC incremental histórico del 22,6 %; la cuota de mercado pasaría al 29,3 % desde el 26,8 %.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Impresiones +19 % y precio por anuncio +12 % en el 1T26 [3]; en el segundo semestre la base de comparación es más exigente.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por más tiempo de uso (Reels, Threads, WhatsApp) y precio por mejor conversión con IA; consenso +18,5 % [33].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ingresos de Muse y de la publicidad en WhatsApp; el mercado crece en torno al 9 %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Convergencia hacia el crecimiento del mercado con algo de ganancia de cuota.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algo por encima del mercado; cuota del 29,3 % en 2035 frente al 26,8 % actual.</w:t>
            </w:r>
          </w:p>
        </w:tc>
      </w:tr>
    </w:tbl>
    <w:p>
      <w:pPr>
        <w:spacing w:after="160" w:before="0"/>
      </w:pPr>
    </w:p>
    <w:p>
      <w:pPr>
        <w:spacing w:after="100"/>
      </w:pPr>
      <w:r>
        <w:t xml:space="preserve">La calidad de Meta sostiene el crecimiento que proyectamos, que es menor que el que paga el precio. Las tres pruebas pasan: la reinversión (46 % del NOPAT de toda la proyección) financia un 16,3 % de crecimiento al ROIC de 2025 (35,7 %) frente al 11,3 % proyectado; el capital nuevo debe rendir un 20,8 %, por debajo del ROIC incremental histórico (22,6 %); y la cuota del mercado mundial de publicidad digital pasaría del 26,8 % al 29,3 % [16]. El foso (efectos de red con 3.560 M de usuarios diarios [3]) y el poder de precios demostrado (+12 % de precio por anuncio en el 1T26) lo respaldan. La duda no es si puede crecer, sino si el capital nuevo rendirá lo que rendía el antiguo: suponemos que rinde menos.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 (base: 9,8 %)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68,6 % (base: 52,0 %)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11,1 %)</w:t>
            </w:r>
          </w:p>
        </w:tc>
      </w:tr>
    </w:tbl>
    <w:p>
      <w:pPr>
        <w:spacing w:after="160" w:before="0"/>
      </w:pPr>
    </w:p>
    <w:p>
      <w:pPr>
        <w:spacing w:after="100"/>
      </w:pPr>
      <w:r>
        <w:t xml:space="preserve">El DCF da 434,41 USD por acción, un 39,6 % por debajo del precio, con un WACC del 11,06 % y el valor terminal como el 72 % del total; con la prima implícita del mercado (WACC del 10,1 %) sube a 512,38 USD, aún un 29 % por debajo. Los años 2026-2028 restan valor: la caja libre operativa es negativa (−37.151 M en 2026e y −56.064 M en 2027e) porque el capex supera al EBITDA. El DCF inverso es la clave: para justificar 718,67 USD hace falta que los ingresos crezcan un 16,5 % anual en 2027-2035 (frente al 9,8 % de nuestro base) o un margen EBITDA del 68,6 % (frente al 52 %), y la rentabilidad implícita en el precio es del 8,5 %, por debajo del 11,1 % de nuestro WACC y del 10,1 % que pide el mercado. Es exigente: Meta creció un 14 % anual en 2021-2025, antes de multiplicar por cuatro su inversión. El precio descuenta que la inversión en IA rendirá como la de la década pasada.</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publicidad se frena como en 2022 (aranceles a los exportadores chinos, recesión) y la IA no monetiza: crecimiento de 4 puntos menos al año y margen EBITDA 4 puntos más bajo, con la amortización de la inversión ya comprometida. Ya pasó en 2022: ingresos −1 % y margen EBIT del 24,8 %.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434,41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crecen un 24,5 % en 2026 y se desaceleran hasta el 5 % en 2035; el capex llega a su pico en 2027 y se normaliza desde 2028, y el margen EBITDA vuelve al 52 %.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Muse se convierte en una superficie publicitaria y de suscripción desde 2027 y la IA sigue elevando el precio por anuncio: 3 puntos más de crecimiento y 2 de margen al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USD) · precio actual 718,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426,96 USD (-40,6 %).</w:t>
      </w:r>
    </w:p>
    <w:p>
      <w:pPr>
        <w:spacing w:after="100"/>
      </w:pPr>
      <w:r>
        <w:t xml:space="preserve">La asimetría del DCF es mala: el alcista (586,56 USD) también queda un 18,4 % por debajo del precio y el bajista (252,45 USD) un 64,9 %. A 12 meses, con nuestro BPA y la regla de múltiplos, el cuadro es menos extremo: bajista 328,46 USD (−54 %), base 751,29 USD (+4,8 %) y alcista 851,78 USD (+18,8 %), con una asimetría de 0,34 veces. El bajista es verosímil: en 2022 los ingresos cayeron un 1 % y la acción un 64 %. No compensa el riesgo.</w:t>
      </w:r>
    </w:p>
    <w:p>
      <w:pPr>
        <w:pStyle w:val="Heading1"/>
      </w:pPr>
      <w:r>
        <w:t xml:space="preserve">22. Suma de partes</w:t>
      </w:r>
    </w:p>
    <w:p>
      <w:pPr>
        <w:pStyle w:val="Confianza"/>
        <w:spacing w:after="100"/>
      </w:pPr>
      <w:r>
        <w:t xml:space="preserve">Confianza: Media</w:t>
      </w:r>
    </w:p>
    <w:p>
      <w:pPr>
        <w:spacing w:after="100"/>
      </w:pPr>
      <w:r>
        <w:t xml:space="preserve">No aplica: Reality Labs (2.146 M de ingresos y −17.729 M de resultado en 2024) no tiene comparables cotizados con múltiplo útil y su valor de mercado separado sería, en el mejor caso, pequeño frente a la familia de apps; sus pérdidas ya restan en el DCF del grupo.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USD) · precio actual 718,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722,26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529,62 USD (-26,3 % sobre 718,67).</w:t>
      </w:r>
    </w:p>
    <w:p>
      <w:pPr>
        <w:spacing w:after="100"/>
      </w:pPr>
      <w:r>
        <w:t xml:space="preserve">Pesos: DCF 40 %, comparables 30 % y escenarios 30 %; sin transacciones (no hay compras comparables para una empresa de 1,8 billones) ni suma de partes. El DCF pesa más porque la cuestión de Meta es de caja: el beneficio contable de 2026-2028 es muy superior a la caja libre, y los múltiplos de beneficio lo ignoran. La dispersión es enorme: los comparables por PER dan 759,21 USD (+5,6 %) y el DCF 434,41 USD (−39,6 %). La diferencia no es Meta, sino el método: el sector entero cotiza a múltiplos que solo se justifican con un WACC del 8,5 % o con crecimientos del 16 % durante una década. El valor objetivo de la síntesis es de 529,62 USD (−26,3 %).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(26x) ÷ 1.1 (tope: la mediana de 5 años, 19.8x,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748,12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848,18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r>
    </w:tbl>
    <w:p>
      <w:pPr>
        <w:spacing w:after="160" w:before="0"/>
      </w:pPr>
    </w:p>
    <w:p>
      <w:pPr>
        <w:spacing w:after="100"/>
      </w:pPr>
      <w:r>
        <w:rPr>
          <w:b/>
          <w:bCs/>
        </w:rPr>
        <w:t xml:space="preserve">Objetivo a 12 meses (ponderado):</w:t>
      </w:r>
      <w:r>
        <w:t xml:space="preserve"> 633,96 USD · rentabilidad -11,5 % (base +4,4 %) · señal Vender.</w:t>
      </w:r>
    </w:p>
    <w:p>
      <w:pPr>
        <w:spacing w:after="100"/>
      </w:pPr>
      <w:r>
        <w:t xml:space="preserve">Para comparar, con la regla v2 (historia al cierre, mismo precio): 13,9x / 23,7x / 23,7x, -6,4 % Mantener; con el tope anterior del base (×1,3, 14-oct mediodía): -14,6 % Vender. Decide la regla vigente (v3 con tope ×1,1; METODO-VIGENTE.md).</w:t>
      </w:r>
    </w:p>
    <w:p>
      <w:pPr>
        <w:keepNext/>
        <w:spacing w:after="100"/>
      </w:pPr>
      <w:r>
        <w:rPr>
          <w:b/>
          <w:bCs/>
        </w:rPr>
        <w:t xml:space="preserve">Frente al consenso (solo contraste).</w:t>
      </w:r>
    </w:p>
    <w:p>
      <w:pPr>
        <w:spacing w:after="100"/>
      </w:pPr>
      <w:r>
        <w:t xml:space="preserve">Nuestro BPA de 2028e (31,70 USD) queda un 21 % por debajo del 40,03 de Eulerpool (dato probablemente anterior al 2T26) y el de 2027e (27,63) un 20 % por debajo del consenso de 34,56 [33, 34]. La diferencia no está en las ventas (292.737 M en 2027e frente a 296.670 M) sino en los gastos: suponemos 206.400 M de gastos en 2027, entre los 202.000 M del consenso y los 210.000-215.000 M de Wells Fargo [23], porque la amortización de un capex de 130.000-176.000 M al año sube al 16,5-18 % de las ventas, y añadimos el coste de la deuda nueva. El objetivo medio de los analistas (826,60 USD) queda un 9,1 % por encima de nuestro objetivo base y por debajo de nuestro alcista (851,78 USD).</w:t>
      </w:r>
    </w:p>
    <w:p>
      <w:pPr>
        <w:keepNext/>
        <w:spacing w:after="100"/>
      </w:pPr>
      <w:r>
        <w:rPr>
          <w:b/>
          <w:bCs/>
        </w:rPr>
        <w:t xml:space="preserve">Del valor intrínseco al objetivo a 12 meses.</w:t>
      </w:r>
    </w:p>
    <w:p>
      <w:pPr>
        <w:spacing w:after="100"/>
      </w:pPr>
      <w:r>
        <w:t xml:space="preserve">El objetivo a 12 meses (670,71 USD ponderado; 751,29 USD el base) queda muy por encima del valor intrínseco (529,62 USD): el mercado pagará en un año por el beneficio contable de 2028, que la amortización todavía no castiga del todo, mientras el DCF descuenta la caja que se va en centros de datos. Cerrar esa distancia exige que la inversión de 2027 se contenga y que Muse empiece a facturar; la primera prueba es la guía del 28 de octubre. La distancia entre el objetivo base y el valor intrínseco pasa del 25 %: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primera indicación de capex y gastos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guía de capex de 2027 por encima de 175.000 M confirmaría nuestro bajo BPA; una contención lo subiría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formal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BPA de 2027, base del múltiplo a 12 meses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Versión de pago o publicidad dentro de Muse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ingreso de la IA conversacional; Jefferies estima 10.800 M anuales con 1.000 M de usuarios y un 3 % de pago [32]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de los veredictos por daños a menores y nuevos juicios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cargos legales (2.400 M en el 2T26)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emisiones de bonos para financiar la inversión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al alza y más gasto financiero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inversión en IA no rinde: capacidad sobredimensionada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ya mejora la conversión de los anuncios (+12 % de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2027 por encima de 190.000 M sin aceleración de ingresos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publicitario: recesión o aranceles a anunciantes chinos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a −50 % (precedente de 2022)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Millones de anunciantes y subasta flexible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ingresos por debajo del 15 %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y litigios por menores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en curso; importes aún pequeños frente al beneficio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Cargos legales trimestrales por encima de 3.000 M o restricciones de edad en EE. UU.</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los asistentes de IA por el tiempo de uso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Muse y la escala de usuarios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tiempo de uso o de las personas activas diarias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 y vida útil de servidores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no cambia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Acortamiento de la vida útil o deterioros de centros de datos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del fundador (60,8 % del voto)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Descuento de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mayoritariamente independiente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apuestas a fondo perdido como Reality Labs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y financiación fuera de balance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Calificación crediticia alta y beneficio de 60.000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por encima de 1 vez el EBITDA</w:t>
            </w:r>
          </w:p>
        </w:tc>
      </w:tr>
    </w:tbl>
    <w:p>
      <w:pPr>
        <w:spacing w:after="160" w:before="0"/>
      </w:pPr>
    </w:p>
    <w:p>
      <w:pPr>
        <w:pStyle w:val="Heading2"/>
      </w:pPr>
      <w:r>
        <w:t xml:space="preserve">Pre-mortem</w:t>
      </w:r>
    </w:p>
    <w:p>
      <w:pPr>
        <w:spacing w:after="100"/>
      </w:pPr>
      <w:r>
        <w:t xml:space="preserve">Octubre de 2029: la acción ha perdido un 40 %. Meta gastó más de 500.000 M en centros de datos en 2026-2028 convencida de que la demanda de cómputo no tenía techo. Muse tuvo cientos de millones de usuarios, pero gratis: los anuncios dentro de las conversaciones no cuajaron y la suscripción se quedó en un nicho, como los cascos de Reality Labs. En 2027 los aranceles y una recesión suave frenaron a los anunciantes chinos y el crecimiento bajó al 8 %, mientras la amortización subía al 20 % de las ventas: el BPA de 2028 se quedó en 22 USD y el mercado, que pagaba 26 veces, volvió a las 14-15 veces de 2022. La deuda neta superó los 100.000 M y las recompras desaparecieron. Las señales estaban a la vista en octubre de 2026: la guía de capex subía en cada trimestre, la caja libre del 2T26 era de 784 M y la propia directora financiera admitía que la empresa subestimaba sus necesidades de cómputo. El indicador que lo habría anticipado: el capex de 2027 por encima de 190.000 M sin una aceleración visible de los ingresos.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que más afecta a las cifras es la seguridad de menores: los veredictos de 2026 (375 M en Nuevo México) y los 2.400 M de cargos legales del 2T26 muestran que el coste ya es material [18, 19]. Segundo, el consumo eléctrico de los centros de datos de IA: la inversión de 130.000-145.000 M en 2026 lleva contratos de energía a largo plazo y escrutinio local. Tercero, la privacidad de datos en Europa (DMA y RGPD).</w:t>
      </w:r>
    </w:p>
    <w:p>
      <w:pPr>
        <w:pStyle w:val="Heading2"/>
      </w:pPr>
      <w:r>
        <w:t xml:space="preserve">Controversias</w:t>
      </w:r>
    </w:p>
    <w:p>
      <w:pPr>
        <w:spacing w:after="100"/>
      </w:pPr>
      <w:r>
        <w:t xml:space="preserve">Marzo de 2026: dos jurados declararon a Meta responsable de daños a menores (375 M en Nuevo México; 3 M más 3 M punitivos en California); Meta recurrió en julio [18, 19]. Cargos por procedimientos legales de 2.400 M en el 2T26.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rango de inversión de 2027 y qué retorno mínimo exige el consejo a cada centro de datos?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más mueve nuestro BPA de 2028e.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Monetización de Muse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habrá publicidad o suscripción de pago en Muse y con qué métrica se medirá?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nuestro caso base del alcista.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vida útil se aplica a los servidores de IA y qué impacto tendría reducirla a 4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vida más corta bajaría el BPA de forma material.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Hyperion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obligación máxima de Meta por la garantía de valor residual de Hyperion y otros vehículos?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deuda económica fuera del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volverán las recompras y qué apalancamiento máximo acepta la empresa?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acciones dejaron de bajar; afecta al BPA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provisión total hay para las demandas por menores y cuántos juicios hay fijados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cargos legales ya suman 2.400 M en un trimestre.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un autor rebajó a venta («Cash Burning Machine»): ingresos +28 %, gastos +55 % y caja libre −91 % hasta 784 M, sin recompras en tres trimestres [51]. Otros autores defienden una subida del 30 % cuando la inversión se normalice.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(sentimiento del símbolo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sentimiento minorista pasó a «extremadamente alcista» con Muse y el volumen de mensajes se disparó; la caída tras el 2T26 se trató como oportunidad de compra [52, 53].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(vía Webull),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Celebra la subida de septiembre con Muse, pero recuerda que el asistente es gratuito y aún no resuelve cómo se monetiza la IA [55].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con comentarios de lectores (Tiger Brokers, Pluang, Motley Fool)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ven 1.000 USD por acción con un DCF que normaliza la inversión [54]; otros, a raíz de que Zuckerberg admitiera que podrían construir de más, plantean cortos hacia 556 USD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Muse como nuevo ciclo de producto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adopción es real (superó en descargas al lanzamiento de ChatGPT), pero BofA no espera ingresos materiales antes de 2028 [B6, B7]: en nuestro caso base no entra ningún ingreso de Muse hasta 2028.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consumida por la inversión en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caja libre de 784 M en el 2T26 frente a 8.549 M un año antes [A10] y capex de 2027 por encima del de 2026; el DCF lo recoge con flujos negativos en 2026-2028.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subida de septiembre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718,67 USD cotiza a unas 25 veces nuestro BPA de 2027e, por encima de la mediana de cinco años (23,7x).</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legal por menores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veredictos de 2026 suman 381 M, poco frente a 60.000 M de beneficio, pero los cargos legales del 2T26 fueron de 2.400 M [A4].</w:t>
            </w:r>
          </w:p>
        </w:tc>
      </w:tr>
    </w:tbl>
    <w:p>
      <w:pPr>
        <w:spacing w:after="160" w:before="0"/>
      </w:pPr>
    </w:p>
    <w:p>
      <w:pPr>
        <w:spacing w:after="100"/>
      </w:pPr>
      <w:r>
        <w:t xml:space="preserve">El inversor particular está más eufórico que hace tres meses: la subida de septiembre, la mejor desde 2013, se apoya en la adopción de Muse, no en cifras de ingresos. Los foros recogen bien el riesgo principal, que la caja libre casi desaparece mientras la inversión crece, y lo discuten como un problema temporal. No contradice a los analistas (ninguno recomienda vender) pero sí añade una señal de alerta: el entusiasmo se ha adelantado a la monetización, y una decepción en la guía de inversión de 2027 el 28 de octubre encontraría un posicionamiento cargado.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1 explicados. Fuentes: 55 (13 primarias); citas distintas en el texto: 49.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11,8 %: explica la causa (créditos fiscales, regularizaciones, mezcla de países) y no lo proyectes en el DCF. Explicación: El 11,8 % de 2024 es el publicado: créditos de I+D y la deducción por ingresos de intangibles en el extranjero (FDII). En 2025 el tipo subió al 30 % por el cargo único de la ley OBBBA (sin él, 13 %) [2]. El DCF usa un 15 % normalizado.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20,8 % frente a un ROIC de 35,7 % y un incremental histórico de 22,6 %: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29,3 % en 2035e frente al 26,8 %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5,0 % frente a 5,4 % real: genera una variación de circulante de 1.635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-9,5 %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2026-10-09, 3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«Vender»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fuentes (13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 6, 7, 8, 9, 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nota de ingresos por geografía (no abre desde la nube); 2) búsqueda de ingresos por usuario y región;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2021-2023 y resultado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 abre); 2) búsqueda de resultados de Reality Labs 2025; 3) comunicado del 4T25 (el extracto no daba el resultado por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 corriente y fondo de comercio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8-K del 4T25 (el extracto solo daba el activo); 2) Stock Analysis; 3) edgar.tools y Weiss Ratings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rating y coste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2T26, nota de deuda (no abre); 2) folletos de los bonos de mayo de 2026; 3) prensa sobre la emisión (sin calendario completo)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FCF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del 1T26 y 2T26 (amortización trimestral no en el extracto); 2) 10-Q;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y crecimiento histórico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eMarketer (solo cifras por empresa en el extracto); 2) búsqueda del gasto mundial total; 3) prensa sectorial (reproducen el mismo comunicado)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2) Sustainalytics; 3) informe de sostenibilidad (sin búsquedas disponibles: presupuesto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remuneración del CEO y votos de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DEF 14A 2026 (no abre desde la nube); 2) Boardroom Alpha (solo resumen); 3) búsqueda de la remuneración de 2025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 (Form 4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form4.mjs (sin red a sec.gov); 2) búsqueda de ventas de Zuckerberg en 2026 (solo resultados de 2023-2025); 3) MarketBeat (antiguos)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Finance histórico (no abre; la búsqueda no da el día); 2) búsquedas de prensa del 12 y 13 de octubre; 3) resúmenes de mercado de los Siete Magníficos del 13-oct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precedentes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compras de plataformas publicitarias 2019-2026; 2) participación en Scale AI (2025, no es control); 3) sin múltiplos publicados comparables para una empresa del tamaño de Meta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frente a índices, volatilidad, caída máxima y volumen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key statistics (solo posición corta); 3) búsquedas de rentabilidad del S&amp;P 500 en el año (sin datos fechados)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arrendamientos financieros y vehículos fuera de balance (Hyperion)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del 2T26, nota de arrendamientos (no abre); 2) búsqueda de la estructura de Hyperion con Blue Owl (sin cifras de garantía); 3) prensa sobre la deuda privada de 27.000 M (no confirma la obligación de Meta)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(meta-20251231). Extracto de búsqueda; el documento no se pudo abrir desde la nube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Meta Platforms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https://www.sec.gov/Archives/edgar/data/1326801/000162828026003942/meta-20251231.htm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Meta Reports Fourth Quarter and Full Year 2025 Results (8-K, anexo 99.1).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Meta Platforms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https://www.sec.gov/Archives/edgar/data/1326801/000162828026003832/meta-12312025xexhibit991.htm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Reports First Quarter 2026 Results (8-K, anexo 99.1).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https://www.sec.gov/Archives/edgar/data/0001326801/000162828026028364/meta-03312026xexhibit991.htm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Reports Second Quarter 2026 Results (8-K, anexo 99.1).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https://www.sec.gov/Archives/edgar/data/0001326801/000162828026050596/meta-06302026xexhibit991.htm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(meta-20260630): deuda a largo de 83.660 M y bonos de 25.000 M de mayo de 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https://www.sec.gov/Archives/edgar/data/0001326801/000162828026050705/meta-20260630.htm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Income Statement 2018-2025 (ingresos, beneficio neto, BPA diluido).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https://finboard.net/companies/META/income-statement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Inc.: Income Statement (coste de ventas, gastos generales, resultado financiero 2024-2025).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on 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https://www.stock-analysis-on.net/NASDAQ/Company/Meta-Platforms-Inc/Financial-Statement/Income-Statement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(META) Balance Sheet (anual).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https://stockanalysis.com/stocks/meta/financials/balance-sheet/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balance a 31-dic-2025 (pasivo total 148.778 M, patrimonio 217.243 M, reservas 121.179 M).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edgar.tools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https://app.edgar.tools/companies/META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Meta's (META) Sales Jumped 28% While Free Cash Flow Shrank (flujo operativo 31.860 M y FCF 784 M en el 2T26).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https://www.insidermonkey.com/news/meta-meta-sales-jumped-28-while-free-cash-flow-shrank-can-muse-close-the-gap-1849928/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Q2 2026 Follow Up Call Transcript.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https://s21.q4cdn.com/399680738/files/doc_financials/2026/q2/META-Q2-2026-Follow-Up-Call-Transcript.pdf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Sells $25 Billion of Debt as Investor Worry, Fatigue Builds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Tax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https://news.bloombergtax.com/daily-tax-report-international/meta-looks-to-raise-as-much-as-25-billion-with-jumbo-bond-sale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Inc.: previsiones financieras (EBITDA 2025 = EBIT 83.276 + amortización 18.616 + remuneración en acciones 20.427), leído en el informe de Amazon del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https://www.marketscreener.com/quote/stock/META-PLATFORMS-INC-10547141/finances/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(ARS): flujo operativo 115.800 M, capex 72.220 M con arrendamientos financieros, recompras 26.260 M, dividendos 5.320 M.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https://www.sec.gov/Archives/edgar/data/1326801/000162828026025534/meta-12312025x10kars.htm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CFO admits company keeps underestimating AI compute needs, refuses 2027 capex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Munich Startup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https://insights.munich-startup.de/news/feed/meta-cfo-admits-company-keeps-underestimating-ai-compute-needs-refuses-2027-capex-guidance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to Surpass Google in Digital Ad Revenues for First Time Ever (previsión mundial de abril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eMarketer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https://emarketer.com/press-releases/meta-to-surpass-google-in-digital-ad-revenues-for-first-time-ever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Set To Surpass Google In 2026 Ad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MediaPost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https://www.mediapost.com/publications/article/414285/meta-set-to-surpass-google-in-2026-ad-revenue.html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appeals landmark jury verdict that found it to blame for social media addiction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News (AP)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https://abcnews.com/Technology/wireStory/meta-appeals-landmark-jury-verdict-found-blame-social-134665725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N.M. Jury Hands Down $375M Verdict Against Meta in Social Media Addiction Case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HarrisMartin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https://www.harrismartin.com/publications/27/MDL/articles/85275/nm-jury-hands-down-375m-verdict-against-meta-in-social-media-addiction-case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stock jumps 36% in September after Muse launch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NewsBytes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https://www.newsbytesapp.com/news/business/meta-stock-jumps-36-in-september-after-muse-launch/tldr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Added $200 Billion in One Day on an App That Beat ChatGPT's Launch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https://247wallst.com/investing/2026/09/22/meta-added-200-billion-in-one-day-on-an-app-that-beat-chatgpts-launch/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Analysts split on Meta's AI timeline: Muse downloads surge while revenue delays loom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Parameter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https://parameter.io/analysts-split-on-metas-ai-timeline-muse-downloads-surge-while-revenue-delays-loom/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Gets A $1,000 Target From Wells Fargo — Says Enthusiasm Around Muse Product Cycle Is Warranted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https://stocktwits.com/news-articles/markets/equity/meta-gets-a-1-000-target-from-wells-fargo-says-enthusiasm-around-muse-product-cycle-is-warranted/cZDtePHRBl5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Reports First Quarter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https://investor.atmeta.com/investor-news/press-release-details/2026/Meta-Reports-First-Quarter-2026-Results/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Alphabet del repositorio (8-oct-2026): ingresos de 402.836 M y EBIT de 129.039 M en 2025, del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 SEC (vía informes/alphabet-2026-10-08)</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https://abc.xyz/investor/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Amazon del repositorio (12-oct-2026): ingresos de 716.924 M y EBIT de 79.975 M en 2025, del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 SEC (vía informes/amazon-2026-10-12)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https://ir.aboutamazon.com/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Netflix del repositorio (11-oct-2026): ingresos de 45.183 M y EBIT de 13.327 M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 SEC (vía informes/netflix-2026-10-11)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https://ir.netflix.net/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Extracto de búsqueda; el documento no se pudo abrir desde la nube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https://www.sec.gov/Archives/edgar/data/1326801/000162828026025532/meta-20260416.htm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Inc (META) 2026 Annual Meeting (consejo, voto de Zuckerberg, propuestas)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Boardroom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https://www.boardroomalpha.com/?p=19599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8-K del 29-may-2026 (resultados de la junta)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Boardroom Alpha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https://www.boardroomalpha.com/sec/meta-8-k-2026-05-29-0001628280-26-039193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(META) históricos de cotización: cierre de 718,67 USD el 9-oct-2026. Extracto de búsqueda; la página no se pudo abrir y no se encontró el cierre del 13-oct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https://finance.yahoo.com/quote/META/history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(META) Stock Outlook: Muse Image Launched, Zuckerberg Hints at Compute Overbuild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https://www.itiger.com/news/2649099232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(META) Stock Forecast: estimaciones de ingresos y BPA 2026-2027 (1-ago-2026).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https://www.tickflow.io/stock/META/forecast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forecasts and price targets (BPA 2028e de 40,03 USD).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Eulerpool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https://eulerpool.com/stock/Meta%20Platforms-Stock-US30303M1027/price-target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(META) Stock Forecast &amp; Price Target (objetivo medio 785,22 USD, 47 analistas, 595-1.000 USD).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https://www.marketbeat.com/stocks/NASDAQ/META/Forecast/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price target lowered to $750 from $820 at Morgan Stanley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(The Fly)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https://finance.yahoo.com/news/meta-platforms-price-target-lowered-130600901.html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price target lowered to $810 from $900 at BofA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 (The Fly)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https://www.tipranks.com/news/the-fly/meta-platforms-price-target-lowered-to-810-from-900-at-bofa-thefly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valor razonable de consenso recortado de 829 a 754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https://www.simplywall.st/company/id/8acbc59a-0ec5-42d1-9f7b-6d31abd4421e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Fifty-Five Analysts Cover Meta and None Say Sell (objetivo medio 826,60 USD; 9 compra fuerte, 47 compra, 7 mantener)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https://247wallst.com/investing/2026/09/15/fifty-five-analysts-cover-meta-and-none-say-sell/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PE Ratio y precios de cierre anuales 2018-2024.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https://m.macrotrends.net/stocks/charts/META/meta-platforms/pe-ratio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historical prices, December 2025 (cierre del mes 660,05 USD).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Options Analysis Suite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https://www.optionsanalysissuite.com/stocks/meta/history/2025-12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stock forecast (máximo histórico de 744,05 USD el 28-ene-2026 y mínimo de 525,01 USD el 27-mar-2026)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https://capital.com/en-gb/analysis/meta-platforms-fb-stock-forecast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stock jumps 36% in September after Muse launch (máximo de 52 semanas de 779,82 USD el 24-sep-2026).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NewsBytes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https://www.newsbytesapp.com/news/business/meta-s-stock-soars-36-on-muse-ai-boost/story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key statistics (posición corta 1,31 % del flotante a 31-ago-2026)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https://finance.yahoo.com/quote/META/key-statistics/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Previsiones de Alphabet, Microsoft y Oracle (MarketScreener) y estadísticas (Stock Analysis), precios del 9-oct-2026, tal como las recoge el informe de Amazon del repositorio (informes/amazon-2026-10-12)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https://www.marketscreener.com/quote/stock/ALPHABET-INC-24203373/finances/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Previsiones de Amazon, Apple y Netflix (MarketScreener) y estadísticas (Stock Analysis), precios del 7-oct-2026, tal como las recoge el informe de Alphabet del repositorio (informes/alphabet-2026-10-08)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https://www.marketscreener.com/quote/stock/AMAZON-COM-INC-12864605/finances/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Dato del método del repositorio; no se abrió la hoja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Treasury yields (13-oct-2026): bono a 10 años en torno al 5,21 %; FRED DGS10 5,24 % el 9-oct. Extracto de búsqueda tomado del informe de Group 1 Automotive del mismo 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 / Forbes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beta (1,34-1,37; página sin fecha)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https://fintel.io/s/us/meta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earnings date: 28-oct-2026 tras el cierre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https://beta.earningswhispers.com/go/w/META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Cash Burning Machine (Rating Downgrade)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https://seekingalpha.com/article/4927636-meta-platforms-cash-burning-machine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stock moves closer to 200-DMA after Muse Spark AI release; retail sentiment «extremely bullish» on Stocktwits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Asianet Newsable (Stocktwits)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https://newsable.asianetnews.com/markets/meta-stock-moves-closer-to-200-dma-after-muse-spark-ai-release-cathie-wood-s-ark-boosts-stake-by-over-20m-articleshow-z7n5n2n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Stock Is Set For Its Best Month In Over 13 Years — It's Inches Away From $2 Trillion Market Cap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https://stocktwits.com/news-articles/markets/equity/meta-stock-is-set-for-its-best-month-in-over-13-years-it-s-inches-away-from-2-trillion-market-cap/cZMJ1cpRBab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por qué 1.000 USD es alcanzable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Pluang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https://pluang.com/en/news-feed/meta-platforms-alasan-harga-1000-dolar-mudah-dicapai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Is Up Nearly 25% in September. Does It Have Room to Rise Further?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https://www.webull.com/news/15667139777610752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80,1 %</w:t>
      </w:r>
      <w:r>
        <w:t xml:space="preserve"> · Secciones con menos del 60 % de campos cubiertos: </w:t>
      </w:r>
      <w:r>
        <w:rPr>
          <w:b/>
          <w:bCs/>
        </w:rPr>
        <w:t xml:space="preserve">gobierno, transacciones, balance</w:t>
      </w:r>
      <w:r>
        <w:t xml:space="preserve"> · Generado el 14 oct 2026.</w:t>
      </w:r>
    </w:p>
    <w:p>
      <w:pPr>
        <w:pStyle w:val="Nota"/>
        <w:spacing w:after="100"/>
      </w:pPr>
      <w:r>
        <w:t xml:space="preserve">Análisis hecho desde la nube con la red limitada a la búsqueda web: sec.gov, la web de inversores, Yahoo Finance y los proveedores de datos no se pudieron abrir, así que las cifras salen de los extractos de búsqueda de los 8-K, del 10-K, del 10-Q, de agregadores (Stock Analysis, edgar.tools, Finboard, Macrotrends) y de la prensa financiera, cruzadas con identidades contables (beneficio antes de impuestos menos impuestos igual al beneficio neto; BPA por acciones igual al beneficio) cuando fue posible. La confianza es menor que en un análisis normal y lo que no cuadró está en null y en los huecos. El consejo solo lista a los dos consejeros comprobados; el motor calcula por eso un 50 % de independientes, cuando según la junta de 2026 son 11 de 12 [29]. Precio: último cierre localizado, 718,67 USD del 9-oct-2026 [31]; no se encontró el cierre del 13-oct. Acciones diluidas: 2.564 M, implícitas en el 2T26 (beneficio neto de 15.848 M entre BPA diluido de 6,18 USD) [4]. Cuentas en USD y US GAAP; ejercicio natural. Los arrendamientos operativos no van al puente (US GAAP); los financieros no se pudieron leer y quedan en cero. Los comparables vienen de los informes de Amazon (precios del 9-oct) y de Alphabet (7-oct) del repositorio: los de Amazon miden el EBITDA con la remuneración en acciones como gasto y los de Alphabet sin restarla, así que sus EV/EBITDA no son homogéneos; el PER sí lo es. El BPA del objetivo a 12 meses y el PER histórico están en base normalizada (2025 sin el cargo fiscal de la ley OBBBA, con el tipo del 13 % que da la propia empresa).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Meta Platforms, Inc. (META)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718,67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(525,01 – 779,82)</c:v>
                </c:pt>
                <c:pt idx="1">
                  <c:v>Precio objetivo de los analistas (595,00 – 1.000,00)</c:v>
                </c:pt>
                <c:pt idx="2">
                  <c:v>Comparables: PER NTM (655,73 – 848,34)</c:v>
                </c:pt>
                <c:pt idx="3">
                  <c:v>DCF (WACC y g ± 0,5) (383,49 – 499,57)</c:v>
                </c:pt>
                <c:pt idx="4">
                  <c:v>Escenarios (bajista – alcista) (252,45 – 586,56)</c:v>
                </c:pt>
                <c:pt idx="5">
                  <c:v>DCF con la prima implícita del mercado (4,2 %)</c:v>
                </c:pt>
                <c:pt idx="6">
                  <c:v>Precio actual (718,67)</c:v>
                </c:pt>
              </c:strCache>
            </c:strRef>
          </c:cat>
          <c:val>
            <c:numRef>
              <c:f>Hoja1!$B$2:$B$8</c:f>
              <c:numCache>
                <c:formatCode>#,##0</c:formatCode>
                <c:ptCount val="7"/>
                <c:pt idx="0">
                  <c:v>525.01</c:v>
                </c:pt>
                <c:pt idx="1">
                  <c:v>595</c:v>
                </c:pt>
                <c:pt idx="2">
                  <c:v>655.73</c:v>
                </c:pt>
                <c:pt idx="3">
                  <c:v>383.49</c:v>
                </c:pt>
                <c:pt idx="4">
                  <c:v>252.45</c:v>
                </c:pt>
                <c:pt idx="5">
                  <c:v>468.47</c:v>
                </c:pt>
                <c:pt idx="6">
                  <c:v>715.08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(525,01 – 779,82)</c:v>
                </c:pt>
                <c:pt idx="1">
                  <c:v>Precio objetivo de los analistas (595,00 – 1.000,00)</c:v>
                </c:pt>
                <c:pt idx="2">
                  <c:v>Comparables: PER NTM (655,73 – 848,34)</c:v>
                </c:pt>
                <c:pt idx="3">
                  <c:v>DCF (WACC y g ± 0,5) (383,49 – 499,57)</c:v>
                </c:pt>
                <c:pt idx="4">
                  <c:v>Escenarios (bajista – alcista) (252,45 – 586,56)</c:v>
                </c:pt>
                <c:pt idx="5">
                  <c:v>DCF con la prima implícita del mercado (4,2 %)</c:v>
                </c:pt>
                <c:pt idx="6">
                  <c:v>Precio actual (718,67)</c:v>
                </c:pt>
              </c:strCache>
            </c:strRef>
          </c:cat>
          <c:val>
            <c:numRef>
              <c:f>Hoja1!$C$2:$C$8</c:f>
              <c:numCache>
                <c:formatCode>#,##0</c:formatCode>
                <c:ptCount val="7"/>
                <c:pt idx="0">
                  <c:v>254.81000000000006</c:v>
                </c:pt>
                <c:pt idx="1">
                  <c:v>405</c:v>
                </c:pt>
                <c:pt idx="2">
                  <c:v>192.61</c:v>
                </c:pt>
                <c:pt idx="3">
                  <c:v>116.07999999999998</c:v>
                </c:pt>
                <c:pt idx="4">
                  <c:v>334.10999999999996</c:v>
                </c:pt>
                <c:pt idx="5">
                  <c:v>94.74000000000001</c:v>
                </c:pt>
                <c:pt idx="6">
                  <c:v>7.17999999999995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Family of Apps</c:v>
                </c:pt>
              </c:strCache>
            </c:strRef>
          </c:tx>
          <c:spPr>
            <a:solidFill>
              <a:srgbClr val="2A78D6"/>
            </a:solidFill>
            <a:ln w="12700">
              <a:solidFill>
                <a:srgbClr val="FFFFFF"/>
              </a:solidFill>
            </a:ln>
          </c:spPr>
          <c:invertIfNegative val="0"/>
          <c:cat>
            <c:strRef>
              <c:f>Hoja1!$A$2</c:f>
              <c:strCache>
                <c:ptCount val="1"/>
                <c:pt idx="0">
                  <c:v>2024</c:v>
                </c:pt>
              </c:strCache>
            </c:strRef>
          </c:cat>
          <c:val>
            <c:numRef>
              <c:f>Hoja1!$B$2</c:f>
              <c:numCache>
                <c:formatCode>#,##0</c:formatCode>
                <c:ptCount val="1"/>
                <c:pt idx="0">
                  <c:v>162355</c:v>
                </c:pt>
              </c:numCache>
            </c:numRef>
          </c:val>
        </c:ser>
        <c:ser>
          <c:idx val="1"/>
          <c:order val="1"/>
          <c:tx>
            <c:strRef>
              <c:f>Hoja1!$C$1</c:f>
              <c:strCache>
                <c:ptCount val="1"/>
                <c:pt idx="0">
                  <c:v>Reality Labs</c:v>
                </c:pt>
              </c:strCache>
            </c:strRef>
          </c:tx>
          <c:spPr>
            <a:solidFill>
              <a:srgbClr val="EB6834"/>
            </a:solidFill>
            <a:ln w="12700">
              <a:solidFill>
                <a:srgbClr val="FFFFFF"/>
              </a:solidFill>
            </a:ln>
          </c:spPr>
          <c:invertIfNegative val="0"/>
          <c:cat>
            <c:strRef>
              <c:f>Hoja1!$A$2</c:f>
              <c:strCache>
                <c:ptCount val="1"/>
                <c:pt idx="0">
                  <c:v>2024</c:v>
                </c:pt>
              </c:strCache>
            </c:strRef>
          </c:cat>
          <c:val>
            <c:numRef>
              <c:f>Hoja1!$C$2</c:f>
              <c:numCache>
                <c:formatCode>#,##0</c:formatCode>
                <c:ptCount val="1"/>
                <c:pt idx="0">
                  <c:v>2146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(2024)</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Family of Apps</c:v>
                </c:pt>
                <c:pt idx="1">
                  <c:v>Reality Labs</c:v>
                </c:pt>
              </c:strCache>
            </c:strRef>
          </c:cat>
          <c:val>
            <c:numRef>
              <c:f>Hoja1!$B$2:$B$3</c:f>
              <c:numCache>
                <c:formatCode>General</c:formatCode>
                <c:ptCount val="2"/>
                <c:pt idx="0">
                  <c:v>98.7</c:v>
                </c:pt>
                <c:pt idx="1">
                  <c:v>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Meta</c:v>
                </c:pt>
                <c:pt idx="1">
                  <c:v>Alphabet (Google, YouTube)</c:v>
                </c:pt>
                <c:pt idx="2">
                  <c:v>Amazon (publicidad)</c:v>
                </c:pt>
                <c:pt idx="3">
                  <c:v>ByteDance (TikTok)</c:v>
                </c:pt>
                <c:pt idx="4">
                  <c:v>Netflix (publicidad y tiempo de vídeo)</c:v>
                </c:pt>
              </c:strCache>
            </c:strRef>
          </c:cat>
          <c:val>
            <c:numRef>
              <c:f>Hoja1!$B$2:$B$6</c:f>
              <c:numCache>
                <c:formatCode>0.0"%"</c:formatCode>
                <c:ptCount val="5"/>
                <c:pt idx="0">
                  <c:v>41.4</c:v>
                </c:pt>
                <c:pt idx="1">
                  <c:v>32</c:v>
                </c:pt>
                <c:pt idx="2">
                  <c:v>11.2</c:v>
                </c:pt>
                <c:pt idx="4">
                  <c:v>29.5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2</c:v>
                </c:pt>
                <c:pt idx="2">
                  <c:v>3</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117929</c:v>
                </c:pt>
                <c:pt idx="1">
                  <c:v>116609</c:v>
                </c:pt>
                <c:pt idx="2">
                  <c:v>134902</c:v>
                </c:pt>
                <c:pt idx="3">
                  <c:v>164501</c:v>
                </c:pt>
                <c:pt idx="4">
                  <c:v>200966</c:v>
                </c:pt>
                <c:pt idx="5">
                  <c:v>250203</c:v>
                </c:pt>
                <c:pt idx="6">
                  <c:v>292737</c:v>
                </c:pt>
                <c:pt idx="7">
                  <c:v>333720</c:v>
                </c:pt>
                <c:pt idx="8">
                  <c:v>373767</c:v>
                </c:pt>
                <c:pt idx="9">
                  <c:v>411143</c:v>
                </c:pt>
                <c:pt idx="10">
                  <c:v>448146</c:v>
                </c:pt>
                <c:pt idx="11">
                  <c:v>483998</c:v>
                </c:pt>
                <c:pt idx="12">
                  <c:v>517878</c:v>
                </c:pt>
                <c:pt idx="13">
                  <c:v>548951</c:v>
                </c:pt>
                <c:pt idx="14">
                  <c:v>576398</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54720</c:v>
                </c:pt>
                <c:pt idx="1">
                  <c:v>37630</c:v>
                </c:pt>
                <c:pt idx="2">
                  <c:v>57929</c:v>
                </c:pt>
                <c:pt idx="3">
                  <c:v>84878</c:v>
                </c:pt>
                <c:pt idx="4">
                  <c:v>101892</c:v>
                </c:pt>
                <c:pt idx="5">
                  <c:v>114593</c:v>
                </c:pt>
                <c:pt idx="6">
                  <c:v>134659</c:v>
                </c:pt>
                <c:pt idx="7">
                  <c:v>160186</c:v>
                </c:pt>
                <c:pt idx="8">
                  <c:v>186883</c:v>
                </c:pt>
                <c:pt idx="9">
                  <c:v>209683</c:v>
                </c:pt>
                <c:pt idx="10">
                  <c:v>233036</c:v>
                </c:pt>
                <c:pt idx="11">
                  <c:v>251679</c:v>
                </c:pt>
                <c:pt idx="12">
                  <c:v>269297</c:v>
                </c:pt>
                <c:pt idx="13">
                  <c:v>285454</c:v>
                </c:pt>
                <c:pt idx="14">
                  <c:v>299727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80.8</c:v>
                </c:pt>
                <c:pt idx="1">
                  <c:v>78.3</c:v>
                </c:pt>
                <c:pt idx="2">
                  <c:v>80.8</c:v>
                </c:pt>
                <c:pt idx="3">
                  <c:v>81.7</c:v>
                </c:pt>
                <c:pt idx="4">
                  <c:v>82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46.4</c:v>
                </c:pt>
                <c:pt idx="1">
                  <c:v>32.3</c:v>
                </c:pt>
                <c:pt idx="2">
                  <c:v>42.9</c:v>
                </c:pt>
                <c:pt idx="3">
                  <c:v>51.6</c:v>
                </c:pt>
                <c:pt idx="4">
                  <c:v>50.7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39.6</c:v>
                </c:pt>
                <c:pt idx="1">
                  <c:v>24.8</c:v>
                </c:pt>
                <c:pt idx="2">
                  <c:v>34.7</c:v>
                </c:pt>
                <c:pt idx="3">
                  <c:v>42.2</c:v>
                </c:pt>
                <c:pt idx="4">
                  <c:v>41.4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33.4</c:v>
                </c:pt>
                <c:pt idx="1">
                  <c:v>19.9</c:v>
                </c:pt>
                <c:pt idx="2">
                  <c:v>29</c:v>
                </c:pt>
                <c:pt idx="3">
                  <c:v>37.9</c:v>
                </c:pt>
                <c:pt idx="4">
                  <c:v>30.1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18.9</c:v>
                </c:pt>
                <c:pt idx="1">
                  <c:v>20.6</c:v>
                </c:pt>
                <c:pt idx="2">
                  <c:v>16.1</c:v>
                </c:pt>
                <c:pt idx="3">
                  <c:v>21.6</c:v>
                </c:pt>
                <c:pt idx="4">
                  <c:v>26.2</c:v>
                </c:pt>
                <c:pt idx="5">
                  <c:v>23.8</c:v>
                </c:pt>
                <c:pt idx="6">
                  <c:v>33.1</c:v>
                </c:pt>
                <c:pt idx="7">
                  <c:v>28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6">
                  <c:v>29</c:v>
                </c:pt>
                <c:pt idx="7">
                  <c:v>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43</c:v>
                </c:pt>
                <c:pt idx="1">
                  <c:v>42</c:v>
                </c:pt>
                <c:pt idx="2">
                  <c:v>44</c:v>
                </c:pt>
                <c:pt idx="3">
                  <c:v>38</c:v>
                </c:pt>
                <c:pt idx="4">
                  <c:v>36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66</c:v>
                </c:pt>
                <c:pt idx="1">
                  <c:v>72</c:v>
                </c:pt>
                <c:pt idx="2">
                  <c:v>68</c:v>
                </c:pt>
                <c:pt idx="3">
                  <c:v>93</c:v>
                </c:pt>
                <c:pt idx="4">
                  <c:v>90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38439</c:v>
                </c:pt>
                <c:pt idx="1">
                  <c:v>18194</c:v>
                </c:pt>
                <c:pt idx="2">
                  <c:v>42789</c:v>
                </c:pt>
                <c:pt idx="3">
                  <c:v>52103</c:v>
                </c:pt>
                <c:pt idx="4">
                  <c:v>43580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39370</c:v>
                </c:pt>
                <c:pt idx="1">
                  <c:v>23200</c:v>
                </c:pt>
                <c:pt idx="2">
                  <c:v>39098</c:v>
                </c:pt>
                <c:pt idx="3">
                  <c:v>62360</c:v>
                </c:pt>
                <c:pt idx="4">
                  <c:v>60458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50.6</c:v>
                </c:pt>
                <c:pt idx="1">
                  <c:v>27.1</c:v>
                </c:pt>
                <c:pt idx="2">
                  <c:v>38.3</c:v>
                </c:pt>
                <c:pt idx="3">
                  <c:v>51.1</c:v>
                </c:pt>
                <c:pt idx="4">
                  <c:v>35.7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11.1</c:v>
                </c:pt>
                <c:pt idx="1">
                  <c:v>11.1</c:v>
                </c:pt>
                <c:pt idx="2">
                  <c:v>11.1</c:v>
                </c:pt>
                <c:pt idx="3">
                  <c:v>11.1</c:v>
                </c:pt>
                <c:pt idx="4">
                  <c:v>11.1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31.5</c:v>
                </c:pt>
                <c:pt idx="1">
                  <c:v>18.5</c:v>
                </c:pt>
                <c:pt idx="2">
                  <c:v>28</c:v>
                </c:pt>
                <c:pt idx="3">
                  <c:v>37.1</c:v>
                </c:pt>
                <c:pt idx="4">
                  <c:v>30.2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-0.88</c:v>
                </c:pt>
                <c:pt idx="1">
                  <c:v>-0.82</c:v>
                </c:pt>
                <c:pt idx="2">
                  <c:v>-0.81</c:v>
                </c:pt>
                <c:pt idx="3">
                  <c:v>-0.58</c:v>
                </c:pt>
                <c:pt idx="4">
                  <c:v>-0.22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851</c:v>
                </c:pt>
                <c:pt idx="1">
                  <c:v>1312</c:v>
                </c:pt>
                <c:pt idx="2">
                  <c:v>629</c:v>
                </c:pt>
                <c:pt idx="3">
                  <c:v>270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5072</c:v>
                </c:pt>
                <c:pt idx="4">
                  <c:v>5320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44537</c:v>
                </c:pt>
                <c:pt idx="1">
                  <c:v>27956</c:v>
                </c:pt>
                <c:pt idx="2">
                  <c:v>19774</c:v>
                </c:pt>
                <c:pt idx="3">
                  <c:v>29749</c:v>
                </c:pt>
                <c:pt idx="4">
                  <c:v>26260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Mark Zuckerberg (clase B, 10 votos por acción)</c:v>
                </c:pt>
              </c:strCache>
            </c:strRef>
          </c:cat>
          <c:val>
            <c:numRef>
              <c:f>Hoja1!$B$2</c:f>
              <c:numCache>
                <c:formatCode>0.0"%"</c:formatCode>
                <c:ptCount val="1"/>
                <c:pt idx="0">
                  <c:v>13.5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56.6</c:v>
                </c:pt>
                <c:pt idx="1">
                  <c:v>33.1</c:v>
                </c:pt>
                <c:pt idx="2">
                  <c:v>23.1</c:v>
                </c:pt>
                <c:pt idx="3">
                  <c:v>-64.2</c:v>
                </c:pt>
                <c:pt idx="4">
                  <c:v>194.1</c:v>
                </c:pt>
                <c:pt idx="5">
                  <c:v>66</c:v>
                </c:pt>
                <c:pt idx="6">
                  <c:v>12.8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16.6</c:v>
                </c:pt>
                <c:pt idx="1">
                  <c:v>7.8</c:v>
                </c:pt>
                <c:pt idx="2">
                  <c:v>15.2</c:v>
                </c:pt>
                <c:pt idx="3">
                  <c:v>17.4</c:v>
                </c:pt>
                <c:pt idx="4">
                  <c:v>16.4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16.4</c:v>
                </c:pt>
                <c:pt idx="1">
                  <c:v>16.4</c:v>
                </c:pt>
                <c:pt idx="2">
                  <c:v>16.4</c:v>
                </c:pt>
                <c:pt idx="3">
                  <c:v>16.4</c:v>
                </c:pt>
                <c:pt idx="4">
                  <c:v>16.4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Meta</c:v>
                </c:pt>
                <c:pt idx="1">
                  <c:v>Alphabet</c:v>
                </c:pt>
                <c:pt idx="2">
                  <c:v>Microsoft</c:v>
                </c:pt>
                <c:pt idx="3">
                  <c:v>Oracle</c:v>
                </c:pt>
                <c:pt idx="4">
                  <c:v>Amazon</c:v>
                </c:pt>
                <c:pt idx="5">
                  <c:v>Apple</c:v>
                </c:pt>
                <c:pt idx="6">
                  <c:v>Netflix</c:v>
                </c:pt>
              </c:strCache>
            </c:strRef>
          </c:cat>
          <c:val>
            <c:numRef>
              <c:f>Hoja1!$B$2:$B$8</c:f>
              <c:numCache>
                <c:formatCode>0.0"x"</c:formatCode>
                <c:ptCount val="7"/>
                <c:pt idx="1">
                  <c:v>17.2</c:v>
                </c:pt>
                <c:pt idx="2">
                  <c:v>16.6</c:v>
                </c:pt>
                <c:pt idx="3">
                  <c:v>10.1</c:v>
                </c:pt>
                <c:pt idx="4">
                  <c:v>11.26</c:v>
                </c:pt>
                <c:pt idx="5">
                  <c:v>26.92</c:v>
                </c:pt>
                <c:pt idx="6">
                  <c:v>15.41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Alphabet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24.3</c:v>
                </c:pt>
              </c:numCache>
            </c:numRef>
          </c:xVal>
          <c:yVal>
            <c:numRef>
              <c:f>Hoja1!$C$2</c:f>
              <c:numCache>
                <c:formatCode>0.0"x"</c:formatCode>
                <c:ptCount val="1"/>
                <c:pt idx="0">
                  <c:v>17.2</c:v>
                </c:pt>
              </c:numCache>
            </c:numRef>
          </c:yVal>
          <c:smooth val="0"/>
        </c:ser>
        <c:ser>
          <c:idx val="1"/>
          <c:order val="1"/>
          <c:tx>
            <c:strRef>
              <c:f>Hoja1!$A$3</c:f>
              <c:strCache>
                <c:ptCount val="1"/>
                <c:pt idx="0">
                  <c:v>Microsoft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18.5</c:v>
                </c:pt>
              </c:numCache>
            </c:numRef>
          </c:xVal>
          <c:yVal>
            <c:numRef>
              <c:f>Hoja1!$C$3</c:f>
              <c:numCache>
                <c:formatCode>0.0"x"</c:formatCode>
                <c:ptCount val="1"/>
                <c:pt idx="0">
                  <c:v>16.6</c:v>
                </c:pt>
              </c:numCache>
            </c:numRef>
          </c:yVal>
          <c:smooth val="0"/>
        </c:ser>
        <c:ser>
          <c:idx val="2"/>
          <c:order val="2"/>
          <c:tx>
            <c:strRef>
              <c:f>Hoja1!$A$4</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39.5</c:v>
                </c:pt>
              </c:numCache>
            </c:numRef>
          </c:xVal>
          <c:yVal>
            <c:numRef>
              <c:f>Hoja1!$C$4</c:f>
              <c:numCache>
                <c:formatCode>0.0"x"</c:formatCode>
                <c:ptCount val="1"/>
                <c:pt idx="0">
                  <c:v>10.1</c:v>
                </c:pt>
              </c:numCache>
            </c:numRef>
          </c:yVal>
          <c:smooth val="0"/>
        </c:ser>
        <c:ser>
          <c:idx val="3"/>
          <c:order val="3"/>
          <c:tx>
            <c:strRef>
              <c:f>Hoja1!$A$5</c:f>
              <c:strCache>
                <c:ptCount val="1"/>
                <c:pt idx="0">
                  <c:v>Amazon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15.07</c:v>
                </c:pt>
              </c:numCache>
            </c:numRef>
          </c:xVal>
          <c:yVal>
            <c:numRef>
              <c:f>Hoja1!$C$5</c:f>
              <c:numCache>
                <c:formatCode>0.0"x"</c:formatCode>
                <c:ptCount val="1"/>
                <c:pt idx="0">
                  <c:v>11.26</c:v>
                </c:pt>
              </c:numCache>
            </c:numRef>
          </c:yVal>
          <c:smooth val="0"/>
        </c:ser>
        <c:ser>
          <c:idx val="4"/>
          <c:order val="4"/>
          <c:tx>
            <c:strRef>
              <c:f>Hoja1!$A$6</c:f>
              <c:strCache>
                <c:ptCount val="1"/>
                <c:pt idx="0">
                  <c:v>Apple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10.54</c:v>
                </c:pt>
              </c:numCache>
            </c:numRef>
          </c:xVal>
          <c:yVal>
            <c:numRef>
              <c:f>Hoja1!$C$6</c:f>
              <c:numCache>
                <c:formatCode>0.0"x"</c:formatCode>
                <c:ptCount val="1"/>
                <c:pt idx="0">
                  <c:v>26.92</c:v>
                </c:pt>
              </c:numCache>
            </c:numRef>
          </c:yVal>
          <c:smooth val="0"/>
        </c:ser>
        <c:ser>
          <c:idx val="5"/>
          <c:order val="5"/>
          <c:tx>
            <c:strRef>
              <c:f>Hoja1!$A$7</c:f>
              <c:strCache>
                <c:ptCount val="1"/>
                <c:pt idx="0">
                  <c:v>Netflix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12.15</c:v>
                </c:pt>
              </c:numCache>
            </c:numRef>
          </c:xVal>
          <c:yVal>
            <c:numRef>
              <c:f>Hoja1!$C$7</c:f>
              <c:numCache>
                <c:formatCode>0.0"x"</c:formatCode>
                <c:ptCount val="1"/>
                <c:pt idx="0">
                  <c:v>15.41</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-37151</c:v>
                </c:pt>
                <c:pt idx="1">
                  <c:v>-56064</c:v>
                </c:pt>
                <c:pt idx="2">
                  <c:v>-23741</c:v>
                </c:pt>
                <c:pt idx="3">
                  <c:v>25470</c:v>
                </c:pt>
                <c:pt idx="4">
                  <c:v>64736</c:v>
                </c:pt>
                <c:pt idx="5">
                  <c:v>96966</c:v>
                </c:pt>
                <c:pt idx="6">
                  <c:v>119086</c:v>
                </c:pt>
                <c:pt idx="7">
                  <c:v>137615</c:v>
                </c:pt>
                <c:pt idx="8">
                  <c:v>151192</c:v>
                </c:pt>
                <c:pt idx="9">
                  <c:v>164342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308820</c:v>
                </c:pt>
                <c:pt idx="1">
                  <c:v>798413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718,67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252.45</c:v>
                </c:pt>
                <c:pt idx="1">
                  <c:v>434.41</c:v>
                </c:pt>
                <c:pt idx="2">
                  <c:v>586.56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718,67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(525,01 – 779,82)</c:v>
                </c:pt>
                <c:pt idx="1">
                  <c:v>Precio objetivo de los analistas (595,00 – 1.000,00)</c:v>
                </c:pt>
                <c:pt idx="2">
                  <c:v>Comparables: PER NTM (655,73 – 848,34)</c:v>
                </c:pt>
                <c:pt idx="3">
                  <c:v>DCF (WACC y g ± 0,5) (383,49 – 499,57)</c:v>
                </c:pt>
                <c:pt idx="4">
                  <c:v>Escenarios (bajista – alcista) (252,45 – 586,56)</c:v>
                </c:pt>
                <c:pt idx="5">
                  <c:v>DCF con la prima implícita del mercado (4,2 %)</c:v>
                </c:pt>
                <c:pt idx="6">
                  <c:v>Precio actual (718,67)</c:v>
                </c:pt>
              </c:strCache>
            </c:strRef>
          </c:cat>
          <c:val>
            <c:numRef>
              <c:f>Hoja1!$B$2:$B$8</c:f>
              <c:numCache>
                <c:formatCode>#,##0</c:formatCode>
                <c:ptCount val="7"/>
                <c:pt idx="0">
                  <c:v>525.01</c:v>
                </c:pt>
                <c:pt idx="1">
                  <c:v>595</c:v>
                </c:pt>
                <c:pt idx="2">
                  <c:v>655.73</c:v>
                </c:pt>
                <c:pt idx="3">
                  <c:v>383.49</c:v>
                </c:pt>
                <c:pt idx="4">
                  <c:v>252.45</c:v>
                </c:pt>
                <c:pt idx="5">
                  <c:v>468.47</c:v>
                </c:pt>
                <c:pt idx="6">
                  <c:v>715.08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(525,01 – 779,82)</c:v>
                </c:pt>
                <c:pt idx="1">
                  <c:v>Precio objetivo de los analistas (595,00 – 1.000,00)</c:v>
                </c:pt>
                <c:pt idx="2">
                  <c:v>Comparables: PER NTM (655,73 – 848,34)</c:v>
                </c:pt>
                <c:pt idx="3">
                  <c:v>DCF (WACC y g ± 0,5) (383,49 – 499,57)</c:v>
                </c:pt>
                <c:pt idx="4">
                  <c:v>Escenarios (bajista – alcista) (252,45 – 586,56)</c:v>
                </c:pt>
                <c:pt idx="5">
                  <c:v>DCF con la prima implícita del mercado (4,2 %)</c:v>
                </c:pt>
                <c:pt idx="6">
                  <c:v>Precio actual (718,67)</c:v>
                </c:pt>
              </c:strCache>
            </c:strRef>
          </c:cat>
          <c:val>
            <c:numRef>
              <c:f>Hoja1!$C$2:$C$8</c:f>
              <c:numCache>
                <c:formatCode>#,##0</c:formatCode>
                <c:ptCount val="7"/>
                <c:pt idx="0">
                  <c:v>254.81000000000006</c:v>
                </c:pt>
                <c:pt idx="1">
                  <c:v>405</c:v>
                </c:pt>
                <c:pt idx="2">
                  <c:v>192.61</c:v>
                </c:pt>
                <c:pt idx="3">
                  <c:v>116.07999999999998</c:v>
                </c:pt>
                <c:pt idx="4">
                  <c:v>334.10999999999996</c:v>
                </c:pt>
                <c:pt idx="5">
                  <c:v>94.74000000000001</c:v>
                </c:pt>
                <c:pt idx="6">
                  <c:v>7.17999999999995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