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Mettler-Toledo International Inc.</w:t>
      </w:r>
    </w:p>
    <w:p>
      <w:pPr>
        <w:spacing w:after="60"/>
        <w:rPr>
          <w:color w:val="52514E"/>
          <w:sz w:val="22"/>
          <w:szCs w:val="22"/>
        </w:rPr>
      </w:pPr>
      <w:r>
        <w:rPr>
          <w:color w:val="52514E"/>
          <w:sz w:val="22"/>
          <w:szCs w:val="22"/>
        </w:rPr>
        <w:t xml:space="preserve">MTD · NYSE · ISIN US5926881054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1.595,25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1.753,19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+9,9 % (base +13,4 %)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874,20 USD · mercado 960,64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32.065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Mettler-Toledo International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MTD / US5926881054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Herramientas y servicios de ciencias de la vida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Columbus (Ohio, EE. UU.) y Greifensee (Suiza) · 1945</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https://www.mt.com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1.595,25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1.025,53 – 1.595,25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32.065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34.116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1.753,19 USD</w:t>
      </w:r>
      <w:r>
        <w:t xml:space="preserve"> frente a 1.595,25 · Rentabilidad a 12 meses </w:t>
      </w:r>
      <w:r>
        <w:rPr>
          <w:b/>
          <w:bCs/>
        </w:rPr>
        <w:t xml:space="preserve">+9,9 % (base +13,4 %)</w:t>
      </w:r>
      <w:r>
        <w:t xml:space="preserve"> · Valor intrínseco 874,20 USD · con la prima implícita del mercado: 960,64 (-39,8 %) · Alcista / bajista -56,8 % / -69,6 %</w:t>
      </w:r>
    </w:p>
    <w:p>
      <w:pPr>
        <w:spacing w:after="100"/>
      </w:pPr>
      <w:r>
        <w:rPr>
          <w:b/>
        </w:rPr>
        <w:t xml:space="preserve">La recomendación y por qué.</w:t>
      </w:r>
      <w:r>
        <w:t xml:space="preserve"> Mantener, con convicción media. Con nuestro BPA ajustado de 2028e y el PER propio de la empresa, el objetivo a 12 meses es de 1.697,23 USD frente a 1.595,25 USD de cierre del 13 de octubre: +6,4 % ponderado y +6,8 % en el caso base (sin dividendo), lejos del 15 % y el 12 % que pedimos para comprar. El objetivo medio de los analistas (1.459,54 USD) queda por debajo de nuestro bajista, pero es anterior a la subida de septiembre-octubre. La asimetría a 12 meses es buena (2,75x: +18,7 % en el alcista frente a −6,8 % en el bajista), pero el valor intrínseco (874,20 USD, −45,2 %) dice que no hay margen de seguridad. La convicción es media: subiría si el 3T26 (hacia el 5 de noviembre) supera los 12,15 USD de BPA ajustado y la guía de 2027 apunta a un 5 % de crecimiento; bajaría si el crecimiento en moneda local vuelve por debajo del 3 %.</w:t>
      </w:r>
    </w:p>
    <w:p>
      <w:pPr>
        <w:spacing w:after="100"/>
      </w:pPr>
      <w:r>
        <w:rPr>
          <w:b/>
        </w:rPr>
        <w:t xml:space="preserve">El negocio.</w:t>
      </w:r>
      <w:r>
        <w:t xml:space="preserve"> Mettler-Toledo es el líder mundial del pesaje de precisión, con más del 50 % de las balanzas de laboratorio [22], un margen bruto del 59-61 % y un margen EBIT del 27-29 % sostenidos con ventas casi planas [2, 5]. Su ROIC sobre capital operativo es del 47,6 % frente a un WACC del 10,81 %: 36,8 puntos. El patrimonio es negativo por las recompras, así que el ROE no sirve; el capital operativo equivale a deuda neta más patrimonio (≈2.100 M). Sostenibilidad del crecimiento: Sí; el 5 % proyectado sale a medias de precio y volumen y casi no pide capital, aunque supera el 2,0 % anual de 2021-2025.</w:t>
      </w:r>
    </w:p>
    <w:p>
      <w:pPr>
        <w:spacing w:after="100"/>
      </w:pPr>
      <w:r>
        <w:rPr>
          <w:b/>
        </w:rPr>
        <w:t xml:space="preserve">Finanzas.</w:t>
      </w:r>
      <w:r>
        <w:t xml:space="preserve"> Las ventas crecieron un 2,0 % anual en 2021-2025, pero el BPA ajustado un 5,9 % (de 34,01 a 42,73 USD) gracias a las recompras, que redujeron las acciones un 12 % [2, 13]. El flujo libre ronda el 100 % del beneficio (849 M en 2025) y vuelve entero al accionista: 4.650 M recomprados en cinco años, con la deuda neta en 1,6 veces el EBITDA [10]. Las cuentas son limpias: el BPA ajustado solo supera al GAAP en un 1,6 %.</w:t>
      </w:r>
    </w:p>
    <w:p>
      <w:pPr>
        <w:spacing w:after="100"/>
      </w:pPr>
      <w:r>
        <w:rPr>
          <w:b/>
        </w:rPr>
        <w:t xml:space="preserve">Equipo y gobierno.</w:t>
      </w:r>
      <w:r>
        <w:t xml:space="preserve"> Suma: presidente independiente, consejo elegido cada año, una acción un voto y una guía que se cumple y se sube (BPA de 2026 de 47,15-47,50 USD, +10-11 %) [4, 24, 25]. El variable premia el BPA, que las recompras inflan.</w:t>
      </w:r>
    </w:p>
    <w:p>
      <w:pPr>
        <w:spacing w:after="100"/>
      </w:pPr>
      <w:r>
        <w:rPr>
          <w:b/>
        </w:rPr>
        <w:t xml:space="preserve">Valoración.</w:t>
      </w:r>
      <w:r>
        <w:t xml:space="preserve"> El DCF da 608,26 USD (753,71 con la prima del mercado) y el PER de los comparables 1.278,52 USD; el valor intrínseco ponderado es de 874,20 USD. El DCF inverso dice que el precio descuenta un 20,0 % de crecimiento anual en 2027e-2035e frente a nuestro 4,1 %, o una rentabilidad del 6,2 % para el comprador. La acción cotiza a 31,1 veces nuestro BPA de 2027e, cerca de su mediana de 2022-2025 (32,3x) y muy por encima de los comparables (25,3x). Discrepamos del mercado en el valor, no en el beneficio: nuestro BPA de 2027e (51,3 USD) coincide con el consenso.</w:t>
      </w:r>
    </w:p>
    <w:p>
      <w:pPr>
        <w:spacing w:after="100"/>
      </w:pPr>
      <w:r>
        <w:rPr>
          <w:b/>
        </w:rPr>
        <w:t xml:space="preserve">Riesgos y catalizadores.</w:t>
      </w:r>
      <w:r>
        <w:t xml:space="preserve"> El mayor riesgo es el múltiplo: volver al PER de los comparables (25x) restaría un 20 %. El segundo, un crecimiento del 3 % en vez del 5 % si el laboratorio y China no se recuperan (BPA de 2028e de 49,90 USD en vez de 54,80). Catalizadores: el 3T26 hacia el 5 de noviembre y la guía de 2027 en febrero. Los foros coinciden: calidad indiscutible, precio exigente tras subir desde ≈1.180 USD en junio.</w:t>
      </w:r>
    </w:p>
    <w:p>
      <w:pPr>
        <w:spacing w:after="100"/>
      </w:pPr>
      <w:r>
        <w:rPr>
          <w:b/>
        </w:rPr>
        <w:t xml:space="preserve">Qué cambiaría la decisión.</w:t>
      </w:r>
      <w:r>
        <w:t xml:space="preserve"> Compraríamos por debajo de 874,20 USD (el valor intrínseco, la condición que más pesa) y venderíamos por encima de 1.885,81 USD. Bajaríamos a Vender si el crecimiento en moneda local cae por debajo del 2 % dos trimestres seguidos o si el PER adelantado supera 36x sin subida de estimaciones.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1.753,19 USD</w:t>
      </w:r>
      <w:r>
        <w:t xml:space="preserve"> (rentabilidad +9,9 % (base +13,4 %)) · Valor intrínseco: 874,20 USD (-45,2 % sobre 1.595,25) · con la prima implícita del mercado: 960,64 (-39,8 %)</w:t>
      </w:r>
    </w:p>
    <w:p>
      <w:pPr>
        <w:spacing w:after="100"/>
      </w:pPr>
      <w:r>
        <w:t xml:space="preserve">Mettler-Toledo es el líder mundial del pesaje de precisión de laboratorio e industrial: 4.026 M USD de ventas en 2025, margen EBIT del 27,7 %, un ROIC del 47,6 % sobre el capital operativo y un flujo libre de ≈850 M al año que vuelve entero al accionista por recompra [2, 10]. Su ventaja es el precio: sube tarifas cada año sin perder margen bruto.</w:t>
      </w:r>
    </w:p>
    <w:p>
      <w:pPr>
        <w:spacing w:after="100"/>
      </w:pPr>
      <w:r>
        <w:t xml:space="preserve">El precio (1.595,25 USD, 37,9 veces el BPA de los últimos 12 meses y 31,1 veces nuestro BPA de 2027e) descuenta, según el DCF inverso, un crecimiento del 20,0 % anual o una rentabilidad del 6,2 % para el comprador. Frente a su propia historia el PER está en la mediana; frente a los comparables (25,3x), seis puntos por encima.</w:t>
      </w:r>
    </w:p>
    <w:p>
      <w:pPr>
        <w:spacing w:after="100"/>
      </w:pPr>
      <w:r>
        <w:t xml:space="preserve">El mercado acierta en la calidad y en la mejora del crecimiento (6 % en moneda local en el 2T26) [4], pero ya la ha pagado: tras subir un 35 % desde junio, la rentabilidad a 12 meses es la del crecimiento del beneficio (≈7 %), sin múltiplo que recuperar. Para invertir hay que creer que el mercado seguirá pagando 31-33 veces con el bono al 5,22 %.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1.753,19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26,4x × 49,90 = 1.317,36 · 33,0x × 54,80 = 1.808,40 · 35,9x × 57,90 = 2.078,61</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 / 13,4 %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1.459,54 (nuestro base +23,9 %)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874,20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-56,8 % / -69,6 %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 frente a 10,8 % y 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960,64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 frente a 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(4,2 %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874,20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874,20 y 1.947,99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1.947,99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874,20 USD (valor intrínseco): Comprar.</w:t>
      </w:r>
    </w:p>
    <w:p>
      <w:pPr>
        <w:pStyle w:val="ListParagraph"/>
        <w:numPr>
          <w:ilvl w:val="0"/>
          <w:numId w:val="2"/>
        </w:numPr>
        <w:spacing w:after="60"/>
      </w:pPr>
      <w:r>
        <w:t xml:space="preserve">Precio por encima de 1.885,81 USD con las mismas estimaciones: Vender.</w:t>
      </w:r>
    </w:p>
    <w:p>
      <w:pPr>
        <w:pStyle w:val="ListParagraph"/>
        <w:numPr>
          <w:ilvl w:val="0"/>
          <w:numId w:val="2"/>
        </w:numPr>
        <w:spacing w:after="60"/>
      </w:pPr>
      <w:r>
        <w:t xml:space="preserve">Crecimiento en moneda local por debajo del 2 % dos trimestres seguidos: revisar a Vender.</w:t>
      </w:r>
    </w:p>
    <w:p>
      <w:pPr>
        <w:pStyle w:val="ListParagraph"/>
        <w:numPr>
          <w:ilvl w:val="0"/>
          <w:numId w:val="2"/>
        </w:numPr>
        <w:spacing w:after="60"/>
      </w:pPr>
      <w:r>
        <w:t xml:space="preserve">Guía de BPA ajustado de 2027 por encima de 54 USD con la acción por debajo de 1.600 USD: revisar al alza el objetivo.</w:t>
      </w:r>
    </w:p>
    <w:p>
      <w:pPr>
        <w:pStyle w:val="Heading2"/>
      </w:pPr>
      <w:r>
        <w:t xml:space="preserve">Dónde discrepamos del mercado</w:t>
      </w:r>
    </w:p>
    <w:p>
      <w:pPr>
        <w:keepNext/>
        <w:spacing w:after="100"/>
      </w:pPr>
      <w:r>
        <w:rPr>
          <w:b/>
          <w:bCs/>
        </w:rPr>
        <w:t xml:space="preserve">Lo que descuenta el precio.</w:t>
      </w:r>
    </w:p>
    <w:p>
      <w:pPr>
        <w:spacing w:after="100"/>
      </w:pPr>
      <w:r>
        <w:t xml:space="preserve">Que Mettler-Toledo vuelve a crecer al 5 % con márgenes al alza y que su calidad merece un PER de 31-38 veces de forma permanente, como en la última década; los analistas suben objetivos detrás del precio (Barclays, 1.700 USD) [28].</w:t>
      </w:r>
    </w:p>
    <w:p>
      <w:pPr>
        <w:keepNext/>
        <w:spacing w:after="100"/>
      </w:pPr>
      <w:r>
        <w:rPr>
          <w:b/>
          <w:bCs/>
        </w:rPr>
        <w:t xml:space="preserve">Lo que creemos nosotros.</w:t>
      </w:r>
    </w:p>
    <w:p>
      <w:pPr>
        <w:spacing w:after="100"/>
      </w:pPr>
      <w:r>
        <w:t xml:space="preserve">Coincidimos en el beneficio (BPA de 2027e de 51,3 USD frente a 51,63 del consenso) y en la calidad, pero no en que el precio deje rentabilidad: el objetivo a 12 meses da un 6,4 % y el valor intrínseco queda un 45,2 % por debajo.</w:t>
      </w:r>
    </w:p>
    <w:p>
      <w:pPr>
        <w:keepNext/>
        <w:spacing w:after="100"/>
      </w:pPr>
      <w:r>
        <w:rPr>
          <w:b/>
          <w:bCs/>
        </w:rPr>
        <w:t xml:space="preserve">Por qué podemos tener razón.</w:t>
      </w:r>
    </w:p>
    <w:p>
      <w:pPr>
        <w:spacing w:after="100"/>
      </w:pPr>
      <w:r>
        <w:t xml:space="preserve">Con el bono al 5,22 % y un crecimiento del 4-5 %, el múltiplo actual solo se sostiene si el mercado sigue pagando la calidad como cuando los tipos estaban en cero; la empresa no tiene una palanca de crecimiento nueva que lo justifique.</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595,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Rendimiento del capital excepcional</w:t>
      </w:r>
      <w:r>
        <w:t xml:space="preserve">: ROIC del 47,6 % sobre capital operativo, 36,8 puntos por encima del WACC.</w:t>
      </w:r>
    </w:p>
    <w:p>
      <w:pPr>
        <w:pStyle w:val="ListParagraph"/>
        <w:numPr>
          <w:ilvl w:val="0"/>
          <w:numId w:val="2"/>
        </w:numPr>
        <w:spacing w:after="60"/>
      </w:pPr>
      <w:r>
        <w:rPr>
          <w:b/>
        </w:rPr>
        <w:t xml:space="preserve">Poder de precios demostrado</w:t>
      </w:r>
      <w:r>
        <w:t xml:space="preserve">: margen bruto del 59-61 % durante años, con inflación y aranceles [2].</w:t>
      </w:r>
    </w:p>
    <w:p>
      <w:pPr>
        <w:pStyle w:val="ListParagraph"/>
        <w:numPr>
          <w:ilvl w:val="0"/>
          <w:numId w:val="2"/>
        </w:numPr>
        <w:spacing w:after="60"/>
      </w:pPr>
      <w:r>
        <w:rPr>
          <w:b/>
        </w:rPr>
        <w:t xml:space="preserve">Guía al alza</w:t>
      </w:r>
      <w:r>
        <w:t xml:space="preserve">: BPA ajustado de 2026 de 47,15-47,50 USD (+10-11 %), subida en julio [4].</w:t>
      </w:r>
    </w:p>
    <w:p>
      <w:pPr>
        <w:pStyle w:val="ListParagraph"/>
        <w:numPr>
          <w:ilvl w:val="0"/>
          <w:numId w:val="2"/>
        </w:numPr>
        <w:spacing w:after="60"/>
      </w:pPr>
      <w:r>
        <w:rPr>
          <w:b/>
        </w:rPr>
        <w:t xml:space="preserve">Caja y recompras</w:t>
      </w:r>
      <w:r>
        <w:t xml:space="preserve">: flujo libre de ≈100 % del beneficio y 875 M de recompras en 2026 [4].</w:t>
      </w:r>
    </w:p>
    <w:p>
      <w:pPr>
        <w:pStyle w:val="ListParagraph"/>
        <w:numPr>
          <w:ilvl w:val="0"/>
          <w:numId w:val="2"/>
        </w:numPr>
        <w:spacing w:after="60"/>
      </w:pPr>
      <w:r>
        <w:rPr>
          <w:b/>
        </w:rPr>
        <w:t xml:space="preserve">Liderazgo</w:t>
      </w:r>
      <w:r>
        <w:t xml:space="preserve">: más del 50 % del mercado de balanzas de laboratorio [22].</w:t>
      </w:r>
    </w:p>
    <w:p>
      <w:pPr>
        <w:pStyle w:val="Heading2"/>
      </w:pPr>
      <w:r>
        <w:t xml:space="preserve">En contra</w:t>
      </w:r>
    </w:p>
    <w:p>
      <w:pPr>
        <w:pStyle w:val="ListParagraph"/>
        <w:numPr>
          <w:ilvl w:val="0"/>
          <w:numId w:val="2"/>
        </w:numPr>
        <w:spacing w:after="60"/>
      </w:pPr>
      <w:r>
        <w:rPr>
          <w:b/>
        </w:rPr>
        <w:t xml:space="preserve">Precio exigente</w:t>
      </w:r>
      <w:r>
        <w:t xml:space="preserve">: 37,9 veces el BPA de los últimos 12 meses y el DCF inverso pide un 20,0 % de crecimiento anual.</w:t>
      </w:r>
    </w:p>
    <w:p>
      <w:pPr>
        <w:pStyle w:val="ListParagraph"/>
        <w:numPr>
          <w:ilvl w:val="0"/>
          <w:numId w:val="2"/>
        </w:numPr>
        <w:spacing w:after="60"/>
      </w:pPr>
      <w:r>
        <w:rPr>
          <w:b/>
        </w:rPr>
        <w:t xml:space="preserve">Crecimiento modesto</w:t>
      </w:r>
      <w:r>
        <w:t xml:space="preserve">: ventas +2,0 % anual en 2021-2025 [5].</w:t>
      </w:r>
    </w:p>
    <w:p>
      <w:pPr>
        <w:pStyle w:val="ListParagraph"/>
        <w:numPr>
          <w:ilvl w:val="0"/>
          <w:numId w:val="2"/>
        </w:numPr>
        <w:spacing w:after="60"/>
      </w:pPr>
      <w:r>
        <w:rPr>
          <w:b/>
        </w:rPr>
        <w:t xml:space="preserve">Sin margen de seguridad</w:t>
      </w:r>
      <w:r>
        <w:t xml:space="preserve">: valor intrínseco de 874,20 USD, −45,2 %.</w:t>
      </w:r>
    </w:p>
    <w:p>
      <w:pPr>
        <w:pStyle w:val="ListParagraph"/>
        <w:numPr>
          <w:ilvl w:val="0"/>
          <w:numId w:val="2"/>
        </w:numPr>
        <w:spacing w:after="60"/>
      </w:pPr>
      <w:r>
        <w:rPr>
          <w:b/>
        </w:rPr>
        <w:t xml:space="preserve">Recompras caras con deuda</w:t>
      </w:r>
      <w:r>
        <w:t xml:space="preserve">: rentabilidad por beneficio del 2,7 % frente a un coste de deuda del 4,5 %.</w:t>
      </w:r>
    </w:p>
    <w:p>
      <w:pPr>
        <w:pStyle w:val="ListParagraph"/>
        <w:numPr>
          <w:ilvl w:val="0"/>
          <w:numId w:val="2"/>
        </w:numPr>
        <w:spacing w:after="60"/>
      </w:pPr>
      <w:r>
        <w:rPr>
          <w:b/>
        </w:rPr>
        <w:t xml:space="preserve">En máximos</w:t>
      </w:r>
      <w:r>
        <w:t xml:space="preserve">: la acción subió de ≈1.180 a 1.595,25 USD desde junio y el objetivo medio de los analistas está en 1.459,54 USD [28].</w:t>
      </w:r>
    </w:p>
    <w:p>
      <w:pPr>
        <w:pStyle w:val="Heading2"/>
      </w:pPr>
      <w:r>
        <w:t xml:space="preserve">Qué tiene que pasar para que la tesis funcione</w:t>
      </w:r>
    </w:p>
    <w:p>
      <w:pPr>
        <w:spacing w:after="100"/>
      </w:pPr>
      <w:r>
        <w:t xml:space="preserve">Que el crecimiento en moneda local se mantenga en el 4-6 % con margen al alza. La primera prueba es el 3T26, hacia el 5 de noviembre (guía de BPA ajustado de 12,00-12,15 USD); la segunda, la guía de 2027 en febrero. Si el crecimiento baja del 3 % y la guía de BPA de 2027 queda por debajo de 50 USD, el PER puede ir hacia el mínimo limpio (29,8x) o hacia el de los comparables (25x).</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en moneda local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el 5 % del caso base.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 USD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&lt; 12,00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3T26: 12,00-12,15 USD.</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 (4T25)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poder de precios frente a aranceles y divisa.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adelantado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36x o &lt; 28x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múltiplo decide la rentabilidad a 12 meses.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financiadas con deuda.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26,7x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37,9x / 31,6x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1,6x · 1,6x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Mettler-Toledo nace en 1989 de la compra de Toledo Scale (EE. UU., fundada en 1901) por Mettler Instrumente (Suiza, fundada por Erhard Mettler en 1945, que inventó la balanza de un solo platillo). Ciba-Geigy, dueña de Mettler, la vendió en 1996 a AEA Investors; salió a bolsa en Nueva York en 1997. Desde entonces ha crecido con el pesaje de laboratorio, la inspección de producto (Safeline, Garvens, Eagle) y las pipetas Rainin (2001), y con el programa de ventas «Spinnaker» y de precios dirigido por datos. Recompra acciones de forma continua desde 2004: el número de acciones ha caído de forma sostenida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1945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Erhard Mettler funda Mettler Instrumente en Zúrich.</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Mettler compra Toledo Scale: nace Mettler-Toledo.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Ciba-Geigy vende el grupo a AEA Investors.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NYSE.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Rainin (pipetas).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«Spinnaker», su sistema de ventas y marketing dirigido por datos.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Patrick Kaltenbach sucede a Olivier Filliol como consejero delegado.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Reembolso de aranceles IEEPA (52 M) y guía de BPA ajustado de 47,15-47,50 USD [4].</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Mettler-Toledo fabrica instrumentos de precisión y les da servicio: balanzas y equipos de pesaje de laboratorio (líder mundial), valoradores, pH-metros, pipetas (Rainin), análisis térmico, software LabX; básculas y terminales industriales, inspección de producto (detectores de metales, rayos X, controladoras de peso, visión) y básculas para la distribución alimentaria. Ventas de 4.026 M USD en 2025: ≈56 % laboratorio, ≈39 % industrial y ≈5 % distribución alimentaria [1, 2]. Clientes: farmacia y biotecnología, química, alimentación, laboratorios de control de calidad y logística. Vende sobre todo con red comercial propia (spinnaker: ventas dirigidas por datos) y fabrica en Suiza, EE. UU., Alemania y China.</w:t>
      </w:r>
    </w:p>
    <w:p>
      <w:pPr>
        <w:pStyle w:val="Heading2"/>
      </w:pPr>
      <w:r>
        <w:t xml:space="preserve">Cómo gana dinero</w:t>
      </w:r>
    </w:p>
    <w:p>
      <w:pPr>
        <w:spacing w:after="100"/>
      </w:pPr>
      <w:r>
        <w:t xml:space="preserve">Mettler-Toledo vende instrumentos con un margen bruto del 59-61 % y cobra después por el servicio, la calibración, los consumibles (puntas de pipeta, electrodos) y el software [2]. El margen depende del precio: la empresa sube tarifas cada año con su sistema de precios dirigido por datos y lo combina con el programa de costes «Stern Drive», de modo que con ventas casi planas en 2022-2024 el margen EBIT se mantuvo entre el 27,7 % y el 28,7 %. El apalancamiento operativo es alto: en 2026 una subida de ventas del 4-5 % en moneda local se traduce en un BPA ajustado un 10-11 % mayor [4]. Hay estacionalidad: el cuarto trimestre es el más fuerte (1.124 M de ventas y 13,36 USD de BPA ajustado en 2025) y el primero el más flojo [2, 3].</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98"/>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Laboratorio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Industrial (pesaje e inspección de producto)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Distribución alimentaria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Laboratorio</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Industrial (pesaje e inspección de producto)</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Distribución alimentaria</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base es muy dispersa (farmacia y biotecnología, química, alimentación, laboratorios de control de calidad, logística e industria) y la empresa no publica concentración [1]. El poder de precios está demostrado: el margen bruto se ha sostenido en el 59-61 % a pesar de la inflación de 2022, de los aranceles de 2025 y de la caída de volumen de 2023, y el margen EBIT de 2025 (27,7 %) es el mismo que el de 2023 con un 6 % más de ventas [2, 5]. En 2025 Asia y resto creció un 2 % y China un 1 % en moneda local, tras dos años de caída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en moneda local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1T26: 3 % (1 % sin compras); 2T26: 6 % pese a restar 3 puntos por el reembolso de aranceles a clientes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41,11 USD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42,73 USD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47,15-47,50 USD (+10-11 %)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61,2 % (4T24)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 (4T25)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 (−70 pb), aranceles y mezcla de compras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de caja libre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operativo menos capex [10]; guía 2026: 900 M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China (moneda local)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caída en 2023-24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estabilización</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Asia y resto +2 % en 2025 [1].</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son los instrumentos de precisión de laboratorio e industriales y su servicio, en todo el mundo. Para la cuota usamos la parte medible, las balanzas de laboratorio: las estimaciones van de 1.500 M USD (2024, perímetro estrecho) a 3.590 M USD (2025, balanzas y básculas de laboratorio) [19, 20, 21]. El mercado servido completo (laboratorio, industrial, inspección, distribución alimentaria) es mucho mayor y no tiene una cifra contrastada en los extractos.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≈2.700-3.590 M USD en 2025 (balanzas de laboratorio) [19, 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de farmacia y biotecnología (laboratorio)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Laboratorio ≈56 % de las ventas; +3 % en el 4T25 [1,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Relocalización industrial en EE. UU. y automatización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América creció un 5 % en moneda local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Seguridad alimentaria y normativa de calidad (inspección de producto)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Inspección de producto dentro de industrial (≈39 %)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 en moneda local en 2025 tras dos años de caída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Recargos y subidas de precio en 2025; reembolso IEEPA de 52 M en 2026 [4].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rivales globales en balanzas (Sartorius, Shimadzu, A&amp;D, Ohaus); Mettler supera el 50 % del mercado de balanzas de laboratorio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muy dispersos; el instrumento es una parte pequeña del coste del laboratorio validado.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Componentes electrónicos y metal genéricos; el margen bruto del 59,8 % absorbe la inflación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mundial de servicio y calibración y validación regulatoria difíciles de replicar.</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sustituto al pesaje de precisión; el riesgo es la integración en equipos automatizados de terceros.</w:t>
            </w:r>
          </w:p>
        </w:tc>
      </w:tr>
    </w:tbl>
    <w:p>
      <w:pPr>
        <w:spacing w:after="160" w:before="0"/>
      </w:pPr>
    </w:p>
    <w:p>
      <w:pPr>
        <w:pStyle w:val="Heading2"/>
      </w:pPr>
      <w:r>
        <w:t xml:space="preserve">Ciclo</w:t>
      </w:r>
    </w:p>
    <w:p>
      <w:pPr>
        <w:spacing w:after="100"/>
      </w:pPr>
      <w:r>
        <w:t xml:space="preserve">Tras la resaca de 2023-24 (fin del gasto covid, caída de China y de la biotecnología), el crecimiento en moneda local pasó del ≈2-3 % de 2025 al 6 % del 2T26, con la industria estadounidense y la farmacia tirando [2, 4]. En 2009 las ventas cayeron alrededor de un 15 % y en 2020 aguantaron gracias al laboratorio; en 2023 las ventas bajaron un 3,4 % [6].</w:t>
      </w:r>
    </w:p>
    <w:p>
      <w:pPr>
        <w:pStyle w:val="Heading2"/>
      </w:pPr>
      <w:r>
        <w:t xml:space="preserve">Regulación</w:t>
      </w:r>
    </w:p>
    <w:p>
      <w:pPr>
        <w:spacing w:after="100"/>
      </w:pPr>
      <w:r>
        <w:t xml:space="preserve">Afectan a las cifras los aranceles de EE. UU.: en 2025 la empresa los compensó con recargos y subidas de precio, y en 2026 recibió 52 M de reembolso de aranceles IEEPA, de los que devolvió 28 M a clientes [4]. La normativa de calidad farmacéutica y alimentaria (GMP, farmacopeas, seguridad alimentaria) obliga a validar y calibrar los instrumentos, lo que sostiene el servicio.</w:t>
      </w:r>
    </w:p>
    <w:p>
      <w:pPr>
        <w:pStyle w:val="Heading2"/>
      </w:pPr>
      <w:r>
        <w:t xml:space="preserve">Tendencias y disrupción</w:t>
      </w:r>
    </w:p>
    <w:p>
      <w:pPr>
        <w:spacing w:after="100"/>
      </w:pPr>
      <w:r>
        <w:t xml:space="preserve">La automatización del laboratorio y la digitalización de los datos de calidad (software LabX, integración con sistemas de laboratorio) refuerzan al líder, porque los instrumentos tienen que conectarse y validarse; la relocalización de la industria en EE. UU. tira del pesaje industrial y de la inspección de producto [1]. El riesgo es que el pesaje quede integrado en equipos automatizados de terceros, donde el cliente elige el sistema completo.</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1 mundial en balanzas de laboratorio (más del 50 % del mercado según AJ Bell) y líder en pesaje industrial e inspección de producto [22].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 relevantes.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Instrumentos validados en procesos regulados (GMP, farmacopea) y software LabX: cambiar exige revalidar; el servicio supone en torno a un tercio de las ventas (estimación de la empresa, no comprobada aquí).</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referencia en pesaje; margen bruto del 59-61 % durante años [9,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fabricación y programa de márgenes «Stern Drive»; margen operativo del 27,7 % en 2025 [11].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del 50 % del mercado de balanzas de laboratorio: un nicho que no da para dos rivales de su tamaño [4].</w:t>
            </w:r>
          </w:p>
        </w:tc>
      </w:tr>
    </w:tbl>
    <w:p>
      <w:pPr>
        <w:spacing w:after="160" w:before="0"/>
      </w:pPr>
    </w:p>
    <w:p>
      <w:pPr>
        <w:pStyle w:val="Heading2"/>
      </w:pPr>
      <w:r>
        <w:t xml:space="preserve">Amenazas</w:t>
      </w:r>
    </w:p>
    <w:p>
      <w:pPr>
        <w:spacing w:after="100"/>
      </w:pPr>
      <w:r>
        <w:t xml:space="preserve">El foso es de marca, de costes de cambio por la validación y de escala en un nicho pequeño: más del 50 % del mercado de balanzas de laboratorio [22]. Lo que podría erosionarlo, con probabilidad baja a cinco años, es la competencia en precio de fabricantes asiáticos en pesaje industrial y la integración del pesaje en sistemas automatizados de otros; Redburn inició la acción con Vender citando más competencia en pesaje e instrumentos [23]. No vemos señal en las cifras: el margen bruto sigue en el 59,8 % [2].</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spacing w:after="100"/>
      </w:pPr>
      <w:r>
        <w:t xml:space="preserve">Crecimiento anual compuesto 2021-2025: ingresos </w:t>
      </w:r>
      <w:r>
        <w:rPr>
          <w:b/>
          <w:bCs/>
        </w:rPr>
        <w:t xml:space="preserve">2,0 %</w:t>
      </w:r>
      <w:r>
        <w:t xml:space="preserve">, EBITDA </w:t>
      </w:r>
      <w:r>
        <w:rPr>
          <w:b/>
          <w:bCs/>
        </w:rPr>
        <w:t xml:space="preserve">3,0 %</w:t>
      </w:r>
      <w:r>
        <w:t xml:space="preserve">, BPA </w:t>
      </w:r>
      <w:r>
        <w:rPr>
          <w:b/>
          <w:bCs/>
        </w:rPr>
        <w:t xml:space="preserve">6,4 %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Las ventas pasaron de 3.718 M en 2021 a 4.026 M en 2025, apenas un 2,0 % anual: 2022 creció un 5,4 %, 2023 cayó un 3,4 % por el fin de la demanda de la covid y China, y 2024-2025 crecieron un 2,2 % y un 4,0 % [5, 6]. Las compras aportaron ≈1 punto en 2025 [2]. El margen EBITDA se ha movido en una banda estrecha (29,7-31,9 %) y el EBIT, del 26,7 % al 28,7 %, gracias a las subidas de precio y al programa de costes. El BPA creció más que las ventas porque las acciones bajaron de 23,46 M en 2021 a 20,67 M en 2025 por las recompras: el BPA ajustado pasó de 34,01 a 42,73 USD (+5,9 % anual) [2, 13]. En 2026 la guía es un 4-5 % de crecimiento en moneda local y un BPA ajustado de 47,15-47,50 USD [4].</w:t>
      </w:r>
    </w:p>
    <w:p>
      <w:pPr>
        <w:pStyle w:val="Heading2"/>
      </w:pPr>
      <w:r>
        <w:t xml:space="preserve">Ajustes y partidas no recurrentes</w:t>
      </w:r>
    </w:p>
    <w:p>
      <w:pPr>
        <w:spacing w:after="100"/>
      </w:pPr>
      <w:r>
        <w:t xml:space="preserve">La empresa publica BPA ajustado sin costes de reestructuración, amortización de intangibles comprados, partidas fiscales discretas ni, en 2026, el reembolso de aranceles IEEPA (+52 M en coste de ventas, −28 M en ventas en el 2T26) [4]. La diferencia es pequeña: 42,73 USD ajustado frente a 42,05 GAAP en 2025, que incluía un beneficio fiscal no monetario de 0,95 USD en el 4T [2]. Las amortizaciones de 2021-2024 suman la amortización publicada y una depreciación estimada (1,27 % de las ventas, la de 2025) [5, 17].</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la conferencia del 2T26 (30 de julio) la dirección subió la guía de 2026 de un 4 % a un 4-5 % de crecimiento en moneda local y el BPA ajustado a 47,15-47,50 USD (+10-11 %, frente al 8-10 % anterior), elevó la recompra a 875 M y fijó el flujo libre en 900 M [4, 15]. El trimestre creció un 6 % en moneda local pese a restar 3 puntos por el reembolso de aranceles a clientes. Para el 3T26 guió un BPA ajustado de 12,00-12,15 USD (+8-9 %). Frente a febrero, el discurso pasó de la cautela por los aranceles y la divisa a la mejora de la demanda de laboratorio e industrial en EE. UU.; en febrero la dirección había explicado la caída de 140 pb del margen bruto del 4T25 por la divisa (−70 pb) y la mezcla de compras [14]. La dirección repitió que las condiciones de mercado son inciertas y pueden cambiar rápido, sin dar cifras de 2027.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8"/>
        <w:gridCol w:w="1472"/>
        <w:gridCol w:w="1338"/>
        <w:gridCol w:w="1338"/>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El balance de Mettler-Toledo no se parece al de una industrial: el patrimonio es casi nulo o negativo (−24 M a final de 2025) porque la empresa ha recomprado más acciones (≈10.260 M acumulados en autocartera) que beneficios ha retenido [8, 9]. Por eso el ROE no tiene sentido y el ROIC se mide sobre el capital operativo (circulante, inmovilizado y fondo de comercio), que equivale a deuda neta más patrimonio: ≈2.100 M. La deuda bruta pasó de 1.682 M en 2021 a 2.152 M en 2025 y la deuda neta es 1,6 veces el EBITDA; el circulante (clientes + existencias) ronda el 27-29 % de las ventas, sin tendencia.</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2021-2025: FCF </w:t>
      </w:r>
      <w:r>
        <w:rPr>
          <w:b/>
          <w:bCs/>
        </w:rPr>
        <w:t xml:space="preserve">4.113</w:t>
      </w:r>
      <w:r>
        <w:t xml:space="preserve">, conversión </w:t>
      </w:r>
      <w:r>
        <w:rPr>
          <w:b/>
          <w:bCs/>
        </w:rPr>
        <w:t xml:space="preserve">99 %</w:t>
      </w:r>
      <w:r>
        <w:t xml:space="preserve"> del beneficio neto; adquisiciones 0, dividendos 0, recompras 4.650.</w:t>
      </w:r>
    </w:p>
    <w:p>
      <w:pPr>
        <w:spacing w:after="100"/>
      </w:pPr>
      <w:r>
        <w:t xml:space="preserve">La conversión es excelente: el flujo libre fue de 801 M en 2021, 738 M en 2022, 861 M en 2023, 865 M en 2024 y 849 M en 2025, en torno al 100 % del beneficio neto [10]. 2022 fue el año flojo por la acumulación de existencias (442 M) en plena crisis de suministros. El capex es pequeño (104-121 M, ≈2,7 % de las ventas) y por debajo de la amortización total; la empresa no separa mantenimiento y crecimiento. Toda la caja vuelve al accionista por recompra: 4.650 M en 2021-2025, más que el flujo libre acumulado (4.114 M), con la diferencia financiada con deuda [10]. La guía de 2026 es de 900 M de flujo libre y 875 M de recompras [4].</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Las cuentas son limpias y poco ajustadas: el BPA ajustado de 2025 (42,73 USD) supera al GAAP (42,05) en un 1,6 %, y la diferencia del 4T25 fue a favor del GAAP por un beneficio fiscal no monetario de 0,95 USD [2]. Los ajustes son reestructuración, amortización de intangibles comprados (pequeña: las compras son pequeñas) y, en 2026, el reembolso de aranceles IEEPA, que se excluye del BPA ajustado [4]. El pago en acciones es bajo (23 M en 2025, 2,6 % del beneficio) [17]. El Altman Z (7,28) está muy lejos de la zona de riesgo pese al patrimonio negativo, el Piotroski F es de 6 sobre 9 y el Beneish M (−2,45) no sugiere manipulación. PwC es el auditor, con opinión favorable.</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Patrimonio neto negativo por recompras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es pérdida acumulada sino autocartera; la deuda neta es 1,6x el EBITDA [8,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Reembolso de aranceles IEEPA en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52 M en el coste de ventas y 28 M devueltos a clientes en el 2T26; fuera del BPA ajustado [4].</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-1.151,0 %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95,3 % · </w:t>
      </w:r>
      <w:r>
        <w:rPr>
          <w:b/>
          <w:bCs/>
        </w:rPr>
        <w:t xml:space="preserve">WACC</w:t>
      </w:r>
      <w:r>
        <w:t xml:space="preserve">: 10,8 %.</w:t>
      </w:r>
    </w:p>
    <w:p>
      <w:pPr>
        <w:spacing w:after="100"/>
      </w:pPr>
      <w:r>
        <w:t xml:space="preserve">Mettler-Toledo crea mucho valor sobre el capital que usa: el ROIC del motor (NOPAT entre capital operativo, que aquí equivale a deuda neta más un patrimonio casi nulo) fue del 42,4 % en 2021, 45,7 % en 2022, 44,8 % en 2023, 50,2 % en 2024 y 47,6 % en 2025, frente a un WACC del 10,81 %: 36,8 puntos de diferencia. El ROE no tiene sentido porque el patrimonio es negativo por las recompras [9]. El ROIC lo mueven el margen (EBIT del 27-29 %) y una rotación muy alta: el capital operativo (≈2.100 M) es la mitad de las ventas. El incremental es aún mayor, porque crecer apenas pide capital. Ningún comparable se acerca: Rockwell 21 %, Cognex 13 %, Thermo Fisher 7 %, Danaher 6 % [33, 34, 36].</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2.051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≈61 M a junio de 2026 (dato de CSIMarket, periodo ambiguo) y línea de crédito de 1.350 M, de la que había dispuestos 783 M (≈567 M libres) [11].</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Covenants, pasivos fuera de la deuda y contingencias</w:t>
      </w:r>
    </w:p>
    <w:p>
      <w:pPr>
        <w:spacing w:after="100"/>
      </w:pPr>
      <w:r>
        <w:t xml:space="preserve">Sin pasivos fuera de balance relevantes en los extractos: los arrendamientos operativos están fuera de la deuda (US GAAP) y no hay compras con pagos aplazados significativas. La deuda (2.112 M a junio de 2026) son bonos privados por 1.249 M y 783 M dispuestos de una línea de 1.350 M [11]. No se han podido leer los covenants ni las pensiones (la empresa tiene planes de prestación definida en Suiza; hueco).</w:t>
      </w:r>
    </w:p>
    <w:p>
      <w:pPr>
        <w:pStyle w:val="Heading1"/>
      </w:pPr>
      <w:r>
        <w:t xml:space="preserve">12. Asignación de capital</w:t>
      </w:r>
    </w:p>
    <w:p>
      <w:pPr>
        <w:pStyle w:val="Confianza"/>
        <w:spacing w:after="100"/>
      </w:pPr>
      <w:r>
        <w:t xml:space="preserve">Confianza: Media</w:t>
      </w:r>
    </w:p>
    <w:p>
      <w:pPr>
        <w:spacing w:after="100"/>
      </w:pPr>
      <w:r>
        <w:t xml:space="preserve">Mettler-Toledo no paga dividendo y devuelve toda la caja por recompra: 800-1.100 M al año desde 2021 y 875 M previstos en 2026 (elevados desde 825 M) [4, 10]. Las compras son pequeñas y complementarias (≈1 punto de crecimiento en 2025) [2]. Mantiene la deuda neta en torno a 1,5-2 veces el EBITDA y la refinancia con bonos privados y una línea de 1.350 M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214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pequeñas en industrial y laboratorio</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Aportaron ≈1 punto de crecimiento en el 4T25 y en el 1T26 (3 % en moneda local, 1 % sin compras) [2, 3].</w:t>
            </w:r>
          </w:p>
        </w:tc>
      </w:tr>
    </w:tbl>
    <w:p>
      <w:pPr>
        <w:spacing w:after="160" w:before="0"/>
      </w:pPr>
    </w:p>
    <w:p>
      <w:pPr>
        <w:spacing w:after="100"/>
      </w:pPr>
      <w:r>
        <w:t xml:space="preserve">La dirección asigna bien el capital en lo que depende de ella: el ROIC sobre capital operativo es del 47,6 % en 2025 y el incremental de 2021-2025, muy alto, porque el negocio casi no necesita capital para crecer. La duda es el precio de las recompras: entre 2021 y 2025 la empresa recompró 4.650 M a precios de 1.200-1.700 USD por acción, y redujo las acciones un 12 % (de 23,46 a 20,67 M) [7, 10]. Recomprar a 37 veces beneficios, como ahora, rinde menos (≈2,7 % de rentabilidad por beneficio) que el coste de la deuda que lo financia en parte.</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Patrick Kaltenbach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Sucedió a Olivier Filliol; antes dirigió las divisiones de laboratorio. Con él el BPA ajustado pasó de 34,01 USD (2021) a 42,73 USD (2025), con ventas casi planas en 2022-2024 [2, 13].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Shawn Vadala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Presentó los resultados del 4T25 y la guía de 2026 [14].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Roland Diggelmann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Firma la carta del proxy de 2026 como presidente del consejo [24].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crecimiento del 8-10 % (febrero) elevado a 47,15-47,50 USD, +10-11 % (julio)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curso: 1T26 y 2T26 por encima de la guía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de ≈42,5 USD (guía de octubre de 2025, de memoria)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42,73 USD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estable y creíble: Kaltenbach es consejero delegado desde 2021, en una sucesión interna ordenada, y el director financiero, Shawn Vadala, lleva años en el cargo [14]. La guía se cumple o se supera: el BPA ajustado de 2025 (42,73 USD) quedó en lo alto de lo previsto y la de 2026 ya se ha subido una vez [2, 4]. No hemos podido leer las participaciones de los directivos ni el plan de sucesión (proxy no accesible).</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Roland Diggelmann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Patrick Kaltenbach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12,1 %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incentivo anual depende del BPA, del flujo de caja neto, de las ventas y de objetivos de sostenibilidad; el variable a largo plazo se paga en opciones, acciones restringidas y acciones por resultados [24]. Premia el beneficio por acción, que las recompras inflan, más que el rendimiento del capital. En la junta del 7 de mayo de 2026 el voto consultivo sobre la remuneración obtuvo un 87,8 % a favor y un 12,1 % en contra [25]. No se ha podido leer la remuneración del consejero delegado.</w:t>
      </w:r>
    </w:p>
    <w:p>
      <w:pPr>
        <w:pStyle w:val="Heading2"/>
      </w:pPr>
      <w:r>
        <w:t xml:space="preserve">Operaciones vinculadas, estructura de control y defensas</w:t>
      </w:r>
    </w:p>
    <w:p>
      <w:pPr>
        <w:spacing w:after="100"/>
      </w:pPr>
      <w:r>
        <w:t xml:space="preserve">Sin accionista de control: el capital está en manos de fondos institucionales, una acción un voto y consejeros elegidos cada año (nueve en 2026) [25]. El presidente, Roland Diggelmann, no es ejecutivo y es independiente [24]. No constan operaciones vinculadas ni blindajes en los extractos.</w:t>
      </w:r>
    </w:p>
    <w:p>
      <w:pPr>
        <w:pStyle w:val="Heading2"/>
      </w:pPr>
      <w:r>
        <w:t xml:space="preserve">Señales de alerta</w:t>
      </w:r>
    </w:p>
    <w:p>
      <w:pPr>
        <w:pStyle w:val="ListParagraph"/>
        <w:numPr>
          <w:ilvl w:val="0"/>
          <w:numId w:val="2"/>
        </w:numPr>
        <w:spacing w:after="60"/>
      </w:pPr>
      <w:r>
        <w:t xml:space="preserve">Ninguna relevante detectada en los extractos del proxy y de la junta de 2026; no se han podido revisar los Form 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 2026 (30-jul-2026): ventas en moneda local +4-5 % (antes ≈4 %), BPA ajustado de 47,15-47,50 USD (+10-11 %, +11-12 % sin divisa), recompras de 875 M y flujo libre de 900 M; 3T26: BPA ajustado de 12,00-12,15 USD (+8-9 %) [4]. Sin objetivos a medio plazo publicados en los extractos.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TickFlow (BPA, 1-ago-2026) y TIKR (ingresos) [23, 31]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 [30]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 7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1.459,54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 1.700,00</w:t>
            </w:r>
          </w:p>
        </w:tc>
      </w:tr>
    </w:tbl>
    <w:p>
      <w:pPr>
        <w:spacing w:after="160" w:before="0"/>
      </w:pPr>
    </w:p>
    <w:p>
      <w:pPr>
        <w:pStyle w:val="Heading2"/>
      </w:pPr>
      <w:r>
        <w:t xml:space="preserve">Revisiones de estimaciones</w:t>
      </w:r>
    </w:p>
    <w:p>
      <w:pPr>
        <w:spacing w:after="100"/>
      </w:pPr>
      <w:r>
        <w:t xml:space="preserve">Las estimaciones han subido: la guía de BPA de 2026 pasó de un crecimiento del 8-10 % a uno del 10-11 % en julio [4], y los objetivos de los analistas siguieron al precio: de 1.300-1.348 USD en mayo-junio a 1.392 USD en agosto y 1.459,54 USD en octubre, con Barclays en 1.700 USD el 6 de octubre [28, 31]. Solo hay estimaciones completas de BPA; el consenso de 2026 de TickFlow (46,50 USD, agosto) queda por debajo de la guía actual.</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7" name="Gráfico 17"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60" w:before="0"/>
      </w:pPr>
    </w:p>
    <w:p>
      <w:pPr>
        <w:spacing w:after="100"/>
      </w:pPr>
      <w:r>
        <w:t xml:space="preserve">La acción ha subido un 21,7 % en un año y marcó máximo de 52 semanas el 13 de octubre, tras pasar de ≈1.180 USD a principios de junio a 1.595,25 USD [18, 27]. La subida empezó con el 2T26 (+6,7 % tras subir la guía) y siguió en septiembre-octubre con la rotación hacia las herramientas de ciencias de la vida [41]. En 2022-2023 había caído un 29 % acumulado al desinflarse el múltiplo de la covid (de 49,9x a 31,9x el BPA ajustado) [29]. No hay beta ni volatilidad (sin red para bolsa.mjs).</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t xml:space="preserve">Al precio de hoy la acción cotiza a 37,9 veces el BPA GAAP de los últimos 12 meses y a 26,7 veces el EBITDA, por encima de su media de cinco años (33,8x y 24,9x) y en el percentil 80 del PER. Con el BPA ajustado de 2027e (51,3 USD) son 31,1 veces, frente a una mediana de 32,3x en 2022-2025. La prima frente a la historia es moderada; frente a los comparables de ciencias de la vida (25,3x) es de seis puntos de PER, que paga un ROIC diez veces mayor.</w:t>
      </w:r>
    </w:p>
    <w:p>
      <w:pPr>
        <w:pStyle w:val="Heading1"/>
      </w:pPr>
      <w:r>
        <w:t xml:space="preserve">18. Comparables cotizados</w:t>
      </w:r>
    </w:p>
    <w:p>
      <w:pPr>
        <w:pStyle w:val="Confianza"/>
        <w:spacing w:after="100"/>
      </w:pPr>
      <w:r>
        <w:t xml:space="preserve">Confianza: Media</w:t>
      </w:r>
    </w:p>
    <w:p>
      <w:pPr>
        <w:spacing w:after="100"/>
      </w:pPr>
      <w:r>
        <w:t xml:space="preserve">Herramientas de laboratorio y ciencias de la vida (Thermo Fisher, Danaher, Agilent, Waters) porque el laboratorio es el 56 % de las ventas, y medición y automatización industrial (Hexagon, Cognex, Rockwell) por el pesaje e inspección industrial (39 %) [1]. Faltan Sartorius y Shimadzu (sin datos a la fecha). Agilent y Waters solo tienen PER; Hexagon, Cognex y Rockwell vienen del análisis de Keyence del 7-oct [33, 34, 35,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Mettler-Toledo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Danaher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Agilent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Hexagon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Cognex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Rockwell Automation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 / 24,5x / 26,1x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1.558,75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24,0x / 25,3x / 30,4x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1.210,30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1.278,52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1.536,25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9" name="Gráfico 19"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0" name="Gráfico 20"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Mettler-Toledo cotiza a 31,6 veces el BPA de los próximos 12 meses, frente a una mediana de 25,3x de los comparables, y a 26,7 veces el EBITDA de los últimos 12 meses, frente a 24,5x. La prima se explica por la calidad: un ROIC del 47,6 % frente al 5-21 % de los demás y un margen EBITDA del 30,9 %, solo por debajo de Hexagon [36]. Lo que no justifica la prima es el crecimiento: 4-5 % frente al 6-11 % de Hexagon, Cognex y Rockwell. El PER de los comparables da 1.278,52 USD por acción y el EV/EBITDA 1.456,94 USD; ambos quedan por debajo del precio.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(fijo) crece un 5,8 %: la guía de un 4-5 % en moneda local más ≈1 punto de divisa, en línea con el primer semestre (+7 % y +4 % publicados) [3, 4]. De 2027e a 2029e proyectamos un 5,0 % (2,5 de precio y 2,5 de volumen), por encima del 2,0 % anual de 2021-2025, que llevaba la resaca de la covid y China, y en línea con la década anterior a la pandemia. Después baja al 3,0 % en 2034e-2035e. El consenso de ingresos de 2026 (4.230 M, +5 %) coincide con nuestro año fijo [23].</w:t>
      </w:r>
    </w:p>
    <w:p>
      <w:pPr>
        <w:keepNext/>
        <w:spacing w:after="100"/>
      </w:pPr>
      <w:r>
        <w:rPr>
          <w:b/>
          <w:bCs/>
        </w:rPr>
        <w:t xml:space="preserve">Márgenes.</w:t>
      </w:r>
    </w:p>
    <w:p>
      <w:pPr>
        <w:spacing w:after="100"/>
      </w:pPr>
      <w:r>
        <w:t xml:space="preserve">El margen EBITDA GAAP pasa del 30,9 % de 2025 al 31,5 % en 2026e (la guía de BPA +10-11 % con ventas +5-6 % implica ≈60 pb de mejora) y al 33,0 % en 2030e, 1,1 puntos por encima del máximo de 2024 (31,9 %). El programa de costes y los precios sostienen esa mejora; es el supuesto más exigente después del crecimiento [4, 5].</w:t>
      </w:r>
    </w:p>
    <w:p>
      <w:pPr>
        <w:keepNext/>
        <w:spacing w:after="100"/>
      </w:pPr>
      <w:r>
        <w:rPr>
          <w:b/>
          <w:bCs/>
        </w:rPr>
        <w:t xml:space="preserve">Inversión y circulante.</w:t>
      </w:r>
    </w:p>
    <w:p>
      <w:pPr>
        <w:spacing w:after="100"/>
      </w:pPr>
      <w:r>
        <w:t xml:space="preserve">Amortización del 3,1 % de las ventas (≈125 M en 2025) y capex del 2,7 % (el de 2025) que sube al 3,1 % al final, para que en el último año el capex iguale la amortización. Circulante (clientes + existencias, sin proveedores, que no tenemos) del 28 % de las ventas, la media de 2021-2025. Tipo impositivo del 19,5 %, en línea con 2023-2025 (19,0 %, 16,8 % y 17,1 % sobre el BAI) más un margen por el impuesto mínimo global.</w:t>
      </w:r>
    </w:p>
    <w:p>
      <w:pPr>
        <w:keepNext/>
        <w:spacing w:after="100"/>
      </w:pPr>
      <w:r>
        <w:rPr>
          <w:b/>
          <w:bCs/>
        </w:rPr>
        <w:t xml:space="preserve">Coste del capital.</w:t>
      </w:r>
    </w:p>
    <w:p>
      <w:pPr>
        <w:spacing w:after="100"/>
      </w:pPr>
      <w:r>
        <w:t xml:space="preserve">Tasa libre del 5,22 % (bono a 10 años de EE. UU. del 13-oct) [37]; beta de 1,10 por juicio (instrumentos con ciclo industrial y de farmacia; no hay beta publicada accesible); prima de mercado del 5,5 %; coste de la deuda del 4,5 % antes de impuestos (el medio actual es del 3,3 %); peso de la deuda del 6 % a valor de mercado (2.112 M frente a 32.065 M de capitalización). WACC del 10,81 %. Con la prima implícita del mercado (4,2 %) baja al 9,47 % [38].</w:t>
      </w:r>
    </w:p>
    <w:p>
      <w:pPr>
        <w:keepNext/>
        <w:spacing w:after="100"/>
      </w:pPr>
      <w:r>
        <w:rPr>
          <w:b/>
          <w:bCs/>
        </w:rPr>
        <w:t xml:space="preserve">Valor terminal.</w:t>
      </w:r>
    </w:p>
    <w:p>
      <w:pPr>
        <w:spacing w:after="100"/>
      </w:pPr>
      <w:r>
        <w:t xml:space="preserve">Gordon con un 3,0 % de crecimiento, la inflación más un punto, por debajo de la tasa libre (5,22 %). El valor terminal pesa un 51 % del valor. El múltiplo de salida de referencia (22x EBITDA) queda por debajo del actual (26,7x) y de la mediana de los comparables (24,5x).</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569,96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578,85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745,10</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 M (4 % del NOPAT)</w:t>
            </w:r>
          </w:p>
        </w:tc>
      </w:tr>
    </w:tbl>
    <w:p>
      <w:pPr>
        <w:spacing w:after="160" w:before="0"/>
      </w:pPr>
    </w:p>
    <w:p>
      <w:pPr>
        <w:spacing w:after="100"/>
      </w:pPr>
      <w:r>
        <w:t xml:space="preserve">La proyección apenas necesita inversión neta de la amortización (reinversión acumulada de 464 M, el 4 % del NOPAT, con un capex bruto medio del 2,9 % de las ventas). En un negocio de activos ligeros, el crecimiento medio del 4,2 %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4-5 % en moneda local con ≈2,5-3 puntos de precio (tarifas y recargos por aranceles) y ≈1 punto de compras; ≈1 punto de divisa [3,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2,5 %, la media de la empresa en años normales; volumen del 2,5 %, recuperación del laboratorio y de China desde niveles bajos.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sin compras ni divisa.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crecimiento orgánico del 5 %, el de la década anterior a la covid.</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volumen baja al 2 % al madurar la recuperación.</w:t>
            </w:r>
          </w:p>
        </w:tc>
      </w:tr>
    </w:tbl>
    <w:p>
      <w:pPr>
        <w:spacing w:after="160" w:before="0"/>
      </w:pPr>
    </w:p>
    <w:p>
      <w:pPr>
        <w:spacing w:after="100"/>
      </w:pPr>
      <w:r>
        <w:t xml:space="preserve">Sí. La proyección casi no necesita capital (reinversión del 3 % del NOPAT, capex medio del 2,9 % de las ventas), así que el motor no puede hacer la prueba del crecimiento financiable y la hacemos a mano. Con un ROIC del 47,6 % sobre el capital operativo (≈2.100 M; el patrimonio es negativo por las recompras), cada punto de crecimiento pide ≈20 M de capital (el capital operativo es la mitad de las ventas) y la caja libre (849 M en 2025) lo cubre de sobra. El crecimiento proyectado (5 %) se apoya en la mitad en precio (2,5 %), que la empresa ha logrado año tras año con el margen bruto estable en el 59-61 %, y en la otra mitad en volumen, que exige recuperar el laboratorio y China (+1 % en 2025) [1, 2]. No suponemos ganar cuota: Mettler-Toledo ya tiene más del 50 % de las balanzas de laboratorio [22]. El matiz: 5 % es más que el 2,0 % anual de 2021-2025.</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20,0 % (base: 4,1 %)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63 % justifica el precio (base: 33,0 %)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 (WACC: 10,8 %)</w:t>
            </w:r>
          </w:p>
        </w:tc>
      </w:tr>
    </w:tbl>
    <w:p>
      <w:pPr>
        <w:spacing w:after="160" w:before="0"/>
      </w:pPr>
    </w:p>
    <w:p>
      <w:pPr>
        <w:spacing w:after="100"/>
      </w:pPr>
      <w:r>
        <w:t xml:space="preserve">El DCF da 608,26 USD por acción, un 61,9 % por debajo del precio de 1.595,25 USD, con un WACC del 10,81 % y un valor terminal del 51 % del total. Con la prima implícita del mercado (WACC del 9,47 %) sube a 753,71 USD, aún muy por debajo. El DCF inverso es la clave: el precio descuenta un crecimiento de los ingresos del 20,0 % anual de 2027e a 2035e frente al 4,1 % de nuestro caso base, y ningún margen hasta el 63 % lo justifica con nuestro crecimiento; dicho de otra forma, a 1.595,25 USD el comprador obtiene un 6,2 % anual, menos que el 10,81 % de WACC y que el 9,47 % que pide el mercado. Es muy exigente frente a la historia (ventas +2,0 % anual en 2021-2025): el precio solo cuadra si el mercado sigue pagando 30-35 veces beneficios a una empresa que crece un 5 %, como ha hecho durante una década.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484,85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laboratorio y China no se recuperan y la industria estadounidense se frena: crecimiento del 3 % anual, como en 2024, y margen 1,5 puntos menor por precios más difíciles y aranceles. Ya pasó en 2023 (−3,4 % de ventas).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608,26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5 % en 2027-2029 (precio y volumen a partes iguales) que baja al 3 %, margen EBITDA hasta el 33 % y recompras que reducen las acciones un 3 % al año (fuera del objetivo a 12 meses).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688,45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relocalización industrial en EE. UU., la automatización del laboratorio y la vuelta de China llevan el crecimiento al 6,5 % y el margen gana 0,75 puntos más.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Valor por acción por escenario (USD) · precio actual 1.595,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bCs/>
        </w:rPr>
        <w:t xml:space="preserve">Valor ponderado por probabilidad:</w:t>
      </w:r>
      <w:r>
        <w:t xml:space="preserve"> 597,46 USD (-62,5 %).</w:t>
      </w:r>
    </w:p>
    <w:p>
      <w:pPr>
        <w:spacing w:after="100"/>
      </w:pPr>
      <w:r>
        <w:t xml:space="preserve">El DCF da 484,85 USD en el bajista (−69,6 %), 608,26 en el base y 688,45 en el alcista (−56,8 %): todos muy por debajo del precio, porque la tasa de descuento (bono al 5,22 %, WACC del 10,81 %) no es compatible con un PER de 31-38 veces. La asimetría del DCF (−0,82x) no sirve para decidir. La del objetivo a 12 meses sí: 1.893,33 USD en el alcista (+18,7 %) frente a 1.487,02 en el bajista (−6,8 %), una asimetría de 2,75x, porque el PER limpio de la empresa se ha movido poco (29,8-36,5x en 2022-2025).</w:t>
      </w:r>
    </w:p>
    <w:p>
      <w:pPr>
        <w:pStyle w:val="Heading1"/>
      </w:pPr>
      <w:r>
        <w:t xml:space="preserve">22. Suma de partes</w:t>
      </w:r>
    </w:p>
    <w:p>
      <w:pPr>
        <w:pStyle w:val="Confianza"/>
        <w:spacing w:after="100"/>
      </w:pPr>
      <w:r>
        <w:t xml:space="preserve">Confianza: Baja</w:t>
      </w:r>
    </w:p>
    <w:p>
      <w:pPr>
        <w:spacing w:after="100"/>
      </w:pPr>
      <w:r>
        <w:t xml:space="preserve">No aplica: la empresa no publica resultado por línea de producto (laboratorio, industrial, distribución alimentaria) y sus segmentos son geográficos; una suma de partes sería un ejercicio de supuestos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4" name="Gráfico 24" descr="Valor por acción según cada método (USD) · precio actual 1.595,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687,67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688,45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753,71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824,67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1.587,27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1.595,25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1.603,23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874,20 USD (-45,2 % sobre 1.595,25).</w:t>
      </w:r>
    </w:p>
    <w:p>
      <w:pPr>
        <w:spacing w:after="100"/>
      </w:pPr>
      <w:r>
        <w:t xml:space="preserve">El DCF pesa un 40 %, los comparables un 40 % y los escenarios un 20 %. El valor intrínseco es de 874,20 USD, un 45,2 % por debajo del precio: el DCF y los escenarios (485-688 USD) quedan muy lejos y el PER de los comparables (1.278,52 USD) más cerca. La dispersión es de tasa de descuento, no de cifras: con el bono al 5,22 %, una empresa que crece un 5 % no vale 37 veces su beneficio en un DCF, aunque rinda un 47,6 % sobre el capital. El mercado lleva una década pagando ese múltiplo, así que la decisión la toma el objetivo a 12 meses, con el PER propio de la empresa, y el valor intrínseco avisa de que no hay margen de seguridad.</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1.317,36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(31.1x) a mitad de camino hacia la mediana de 5 años (35.1x)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1.808,40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57,90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2.078,61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+30,3 %</w:t>
            </w:r>
          </w:p>
        </w:tc>
      </w:tr>
    </w:tbl>
    <w:p>
      <w:pPr>
        <w:spacing w:after="160" w:before="0"/>
      </w:pPr>
    </w:p>
    <w:p>
      <w:pPr>
        <w:spacing w:after="100"/>
      </w:pPr>
      <w:r>
        <w:rPr>
          <w:b/>
          <w:bCs/>
        </w:rPr>
        <w:t xml:space="preserve">Objetivo a 12 meses (ponderado):</w:t>
      </w:r>
      <w:r>
        <w:t xml:space="preserve"> 1.753,19 USD · rentabilidad +9,9 % (base +13,4 %) · señal Mantener.</w:t>
      </w:r>
    </w:p>
    <w:p>
      <w:pPr>
        <w:spacing w:after="100"/>
      </w:pPr>
      <w:r>
        <w:t xml:space="preserve">Para comparar, con la regla v2 (historia al cierre, mismo precio): 29,8x / 31,1x / 32,7x, 6,4 % Mantener. Decide la regla vigente (v3 con tope ×1,1; METODO-VIGENTE.md).</w:t>
      </w:r>
    </w:p>
    <w:p>
      <w:pPr>
        <w:keepNext/>
        <w:spacing w:after="100"/>
      </w:pPr>
      <w:r>
        <w:rPr>
          <w:b/>
          <w:bCs/>
        </w:rPr>
        <w:t xml:space="preserve">Frente al consenso (solo contraste).</w:t>
      </w:r>
    </w:p>
    <w:p>
      <w:pPr>
        <w:spacing w:after="100"/>
      </w:pPr>
      <w:r>
        <w:t xml:space="preserve">Nuestro precio base (1.704,28 USD) queda un 16,8 % por encima del objetivo medio de los analistas (1.459,54 USD) [28]. El BPA no explica la diferencia: nuestro 2027e (51,3 USD) coincide con el consenso de Barchart (51,63 USD) y no contamos recompras futuras [30]. La explica la fecha y el múltiplo: muchos objetivos son de mayo-agosto, con la acción en 1.180-1.430 USD, y el nuestro aplica al BPA de 2028e el PER actual (31,1x), mientras que los objetivos implican ≈28x el BPA de 2027e. Los objetivos recientes ya se acercan (Barclays, 1.700 USD el 6 de octubre) [28].</w:t>
      </w:r>
    </w:p>
    <w:p>
      <w:pPr>
        <w:keepNext/>
        <w:spacing w:after="100"/>
      </w:pPr>
      <w:r>
        <w:rPr>
          <w:b/>
          <w:bCs/>
        </w:rPr>
        <w:t xml:space="preserve">Del valor intrínseco al objetivo a 12 meses.</w:t>
      </w:r>
    </w:p>
    <w:p>
      <w:pPr>
        <w:spacing w:after="100"/>
      </w:pPr>
      <w:r>
        <w:t xml:space="preserve">El objetivo a 12 meses (1.697,23 USD) queda un 94 % por encima del valor intrínseco (874,20 USD): el primero supone que el mercado sigue pagando 30-33 veces el beneficio, como en 2022-2025; el segundo, que la acción se valora por sus flujos con un WACC del 10,81 %. No hay un catalizador que cierre esa distancia en un año: haría falta una bajada fuerte de tipos (cada punto menos de tasa libre sube mucho el DCF) o una corrección del múltiplo. La tesis de valor es, por tanto, a varios años y negativa; la de 12 meses es la del crecimiento del beneficio (≈7 %).</w:t>
      </w:r>
    </w:p>
    <w:p>
      <w:r>
        <w:br w:type="page"/>
      </w:r>
    </w:p>
    <w:p>
      <w:pPr>
        <w:pStyle w:val="Parte"/>
      </w:pPr>
      <w:r>
        <w:t xml:space="preserve">Parte V — Tesis, riesgos y seguimiento</w:t>
      </w:r>
    </w:p>
    <w:p>
      <w:pPr>
        <w:pStyle w:val="Heading1"/>
      </w:pPr>
      <w:r>
        <w:t xml:space="preserve">24. Catalizadores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guía de 2026 actualizada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trimestre: BPA ajustado de 12,00-12,15 USD; la acción en máximos necesita superarla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de 2027: nuestro base supone un BPA de ≈51 USD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 875 M en 2026 y continuidad en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 de las acciones al año: sostiene el BPA por acción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Decisiones arancelarias de EE. UU. y reembolsos IEEPA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Pueden mover el margen bruto ±50-100 pb</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Recuperación de China y de la inversión de farmacia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laboratorio, el 56 % de las ventas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con tipos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 (PER de 29,8x, bajista a 12 meses) a −20 % (PER de 25x, el de los comparables)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limpio no bajó de 29,8x en 2022-2025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debajo de 28x con el BPA en línea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3 % en vez del 5 % (laboratorio y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en el BPA de 2028e (49,90 frente a 54,80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y costes sostienen el margen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Moneda local por debajo del 3 %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guerra comercial EE. UU.-China-Suiza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−3-5 % del BPA si no se repercute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Recargos a clientes y fabricación local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58 %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caras financiadas con deuda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Rentabilidad de la recompra ≈2,7 % frente a un coste de deuda del 4,5 %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de 1,6x el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por encima de 2,5x el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pesaje industrial e integración en sistemas de terceros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punto de margen EBITDA ≈ −3 % del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50 % del mercado de balanzas de laboratorio y servicio validado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industrial y cuota en inspección de producto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(franco suizo fuerte, costes en Suiza)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−1-2 % del BPA anual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Coberturas naturales parciales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con efecto divisa negativo sobre el BPA</w:t>
            </w:r>
          </w:p>
        </w:tc>
      </w:tr>
    </w:tbl>
    <w:p>
      <w:pPr>
        <w:spacing w:after="160" w:before="0"/>
      </w:pPr>
    </w:p>
    <w:p>
      <w:pPr>
        <w:pStyle w:val="Heading2"/>
      </w:pPr>
      <w:r>
        <w:t xml:space="preserve">Pre-mortem</w:t>
      </w:r>
    </w:p>
    <w:p>
      <w:pPr>
        <w:spacing w:after="100"/>
      </w:pPr>
      <w:r>
        <w:t xml:space="preserve">Octubre de 2029: la acción ha perdido un 40 % y cotiza a ≈950 USD. El 3T26 fue bueno pero no mejor que la guía y la acción, que cotizaba en máximos a 37 veces beneficios, perdió un 8 % en el día. En 2027 el laboratorio no se recuperó: la farmacia aplazó inversiones por la presión de precios de los medicamentos en EE. UU., China siguió plana y la industria se frenó con los tipos por encima del 5 %. Las ventas crecieron un 2-3 % y el BPA solo avanzó gracias a las recompras. El mercado, que pagaba 31-37 veces por una calidad que crecía un 5 %, pasó a pagar 25 veces, el múltiplo de Thermo Fisher y Danaher. Con un BPA de ≈50 USD en 2028 y 25x, la acción vale 1.250 USD; un año malo más y el PER de 20x la deja en 1.000. La empresa siguió recomprando con deuda a precios altos. El indicador que lo habría anticipado: el crecimiento en moneda local por debajo del 3 % y el PER adelantado por encima de 30x a la vez.</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crecimiento en moneda local espera la dirección en 2027 y cuánto es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base supone un 5 % (2,5 de precio): 3 puntos más que la media de 2021-2025.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es hoy China y ha tocado fondo la demanda de laboratorio allí?</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Creció un 1 % en 2025; es una palanca del volumen del caso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reembolso IEEPA queda por cobrar y cuánto se devolverá a clientes?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52 M cobrados y 28 M devueltos en el 2T26; afecta al GAAP, no al ajustado.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qué precio dejaría la empresa de recomprar o pasaría a pagar dividendo?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a 31-37x beneficios, con una rentabilidad inferior al coste de la deuda.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objetivo de margen operativo ajustado a medio plazo?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Proyectamos un margen EBITDA del 33 %, 1,1 puntos sobre el máximo de 2024.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peso tienen el servicio y los consumibles en las ventas y cómo crecen?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Determinan la parte recurrente y la resistencia en el bajista.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 Webull (artículos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Celebra la subida de la guía y la recompra de 875 M, pero pregunta si la acción ya está «totalmente valorada» tras subir un 10,7 % en 30 días [40,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Stockchase (opiniones de gestores)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 calidad (ROIC alto, foso) con la objeción repetida del precio [18].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Walnut Invest (tesis alcista y 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 compras y 6 mantener; la tesis bajista es el múltiplo con crecimiento de un dígito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GuruFocus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último tramo de subida la acción cotiza un 6,6 % por encima de su «GF Value» [43].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narrativas alcistas apoyan el valor en los programas de ventas y márgenes, con valores razonables de ≈1.505 USD, ya por debajo del precio [44].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y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ROIC muy por encima del WACC y recompras de 800-1.100 M al año [10].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informe coincide: el precio pide mucho más crecimiento del que proyectamos.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reembolso IEEPA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52 M del reembolso son puntuales y están fuera del BPA ajustado [4].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China y laboratorio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+1 % en 2025; el laboratorio crece pero a un dígito bajo [1, 2].</w:t>
            </w:r>
          </w:p>
        </w:tc>
      </w:tr>
    </w:tbl>
    <w:p>
      <w:pPr>
        <w:spacing w:after="160" w:before="0"/>
      </w:pPr>
    </w:p>
    <w:p>
      <w:pPr>
        <w:spacing w:after="100"/>
      </w:pPr>
      <w:r>
        <w:t xml:space="preserve">El sentimiento acompaña al precio, sin euforia: los comentarios coinciden en que es una empresa de calidad y discrepan en el precio. Tras la subida de 1.180 a 1.595 USD desde junio, crecen las voces que la ven totalmente valorada (GuruFocus la sitúa un 6,6 % por encima de su valor, Redburn inició con Vender) [23, 43]. Es lo mismo que dice nuestro análisis: el negocio sostiene un crecimiento del 4-5 % y un PER alto, pero la rentabilidad a 12 meses queda en un dígito. No aporta un riesgo nuevo; sí avisa de que la acción, en máximos y con los objetivos de los analistas por debajo, es sensible a un 3T26 sin sorpresa positiva.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18 controles correctos. Fuentes: 44 (10 primarias); citas distintas en el texto: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28,0 % frente a 28,9 % real: genera una variación de circulante de 28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23,9 %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44 fuentes (10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16, 26, 32, 39.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ESG y controversias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generales y resultado financiero e impuestos de 2021-2022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en sec.gov: sin red; 2) Stock Analysis vía búsqueda: solo 2023-2025; 3) TipRanks y Finboard: no dan esas líneas en el extracto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Proveedores, intangibles, inmovilizado, vencimientos y 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sin red; 2) Stock Analysis vía búsqueda: no aparecen; 3) 10-Q del 2T26: solo la tabla de deuda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de cinco años por línea de producto o segmento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vía búsqueda: solo pesos de 2025; 2) presentación del 2T25: solo pesos del semestre; 3) informe anual: gráfico sin cifras legibles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 netas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sin red; 2) Stock Analysis: no aparece; 3) comunicados: solo el efecto en el crecimiento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EBIT de 4-8 competidores (Sartorius, Shimadzu, A&amp;D, Ohaus, Thermo Fisher)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sin red; 2) búsqueda del mercado: solo listas de fabricantes; 3) informes de Thermo Fisher y Danaher del repo: no desglosan pesaje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del tamaño del mercado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GII: tabla de cuotas de pago; 2) Towards Healthcare y Research and Markets: solo el año base y la TCAC; 3) Allied Market Research: 1.100 M en 2021, perímetro distinto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y controversias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sin red; 2) MSCI/Sustainalytics: no se buscaron (cupo compartido); 3) prensa: 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remuneración del consejero delegado, accionistas significativos y operaciones de directivos (Form 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en la web de la empresa: el extracto no trae la tabla; 2) form4.mjs y EDGAR: sin red; 3) búsqueda de la remuneración de Kaltenbach: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dejan el presidente, el consejero delegado y el voto de la junta de 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Transacciones precedentes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compra de Waters-BD Biosciences y KKR-Spectris: sin red; 2) búsqueda: no se buscó por el cupo compartido; 3) informes de Thermo Fisher y Danaher del repo: sin transacciones con múltiplo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Beta, volatilidad, caída máxima, rentabilidad del índice y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búsqueda de beta: no se buscó (cupo); 3) Investing y MarketBeat: sin cifra en el extracto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la beta del WACC es de juicio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 2028e y EBITDA del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sin red; 2) TickFlow vía búsqueda: solo trimestres de 2027-2028; 3) Barchart: solo 2027</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Stocktwits y comentarios de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Reddit sobre MTD: sin hilos en los resultados; 2) Seeking Alpha 2026: sin artículos en la búsqueda; 3) API de Stocktwits y RSS de Seeking Alpha: sin red (solo WebSearch)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usan comentarios de Simply Wall St, Stockchase, Walnut y GuruFocus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entera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compra del sector (Waters-BD, KKR-Spectris): sin red; 2) búsqueda: no se buscó por el cupo compartido entre sesiones; 3) informes del repo: sin transacciones con múltiplo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Mettler-Toledo, Form 10-K del ejercicio 2025 (fondo de comercio 739,2 M frente a 668,9 M; laboratorio ≈56 % de las ventas; ventas por destino).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Mettler-Toledo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https://www.sec.gov/Archives/edgar/data/1037646/000103764626000011/mtd-20251231.htm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Mettler-Toledo International Inc. Reports Fourth Quarter 2025 Results (ventas 2025 4.026 M, +4 %; BPA 42,05 USD; BPA ajustado 42,73 frente a 41,11; 4T25: BPA ajustado 13,36, margen bruto 59,8 %).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Mettler-Toledo /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https://www.businesswire.com/news/home/20260205775735/en/Mettler-Toledo-International-Inc.-Reports-Fourth-Quarter-2025-Results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International Inc. Reports First Quarter 2026 Results (ventas 947,1 M, +7 %, +3 % en moneda local; BPA ajustado 8,91 frente a 8,19).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 SEC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https://www.sec.gov/Archives/edgar/data/0001037646/000103764626000019/ex-991mtd8xkq12026.htm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International Inc. Reports Second Quarter 2026 Results (ventas 1.027 M, +4 %, +6 % en moneda local; BPA ajustado 11,46; guía 2026 de BPA ajustado 47,15-47,50 USD; recompras de 875 M; flujo libre de 900 M; reembolso de aranceles IEEPA).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 SEC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https://www.sec.gov/Archives/edgar/data/0001037646/000103764626000049/ex-991mtd8xkq22026.htm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(MTD): cuenta de resultados anual 2021-2025 y LTM jun-26 (resultado de explotación, gastos por intereses, impuestos, beneficio neto, amortización).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https://stockanalysis.com/stocks/mtd/financials/income-statement/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MTD: cuenta de resultados (ingresos y beneficio bruto 2021-2025).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https://finboard.net/companies/MTD/income-statement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MTD: cuenta de resultados (beneficio neto, BPA diluido y acciones diluidas 2020-2024).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https://www.tipranks.com/stocks/mtd/financials/income-statement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MTD: balance anual 2021-2025 (deuda, caja, clientes, existencias, activo y pasivo corriente).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 Finboard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https://stockanalysis.com/stocks/mtd/financials/balance-sheet/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balance trimestral (patrimonio neto a fin de cada año 2021-2025).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https://fintel.io/bs/at/mtd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MTD: estado de flujos anual 2021-2025 (flujo operativo, capex, recompras).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 Finboard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https://stockanalysis.com/stocks/mtd/financials/cash-flow-statement/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Form 10-Q del 2T26 (deuda a 30-jun-2026: 2.111,96 M; bonos 1.248,6 M, línea de crédito de 1.350 M dispuesta en 783,1 M).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https://www.sec.gov/Archives/edgar/data/0001037646/000103764626000051/mtd-20260630.htm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Reports Fourth Quarter 2023 Results (BPA ajustado 2023 38,03 frente a 39,65 en 2022; BPA 35,90).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https://investor.mt.com/news/news-details/2024/Mettler-Toledo-International-Inc.-Reports-Fourth-Quarter-2023-Results/default.aspx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comunicado del 4T21 (BPA ajustado 2021 34,01 frente a 25,72 en 2020).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https://s202.q4cdn.com/258391627/files/doc_news/2022/02/feb-10-22.pdf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Q4 2025 earnings call highlights (mercados emergentes sin China, 18 % de las ventas; margen bruto).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https://www.marketbeat.com/instant-alerts/mettler-toledo-international-q4-earnings-call-highlights-2026-02-06/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(MTD) Q2 2026 Earnings Call Transcript.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 EarningsWhispers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https://www.webull.com/news/15364756693607424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MT Annual Report 2025 (ventas por destino: ≈42 % América, 29 % Europa, 29 % Asia y resto).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https://s202.q4cdn.com/258391627/files/doc_financials/2025/ar/MT-2025-Annual-Report-WEB-VERSION.pdf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10-K 2025 vía datos agregados (depreciación 51 M en 2025; pagos en acciones 23 M).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https://kalkinemedia.com/us/companies/nyse-mtd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MTD: opiniones de gestores (calidad, ROIC por encima del 30 %, valoración «bastante alta por ahora»).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Stockchase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https://stockchase.com/MTD-N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Laboratory balances and scales market sizing (≈3.590 M USD en 2025, TCAC del 4,05 % 2025-2034).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Towards Healthcare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https://www.towardshealthcare.com/insights/laboratory-balances-and-scales-market-sizing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Laboratory Balances &amp; Scales Market (1.500 M USD en 2024, TCAC del 3,3 % hasta 2030).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GII / Global Industry Analysts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https://www.gii.tw/report/go1662102-laboratory-balances-scales.html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Laboratory electronic balance segment (2.700 M USD en 2025, TCAC del 6,0 % hasta 2032).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Research and 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https://www.researchandmarkets.com/report/global-electronic-balance-market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perfil (líder del pesaje, más del 50 % del mercado de balanzas de laboratorio; China ≈20 % de las ventas).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 Bell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https://www.ajbell.co.uk/market-research/NYSE:MTD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Redburn inicia Mettler-Toledo con Vender: prima difícil de justificar con crecimiento modesto y más competencia en pesaje e instrumentos.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https://www.tikr.com/blog/mettler-toledo-stock-what-points-to-a-1800-valuation-target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International Inc. 2026 Proxy Statement (carta firmada por Roland Diggelmann como presidente del consejo; incentivo anual ligado a BPA, flujo de caja neto, ventas y objetivos de sostenibilidad; opciones, RSU y PSU).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https://s202.q4cdn.com/258391627/files/doc_financials/2025/ar/Mettler-Toledo_International_Inc-_2026_Proxy_Statement.pdf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Form 8-K del 11-may-2026 (junta del 7-may: nueve consejeros elegidos a un año; voto consultivo de remuneración 15.794.744 a favor, 2.177.522 en contra, 16.878 abstenciones; PwC ratificado).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https://www.boardroomalpha.com/sec/mtd-8-k-2026-05-11-0001037646-26-000024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Intl (MTD) Stock Price, Quote: 1.595,25 USD (13-oct-2026, 18:08 EDT); próximos resultados estimados el 5-nov-2026.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https://www.benzinga.com/quote/MTD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stock hits 52-week high (1.586,55 USD intradía; +21,66 % en un año; PER 35,57x).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https://www.investing.com/news/company-news/mettlertoledo-stock-hits-52week-high-at-15860-usd-93CH-4947292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International (MTD): consenso «Hold», objetivo medio 1.459,54 USD; Barclays sube el objetivo a 1.700 USD (6-oct-2026).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https://www.marketbeat.com/stocks/NYSE/MTD/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 Stock Price History (cierres anuales 2018-2025: 565,58; 793,28; 1.139,68; 1.697,21; 1.445,45; 1.212,96; 1.223,68; 1.394,19 USD).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https://www.macrotrends.net/stocks/charts/MTD/mettler-toledo/stock-price-history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Are Wall Street analysts predicting Mettler-Toledo stock will climb or sink? (13 analistas: 6 compra fuerte y 7 mantener; BPA ajustado 2027e 51,63 USD, +10,8 %).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https://www.barchart.com/story/news/358645/are-wall-street-analysts-predicting-mettler-toledo-stock-will-climb-or-sink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stock forecast (BPA 2026e medio ≈46,50 USD; objetivo medio 1.392,25 USD de 11 analistas, 1-ago-2026).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TickFlow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https://tickflow.io/stock/MTD/forecast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acciones en circulación 20.207.601 (Equibles); 20.599.040 a 30-jun-2025 (10-Q).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Equibles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https://equibles.com/stocks/mtd/financials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análisis del 14-oct-2026 de este repositorio (capitalización 249.966 M, PER NTM 24,6x, EV/EBITDA LTM 26,1x, ROIC 7,3 %, margen EBITDA 23,8 %).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propio (informes/thermo-fisher-2026-10-14)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https://stockanalysis.com/stocks/tmo/statistics/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análisis del 14-oct-2026 de este repositorio (capitalización 151.545 M, PER NTM 25,3x, EV/EBITDA LTM 24,5x, ROIC 5,5 %).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propio (informes/danaher-2026-10-14)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https://stockanalysis.com/stocks/dhr/statistics/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Agilent (PER adelantado 20,58x, 2-oct-2026) y Waters (23,26x, mayo de 2026), recogidos en el análisis de Thermo Fisher del 14-oct-2026.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FinanceCharts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https://www.financecharts.com/stocks/A/value/pe-ratio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Hexagon, Cognex, Rockwell y Mettler-Toledo (MarketScreener y Stock Analysis a 7-oct-2026), recogidos en el análisis de Keyence de este repositorio (MTD: EV/EBITDA LTM 25,0x, NTM 23,4x, PER NTM 31,7x, margen EBITDA 30,9 %, ROIC 42,3 %).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https://www.marketscreener.com/quote/stock/METTLER-TOLEDO-INTERNATI-11959/finances/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yield (13-oct-2026): 5,22 % (tomado del análisis de Group 1 Automotive del mismo día).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 /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https://www.cnbc.com/2026/10/13/us-treasurys-bonds-yields.html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Implied ERP by month (octubre de 2026: 4,20 %, T12m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NYU Stern / A. Damodaran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MTD: cierre de 1.425,09 USD el 19-ago-2026; rango de cierres de 52 semanas 1.025,53-1.506,02 USD.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 Bell / Robinhood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https://robinhood.com/us/en/stocks/mtd/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 Toledo International (MTD) Reports Stronger Earnings, Is The Stock Fully Valued? (Simply Wall St).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https://www.webull.com/news/15394086709896192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(MTD) Is Up 6.7% After Raising 2026 Outlook And Announcing $875 Million Buyback.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https://www.webull.com/news/15335057131136000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MTD a Buy or a Sell? The Bull and Bear Case (2026).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Walnut Invest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https://walnutinvest.com/stocks/mtd/is-it-a-buy-or-sell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Look at Mettler-Toledo (MTD) After 3.7% Gain: GF Value 1.446 USD frente a 1.541,63.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https://www.gurufocus.com/news/9110249/a-look-at-mettlertoledo-international-inc-mtd-after-37-gain-gf-value-144601-vs-price-154163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Decisive programs and innovations set to propel revenue and margin growth (narrativa de la comunidad: valor razonable 1.505 USD).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(narrativas)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https://simplywall.st/narratives/decisive-programs-and-innovations-set-to-propel-revenue-and-margin-growth-in-challenging-markets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77,0 %</w:t>
      </w:r>
      <w:r>
        <w:t xml:space="preserve"> · Secciones con menos del 60 % de campos cubiertos: </w:t>
      </w:r>
      <w:r>
        <w:rPr>
          <w:b/>
          <w:bCs/>
        </w:rPr>
        <w:t xml:space="preserve">gobierno, transacciones, esg, bolsa, catalizadores</w:t>
      </w:r>
      <w:r>
        <w:t xml:space="preserve"> · Generado el 14 oct 2026.</w:t>
      </w:r>
    </w:p>
    <w:p>
      <w:pPr>
        <w:pStyle w:val="Nota"/>
        <w:spacing w:after="100"/>
      </w:pPr>
      <w:r>
        <w:t xml:space="preserve">Análisis hecho desde la nube con la red limitada a la búsqueda web: sec.gov, la web de la empresa y los proveedores de datos no se pudieron abrir, así que las cifras salen de extractos de búsqueda de los comunicados 8-K, del 10-K y 10-Q, del proxy y de agregadores (Stock Analysis, Finboard, TipRanks, Fintel), cruzadas cuando fue posible; lo que no cuadró está en null y en los huecos. Estimaciones propias marcadas: depreciación de 2021-2024 (1,27 % de las ventas, la de 2025), ventas de 1T25-3T25 y BPA del 3T25 (deducidos de crecimientos y guías publicados), acciones diluidas (20,1 M) y los pesos de las líneas de producto. El patrimonio de 2021-2025 (Fintel) no tiene segunda fuente. Cuentas en USD con US GAAP; ejercicio natural. Precio: cierre del 13-oct-2026 según Benzinga (la sesión del 14 no había cerrado). El EBITDA del informe es el GAAP (EBIT + amortizaciones); el BPA del objetivo a 12 meses y el PER histórico están en base ajustada (la que publica la empresa), que en Mettler-Toledo apenas se separa del GAAP (42,73 frente a 42,05 USD en 2025). Los resultados del 3T26 se esperan hacia el 5 de noviembre.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Mettler-Toledo International Inc. (MTD)</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1.595,25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(1.025,53 – 1.595,25)</c:v>
                </c:pt>
                <c:pt idx="1">
                  <c:v>Comparables: PER NTM (1.210,30 – 1.536,25)</c:v>
                </c:pt>
                <c:pt idx="2">
                  <c:v>DCF (WACC y g ± 0,5) (546,29 – 687,67)</c:v>
                </c:pt>
                <c:pt idx="3">
                  <c:v>Escenarios (bajista – alcista) (484,85 – 688,45)</c:v>
                </c:pt>
                <c:pt idx="4">
                  <c:v>DCF con la prima implícita del mercado (4,2 %)</c:v>
                </c:pt>
                <c:pt idx="5">
                  <c:v>Precio actual (1.595,25)</c:v>
                </c:pt>
              </c:strCache>
            </c:strRef>
          </c:cat>
          <c:val>
            <c:numRef>
              <c:f>Hoja1!$B$2:$B$7</c:f>
              <c:numCache>
                <c:formatCode>#,##0</c:formatCode>
                <c:ptCount val="6"/>
                <c:pt idx="0">
                  <c:v>1025.53</c:v>
                </c:pt>
                <c:pt idx="1">
                  <c:v>1210.3</c:v>
                </c:pt>
                <c:pt idx="2">
                  <c:v>546.29</c:v>
                </c:pt>
                <c:pt idx="3">
                  <c:v>484.85</c:v>
                </c:pt>
                <c:pt idx="4">
                  <c:v>693</c:v>
                </c:pt>
                <c:pt idx="5">
                  <c:v>1587.27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(1.025,53 – 1.595,25)</c:v>
                </c:pt>
                <c:pt idx="1">
                  <c:v>Comparables: PER NTM (1.210,30 – 1.536,25)</c:v>
                </c:pt>
                <c:pt idx="2">
                  <c:v>DCF (WACC y g ± 0,5) (546,29 – 687,67)</c:v>
                </c:pt>
                <c:pt idx="3">
                  <c:v>Escenarios (bajista – alcista) (484,85 – 688,45)</c:v>
                </c:pt>
                <c:pt idx="4">
                  <c:v>DCF con la prima implícita del mercado (4,2 %)</c:v>
                </c:pt>
                <c:pt idx="5">
                  <c:v>Precio actual (1.595,25)</c:v>
                </c:pt>
              </c:strCache>
            </c:strRef>
          </c:cat>
          <c:val>
            <c:numRef>
              <c:f>Hoja1!$C$2:$C$7</c:f>
              <c:numCache>
                <c:formatCode>#,##0</c:formatCode>
                <c:ptCount val="6"/>
                <c:pt idx="0">
                  <c:v>569.72</c:v>
                </c:pt>
                <c:pt idx="1">
                  <c:v>325.95000000000005</c:v>
                </c:pt>
                <c:pt idx="2">
                  <c:v>141.38</c:v>
                </c:pt>
                <c:pt idx="3">
                  <c:v>203.60000000000002</c:v>
                </c:pt>
                <c:pt idx="4">
                  <c:v>131.66999999999996</c:v>
                </c:pt>
                <c:pt idx="5">
                  <c:v>15.960000000000036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Laboratorio</c:v>
                </c:pt>
              </c:strCache>
            </c:strRef>
          </c:tx>
          <c:spPr>
            <a:solidFill>
              <a:srgbClr val="2A78D6"/>
            </a:solidFill>
            <a:ln w="12700">
              <a:solidFill>
                <a:srgbClr val="FFFFFF"/>
              </a:solidFill>
            </a:ln>
          </c:spPr>
          <c:invertIfNegative val="0"/>
          <c:cat>
            <c:strRef>
              <c:f>Hoja1!$A$2</c:f>
              <c:strCache>
                <c:ptCount val="1"/>
                <c:pt idx="0">
                  <c:v>2025</c:v>
                </c:pt>
              </c:strCache>
            </c:strRef>
          </c:cat>
          <c:val>
            <c:numRef>
              <c:f>Hoja1!$B$2</c:f>
              <c:numCache>
                <c:formatCode>#,##0</c:formatCode>
                <c:ptCount val="1"/>
                <c:pt idx="0">
                  <c:v>2255</c:v>
                </c:pt>
              </c:numCache>
            </c:numRef>
          </c:val>
        </c:ser>
        <c:ser>
          <c:idx val="1"/>
          <c:order val="1"/>
          <c:tx>
            <c:strRef>
              <c:f>Hoja1!$C$1</c:f>
              <c:strCache>
                <c:ptCount val="1"/>
                <c:pt idx="0">
                  <c:v>Industrial (pesaje e inspección de producto)</c:v>
                </c:pt>
              </c:strCache>
            </c:strRef>
          </c:tx>
          <c:spPr>
            <a:solidFill>
              <a:srgbClr val="EB6834"/>
            </a:solidFill>
            <a:ln w="12700">
              <a:solidFill>
                <a:srgbClr val="FFFFFF"/>
              </a:solidFill>
            </a:ln>
          </c:spPr>
          <c:invertIfNegative val="0"/>
          <c:cat>
            <c:strRef>
              <c:f>Hoja1!$A$2</c:f>
              <c:strCache>
                <c:ptCount val="1"/>
                <c:pt idx="0">
                  <c:v>2025</c:v>
                </c:pt>
              </c:strCache>
            </c:strRef>
          </c:cat>
          <c:val>
            <c:numRef>
              <c:f>Hoja1!$C$2</c:f>
              <c:numCache>
                <c:formatCode>#,##0</c:formatCode>
                <c:ptCount val="1"/>
                <c:pt idx="0">
                  <c:v>1570</c:v>
                </c:pt>
              </c:numCache>
            </c:numRef>
          </c:val>
        </c:ser>
        <c:ser>
          <c:idx val="2"/>
          <c:order val="2"/>
          <c:tx>
            <c:strRef>
              <c:f>Hoja1!$D$1</c:f>
              <c:strCache>
                <c:ptCount val="1"/>
                <c:pt idx="0">
                  <c:v>Distribución alimentaria</c:v>
                </c:pt>
              </c:strCache>
            </c:strRef>
          </c:tx>
          <c:spPr>
            <a:solidFill>
              <a:srgbClr val="1BAF7A"/>
            </a:solidFill>
            <a:ln w="12700">
              <a:solidFill>
                <a:srgbClr val="FFFFFF"/>
              </a:solidFill>
            </a:ln>
          </c:spPr>
          <c:invertIfNegative val="0"/>
          <c:cat>
            <c:strRef>
              <c:f>Hoja1!$A$2</c:f>
              <c:strCache>
                <c:ptCount val="1"/>
                <c:pt idx="0">
                  <c:v>2025</c:v>
                </c:pt>
              </c:strCache>
            </c:strRef>
          </c:cat>
          <c:val>
            <c:numRef>
              <c:f>Hoja1!$D$2</c:f>
              <c:numCache>
                <c:formatCode>#,##0</c:formatCode>
                <c:ptCount val="1"/>
                <c:pt idx="0">
                  <c:v>201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Laboratorio</c:v>
                </c:pt>
                <c:pt idx="1">
                  <c:v>Industrial (pesaje e inspección de producto)</c:v>
                </c:pt>
                <c:pt idx="2">
                  <c:v>Distribución alimentaria</c:v>
                </c:pt>
              </c:strCache>
            </c:strRef>
          </c:cat>
          <c:val>
            <c:numRef>
              <c:f>Hoja1!$B$2:$B$4</c:f>
              <c:numCache>
                <c:formatCode>General</c:formatCode>
                <c:ptCount val="3"/>
                <c:pt idx="0">
                  <c:v>56</c:v>
                </c:pt>
                <c:pt idx="1">
                  <c:v>39</c:v>
                </c:pt>
                <c:pt idx="2">
                  <c:v>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América</c:v>
                </c:pt>
                <c:pt idx="1">
                  <c:v>Europa</c:v>
                </c:pt>
                <c:pt idx="2">
                  <c:v>Asia y resto del mundo</c:v>
                </c:pt>
              </c:strCache>
            </c:strRef>
          </c:cat>
          <c:val>
            <c:numRef>
              <c:f>Hoja1!$B$2:$B$4</c:f>
              <c:numCache>
                <c:formatCode>0"%"</c:formatCode>
                <c:ptCount val="3"/>
                <c:pt idx="0">
                  <c:v>42</c:v>
                </c:pt>
                <c:pt idx="1">
                  <c:v>29</c:v>
                </c:pt>
                <c:pt idx="2">
                  <c:v>29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2</c:v>
                </c:pt>
                <c:pt idx="2">
                  <c:v>2</c:v>
                </c:pt>
                <c:pt idx="3">
                  <c:v>2</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Mettler-Toledo</c:v>
                </c:pt>
              </c:strCache>
            </c:strRef>
          </c:cat>
          <c:val>
            <c:numRef>
              <c:f>Hoja1!$B$2</c:f>
              <c:numCache>
                <c:formatCode>0.0"%"</c:formatCode>
                <c:ptCount val="1"/>
                <c:pt idx="0">
                  <c:v>27.7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3718</c:v>
                </c:pt>
                <c:pt idx="1">
                  <c:v>3920</c:v>
                </c:pt>
                <c:pt idx="2">
                  <c:v>3788</c:v>
                </c:pt>
                <c:pt idx="3">
                  <c:v>3872</c:v>
                </c:pt>
                <c:pt idx="4">
                  <c:v>4026</c:v>
                </c:pt>
                <c:pt idx="5">
                  <c:v>4260</c:v>
                </c:pt>
                <c:pt idx="6">
                  <c:v>4472</c:v>
                </c:pt>
                <c:pt idx="7">
                  <c:v>4696</c:v>
                </c:pt>
                <c:pt idx="8">
                  <c:v>4931</c:v>
                </c:pt>
                <c:pt idx="9">
                  <c:v>5153</c:v>
                </c:pt>
                <c:pt idx="10">
                  <c:v>5359</c:v>
                </c:pt>
                <c:pt idx="11">
                  <c:v>5546</c:v>
                </c:pt>
                <c:pt idx="12">
                  <c:v>5741</c:v>
                </c:pt>
                <c:pt idx="13">
                  <c:v>5913</c:v>
                </c:pt>
                <c:pt idx="14">
                  <c:v>6090</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1102.7</c:v>
                </c:pt>
                <c:pt idx="1">
                  <c:v>1242.2</c:v>
                </c:pt>
                <c:pt idx="2">
                  <c:v>1171.2</c:v>
                </c:pt>
                <c:pt idx="3">
                  <c:v>1233.9</c:v>
                </c:pt>
                <c:pt idx="4">
                  <c:v>1242.5</c:v>
                </c:pt>
                <c:pt idx="5">
                  <c:v>1342</c:v>
                </c:pt>
                <c:pt idx="6">
                  <c:v>1431</c:v>
                </c:pt>
                <c:pt idx="7">
                  <c:v>1526</c:v>
                </c:pt>
                <c:pt idx="8">
                  <c:v>1617</c:v>
                </c:pt>
                <c:pt idx="9">
                  <c:v>1700</c:v>
                </c:pt>
                <c:pt idx="10">
                  <c:v>1768</c:v>
                </c:pt>
                <c:pt idx="11">
                  <c:v>1830</c:v>
                </c:pt>
                <c:pt idx="12">
                  <c:v>1894</c:v>
                </c:pt>
                <c:pt idx="13">
                  <c:v>1951</c:v>
                </c:pt>
                <c:pt idx="14">
                  <c:v>2010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58.4</c:v>
                </c:pt>
                <c:pt idx="1">
                  <c:v>58.9</c:v>
                </c:pt>
                <c:pt idx="2">
                  <c:v>59.2</c:v>
                </c:pt>
                <c:pt idx="3">
                  <c:v>60.1</c:v>
                </c:pt>
                <c:pt idx="4">
                  <c:v>59.4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29.7</c:v>
                </c:pt>
                <c:pt idx="1">
                  <c:v>31.7</c:v>
                </c:pt>
                <c:pt idx="2">
                  <c:v>30.9</c:v>
                </c:pt>
                <c:pt idx="3">
                  <c:v>31.9</c:v>
                </c:pt>
                <c:pt idx="4">
                  <c:v>30.9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26.7</c:v>
                </c:pt>
                <c:pt idx="1">
                  <c:v>28.7</c:v>
                </c:pt>
                <c:pt idx="2">
                  <c:v>27.7</c:v>
                </c:pt>
                <c:pt idx="3">
                  <c:v>28.7</c:v>
                </c:pt>
                <c:pt idx="4">
                  <c:v>27.7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20.7</c:v>
                </c:pt>
                <c:pt idx="1">
                  <c:v>22.3</c:v>
                </c:pt>
                <c:pt idx="2">
                  <c:v>20.8</c:v>
                </c:pt>
                <c:pt idx="3">
                  <c:v>22.3</c:v>
                </c:pt>
                <c:pt idx="4">
                  <c:v>21.6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3">
                  <c:v>8</c:v>
                </c:pt>
                <c:pt idx="4">
                  <c:v>7</c:v>
                </c:pt>
                <c:pt idx="5">
                  <c:v>4</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Hoja1!$C$2:$C$7</c:f>
              <c:numCache>
                <c:formatCode>0.0"%"</c:formatCode>
                <c:ptCount val="6"/>
                <c:pt idx="3">
                  <c:v>5</c:v>
                </c:pt>
                <c:pt idx="4">
                  <c:v>3</c:v>
                </c:pt>
                <c:pt idx="5">
                  <c:v>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64</c:v>
                </c:pt>
                <c:pt idx="1">
                  <c:v>66</c:v>
                </c:pt>
                <c:pt idx="2">
                  <c:v>64</c:v>
                </c:pt>
                <c:pt idx="3">
                  <c:v>65</c:v>
                </c:pt>
                <c:pt idx="4">
                  <c:v>71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98</c:v>
                </c:pt>
                <c:pt idx="1">
                  <c:v>100</c:v>
                </c:pt>
                <c:pt idx="2">
                  <c:v>91</c:v>
                </c:pt>
                <c:pt idx="3">
                  <c:v>81</c:v>
                </c:pt>
                <c:pt idx="4">
                  <c:v>86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801.1999999999999</c:v>
                </c:pt>
                <c:pt idx="1">
                  <c:v>737.9</c:v>
                </c:pt>
                <c:pt idx="2">
                  <c:v>860.6</c:v>
                </c:pt>
                <c:pt idx="3">
                  <c:v>864.5</c:v>
                </c:pt>
                <c:pt idx="4">
                  <c:v>848.6999999999999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769</c:v>
                </c:pt>
                <c:pt idx="1">
                  <c:v>872.5</c:v>
                </c:pt>
                <c:pt idx="2">
                  <c:v>788.8</c:v>
                </c:pt>
                <c:pt idx="3">
                  <c:v>863.1</c:v>
                </c:pt>
                <c:pt idx="4">
                  <c:v>869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42.4</c:v>
                </c:pt>
                <c:pt idx="1">
                  <c:v>45.7</c:v>
                </c:pt>
                <c:pt idx="2">
                  <c:v>44.8</c:v>
                </c:pt>
                <c:pt idx="3">
                  <c:v>50.2</c:v>
                </c:pt>
                <c:pt idx="4">
                  <c:v>47.6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10.8</c:v>
                </c:pt>
                <c:pt idx="1">
                  <c:v>10.8</c:v>
                </c:pt>
                <c:pt idx="2">
                  <c:v>10.8</c:v>
                </c:pt>
                <c:pt idx="3">
                  <c:v>10.8</c:v>
                </c:pt>
                <c:pt idx="4">
                  <c:v>10.8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449.7</c:v>
                </c:pt>
                <c:pt idx="1">
                  <c:v>890.3</c:v>
                </c:pt>
                <c:pt idx="2">
                  <c:v>-1262.1</c:v>
                </c:pt>
                <c:pt idx="3">
                  <c:v>-623.2</c:v>
                </c:pt>
                <c:pt idx="4">
                  <c:v>-1151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1.44</c:v>
                </c:pt>
                <c:pt idx="1">
                  <c:v>1.54</c:v>
                </c:pt>
                <c:pt idx="2">
                  <c:v>1.72</c:v>
                </c:pt>
                <c:pt idx="3">
                  <c:v>1.58</c:v>
                </c:pt>
                <c:pt idx="4">
                  <c:v>1.68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1000</c:v>
                </c:pt>
                <c:pt idx="1">
                  <c:v>1100</c:v>
                </c:pt>
                <c:pt idx="2">
                  <c:v>900</c:v>
                </c:pt>
                <c:pt idx="3">
                  <c:v>850</c:v>
                </c:pt>
                <c:pt idx="4">
                  <c:v>800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40.3</c:v>
                </c:pt>
                <c:pt idx="1">
                  <c:v>43.7</c:v>
                </c:pt>
                <c:pt idx="2">
                  <c:v>48.9</c:v>
                </c:pt>
                <c:pt idx="3">
                  <c:v>-14.8</c:v>
                </c:pt>
                <c:pt idx="4">
                  <c:v>-16.1</c:v>
                </c:pt>
                <c:pt idx="5">
                  <c:v>0.9</c:v>
                </c:pt>
                <c:pt idx="6">
                  <c:v>13.9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37.5</c:v>
                </c:pt>
                <c:pt idx="1">
                  <c:v>28</c:v>
                </c:pt>
                <c:pt idx="2">
                  <c:v>24.5</c:v>
                </c:pt>
                <c:pt idx="3">
                  <c:v>22.7</c:v>
                </c:pt>
                <c:pt idx="4">
                  <c:v>24.9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24.9</c:v>
                </c:pt>
                <c:pt idx="1">
                  <c:v>24.9</c:v>
                </c:pt>
                <c:pt idx="2">
                  <c:v>24.9</c:v>
                </c:pt>
                <c:pt idx="3">
                  <c:v>24.9</c:v>
                </c:pt>
                <c:pt idx="4">
                  <c:v>24.9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Mettler-Toledo</c:v>
                </c:pt>
                <c:pt idx="1">
                  <c:v>Thermo Fisher</c:v>
                </c:pt>
                <c:pt idx="2">
                  <c:v>Danaher</c:v>
                </c:pt>
                <c:pt idx="3">
                  <c:v>Agilent</c:v>
                </c:pt>
                <c:pt idx="4">
                  <c:v>Waters</c:v>
                </c:pt>
                <c:pt idx="5">
                  <c:v>Hexagon</c:v>
                </c:pt>
                <c:pt idx="6">
                  <c:v>Cognex</c:v>
                </c:pt>
                <c:pt idx="7">
                  <c:v>Rockwell Automation</c:v>
                </c:pt>
              </c:strCache>
            </c:strRef>
          </c:cat>
          <c:val>
            <c:numRef>
              <c:f>Hoja1!$B$2:$B$9</c:f>
              <c:numCache>
                <c:formatCode>0.0"x"</c:formatCode>
                <c:ptCount val="8"/>
                <c:pt idx="5">
                  <c:v>15.4</c:v>
                </c:pt>
                <c:pt idx="6">
                  <c:v>27.2</c:v>
                </c:pt>
                <c:pt idx="7">
                  <c:v>21.8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Hexagon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11.3</c:v>
                </c:pt>
              </c:numCache>
            </c:numRef>
          </c:xVal>
          <c:yVal>
            <c:numRef>
              <c:f>Hoja1!$C$2</c:f>
              <c:numCache>
                <c:formatCode>0.0"x"</c:formatCode>
                <c:ptCount val="1"/>
                <c:pt idx="0">
                  <c:v>15.4</c:v>
                </c:pt>
              </c:numCache>
            </c:numRef>
          </c:yVal>
          <c:smooth val="0"/>
        </c:ser>
        <c:ser>
          <c:idx val="1"/>
          <c:order val="1"/>
          <c:tx>
            <c:strRef>
              <c:f>Hoja1!$A$3</c:f>
              <c:strCache>
                <c:ptCount val="1"/>
                <c:pt idx="0">
                  <c:v>Cognex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11.5</c:v>
                </c:pt>
              </c:numCache>
            </c:numRef>
          </c:xVal>
          <c:yVal>
            <c:numRef>
              <c:f>Hoja1!$C$3</c:f>
              <c:numCache>
                <c:formatCode>0.0"x"</c:formatCode>
                <c:ptCount val="1"/>
                <c:pt idx="0">
                  <c:v>27.2</c:v>
                </c:pt>
              </c:numCache>
            </c:numRef>
          </c:yVal>
          <c:smooth val="0"/>
        </c:ser>
        <c:ser>
          <c:idx val="2"/>
          <c:order val="2"/>
          <c:tx>
            <c:strRef>
              <c:f>Hoja1!$A$4</c:f>
              <c:strCache>
                <c:ptCount val="1"/>
                <c:pt idx="0">
                  <c:v>Rockwell Automation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5.8</c:v>
                </c:pt>
              </c:numCache>
            </c:numRef>
          </c:xVal>
          <c:yVal>
            <c:numRef>
              <c:f>Hoja1!$C$4</c:f>
              <c:numCache>
                <c:formatCode>0.0"x"</c:formatCode>
                <c:ptCount val="1"/>
                <c:pt idx="0">
                  <c:v>21.8</c:v>
                </c:pt>
              </c:numCache>
            </c:numRef>
          </c:yVal>
          <c:smooth val="0"/>
        </c:ser>
        <c:axId val="10"/>
        <c:axId val="20"/>
      </c:scatterChart>
      <c:valAx>
        <c:axId val="10"/>
        <c:scaling>
          <c:orientation val="minMax"/>
          <c:max val="13"/>
          <c:min val="4"/>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13"/>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963</c:v>
                </c:pt>
                <c:pt idx="1">
                  <c:v>994</c:v>
                </c:pt>
                <c:pt idx="2">
                  <c:v>1063</c:v>
                </c:pt>
                <c:pt idx="3">
                  <c:v>1123</c:v>
                </c:pt>
                <c:pt idx="4">
                  <c:v>1188</c:v>
                </c:pt>
                <c:pt idx="5">
                  <c:v>1238</c:v>
                </c:pt>
                <c:pt idx="6">
                  <c:v>1288</c:v>
                </c:pt>
                <c:pt idx="7">
                  <c:v>1327</c:v>
                </c:pt>
                <c:pt idx="8">
                  <c:v>1375</c:v>
                </c:pt>
                <c:pt idx="9">
                  <c:v>1416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7024</c:v>
                </c:pt>
                <c:pt idx="1">
                  <c:v>7253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1.595,25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484.85</c:v>
                </c:pt>
                <c:pt idx="1">
                  <c:v>608.26</c:v>
                </c:pt>
                <c:pt idx="2">
                  <c:v>688.45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1.595,25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(1.025,53 – 1.595,25)</c:v>
                </c:pt>
                <c:pt idx="1">
                  <c:v>Comparables: PER NTM (1.210,30 – 1.536,25)</c:v>
                </c:pt>
                <c:pt idx="2">
                  <c:v>DCF (WACC y g ± 0,5) (546,29 – 687,67)</c:v>
                </c:pt>
                <c:pt idx="3">
                  <c:v>Escenarios (bajista – alcista) (484,85 – 688,45)</c:v>
                </c:pt>
                <c:pt idx="4">
                  <c:v>DCF con la prima implícita del mercado (4,2 %)</c:v>
                </c:pt>
                <c:pt idx="5">
                  <c:v>Precio actual (1.595,25)</c:v>
                </c:pt>
              </c:strCache>
            </c:strRef>
          </c:cat>
          <c:val>
            <c:numRef>
              <c:f>Hoja1!$B$2:$B$7</c:f>
              <c:numCache>
                <c:formatCode>#,##0</c:formatCode>
                <c:ptCount val="6"/>
                <c:pt idx="0">
                  <c:v>1025.53</c:v>
                </c:pt>
                <c:pt idx="1">
                  <c:v>1210.3</c:v>
                </c:pt>
                <c:pt idx="2">
                  <c:v>546.29</c:v>
                </c:pt>
                <c:pt idx="3">
                  <c:v>484.85</c:v>
                </c:pt>
                <c:pt idx="4">
                  <c:v>693</c:v>
                </c:pt>
                <c:pt idx="5">
                  <c:v>1587.27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(1.025,53 – 1.595,25)</c:v>
                </c:pt>
                <c:pt idx="1">
                  <c:v>Comparables: PER NTM (1.210,30 – 1.536,25)</c:v>
                </c:pt>
                <c:pt idx="2">
                  <c:v>DCF (WACC y g ± 0,5) (546,29 – 687,67)</c:v>
                </c:pt>
                <c:pt idx="3">
                  <c:v>Escenarios (bajista – alcista) (484,85 – 688,45)</c:v>
                </c:pt>
                <c:pt idx="4">
                  <c:v>DCF con la prima implícita del mercado (4,2 %)</c:v>
                </c:pt>
                <c:pt idx="5">
                  <c:v>Precio actual (1.595,25)</c:v>
                </c:pt>
              </c:strCache>
            </c:strRef>
          </c:cat>
          <c:val>
            <c:numRef>
              <c:f>Hoja1!$C$2:$C$7</c:f>
              <c:numCache>
                <c:formatCode>#,##0</c:formatCode>
                <c:ptCount val="6"/>
                <c:pt idx="0">
                  <c:v>569.72</c:v>
                </c:pt>
                <c:pt idx="1">
                  <c:v>325.95000000000005</c:v>
                </c:pt>
                <c:pt idx="2">
                  <c:v>141.38</c:v>
                </c:pt>
                <c:pt idx="3">
                  <c:v>203.60000000000002</c:v>
                </c:pt>
                <c:pt idx="4">
                  <c:v>131.66999999999996</c:v>
                </c:pt>
                <c:pt idx="5">
                  <c:v>15.960000000000036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