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Microsoft Corporation</w:t>
      </w:r>
    </w:p>
    <w:p>
      <w:pPr>
        <w:spacing w:after="60"/>
        <w:rPr>
          <w:color w:val="52514E"/>
          <w:sz w:val="22"/>
          <w:szCs w:val="22"/>
        </w:rPr>
      </w:pPr>
      <w:r>
        <w:rPr>
          <w:color w:val="52514E"/>
          <w:sz w:val="22"/>
          <w:szCs w:val="22"/>
        </w:rPr>
        <w:t xml:space="preserve">MSFT · Nasdaq Global Select Market · ISIN US5949181045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529,76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584,09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+10,9 % (base +17,8 %)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413,69 USD · mercado 469,70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3.946.447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Microsoft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MSFT / US5949181045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Redmond, Washington (EE. UU.)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www.microsoft.com/investor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529,76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349,20 – 553,72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7.449,5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3.946.447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3.843.144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27,9 M acciones/día, ≈ 13.014 M USD/día (3 meses) [61]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584,09 USD</w:t>
      </w:r>
      <w:r>
        <w:t xml:space="preserve"> frente a 529,76 · Rentabilidad a 12 meses </w:t>
      </w:r>
      <w:r>
        <w:rPr>
          <w:b/>
          <w:bCs/>
        </w:rPr>
        <w:t xml:space="preserve">+10,9 % (base +17,8 %)</w:t>
      </w:r>
      <w:r>
        <w:t xml:space="preserve"> · Valor intrínseco 413,69 USD · con la prima implícita del mercado: 469,70 (-11,3 %) · Alcista / bajista +1,9 % / -51,9 %</w:t>
      </w:r>
    </w:p>
    <w:p>
      <w:pPr>
        <w:spacing w:after="100"/>
      </w:pPr>
      <w:r>
        <w:rPr>
          <w:b/>
        </w:rPr>
        <w:t xml:space="preserve">La recomendación y por qué.</w:t>
      </w:r>
      <w:r>
        <w:t xml:space="preserve"> Vender, con convicción baja. El valor objetivo es de 413,69 USD, un 21,9 % por debajo del precio de 529,76, y la rentabilidad total esperada a 12 meses es del −21,2 %; con la prima que pide el mercado (4,2 %), 469,70 USD y −10,7 %: las dos reglas dan Vender. Pasamos de Mantener a Vender porque el caso base invierte ahora lo que exige el crecimiento proyectado: más capex en FY2030-FY2036 baja el DCF de 463,46 a 419,91 USD. El alcista gana un 1,9 % y el bajista pierde un 51,9 %.</w:t>
      </w:r>
    </w:p>
    <w:p>
      <w:pPr>
        <w:spacing w:after="100"/>
      </w:pPr>
      <w:r>
        <w:rPr>
          <w:b/>
        </w:rPr>
        <w:t xml:space="preserve">El negocio.</w:t>
      </w:r>
      <w:r>
        <w:t xml:space="preserve"> Microsoft gana dinero en la nube y en el software de oficina con un margen operativo del 46,8 %, frente al 35,4 % de AWS y el 23,7 % de Google Cloud [1, 29, 31]. La cartera contratada es de 678.000 M (+84 %) [1, 19]. El ROIC, del 30,9 %, triplica el WACC, pero era del 100,5 % en FY2019: el negocio pasa a ser de infraestructura. La calidad sostiene el crecimiento proyectado solo en parte: hay foso y poder de precios (E3 +8 % desde julio) [27], pero con el capex anterior la reinversión financiaba un 7,1 % anual frente al 12,4 %; con el actual, un 10,5 % más dos puntos de precio.</w:t>
      </w:r>
    </w:p>
    <w:p>
      <w:pPr>
        <w:spacing w:after="100"/>
      </w:pPr>
      <w:r>
        <w:rPr>
          <w:b/>
        </w:rPr>
        <w:t xml:space="preserve">Finanzas.</w:t>
      </w:r>
      <w:r>
        <w:t xml:space="preserve"> Los ingresos crecieron un 17,8 %, hasta 331.839 M, con un margen EBITDA del 58,4 %. El capex con arrendamientos financieros fue de 145.300 M, el 44 % de las ventas, y el FCF cayó a 63.886 M, un 1,7 % de la capitalización [1, 19]. La deuda neta es pequeña, 30.045 M con 66.594 M de arrendamientos financieros, pero hay 329.100 M de arrendamientos de centros de datos firmados y sin comenzar [1]. OpenAI aporta el 7,3 % de los ingresos y era el 45 % de la cartera en el 2T26 [1, 21].</w:t>
      </w:r>
    </w:p>
    <w:p>
      <w:pPr>
        <w:spacing w:after="100"/>
      </w:pPr>
      <w:r>
        <w:rPr>
          <w:b/>
        </w:rPr>
        <w:t xml:space="preserve">Equipo y gobierno.</w:t>
      </w:r>
      <w:r>
        <w:t xml:space="preserve"> 12 de 13 consejeros independientes y un consejero coordinador, pero Satya Nadella preside y dirige a la vez [42]. La dirección cumplió su guía de margen todos los años; la de capex de FY2026, no: prometió moderarlo y creció un 80 % [22, 55]. El variable a largo plazo premia el crecimiento de ingresos, sin ninguna métrica de retorno del capital [42].</w:t>
      </w:r>
    </w:p>
    <w:p>
      <w:pPr>
        <w:spacing w:after="100"/>
      </w:pPr>
      <w:r>
        <w:rPr>
          <w:b/>
        </w:rPr>
        <w:t xml:space="preserve">Valoración.</w:t>
      </w:r>
      <w:r>
        <w:t xml:space="preserve"> El DCF da 419,91 USD, los comparables 424,59 y los escenarios 402,61. El precio descuenta un crecimiento medio del 14,9 % en FY2027-FY2036, frente a nuestro 12,5 %, o una rentabilidad anual del 9,1 %, menos de lo que pide el mercado (9,52 %). El cambio frente a la versión anterior es de capital, no de ingresos. La convicción es baja, como dan los criterios: con la prima del mercado estamos a 0,7 puntos del umbral de Vender y el capex de la cola es estimación nuestra. La subiría una guía de capex de FY2028 por encima del 40 % de las ventas sin que Azure acelere; la bajaría una intensidad de capital que cae más deprisa.</w:t>
      </w:r>
    </w:p>
    <w:p>
      <w:pPr>
        <w:spacing w:after="100"/>
      </w:pPr>
      <w:r>
        <w:rPr>
          <w:b/>
        </w:rPr>
        <w:t xml:space="preserve">Riesgos y catalizadores.</w:t>
      </w:r>
      <w:r>
        <w:t xml:space="preserve"> OpenAI: si no paga sus compromisos, el crecimiento cae y los arrendamientos firmados no se cancelan (bajista −51,9 %). Los tipos: medio punto más de WACC resta un 8 %. Google Cloud, que creció un 82 % en el 2T26 [32]. Catalizadores: resultados del 1T27 el 28-oct-2026, la decisión de la CMA hacia febrero de 2027 y la guía de capex de FY2028 en julio de 2027 [8, 24, 65].</w:t>
      </w:r>
    </w:p>
    <w:p>
      <w:pPr>
        <w:spacing w:after="100"/>
      </w:pPr>
      <w:r>
        <w:rPr>
          <w:b/>
        </w:rPr>
        <w:t xml:space="preserve">Qué cambiaría la decisión.</w:t>
      </w:r>
      <w:r>
        <w:t xml:space="preserve"> Mantener por debajo de 517,94 USD (un 2,3 % bajo el precio) y Comprar por debajo de 397,14. Subiríamos a Mantener si la cartera sin OpenAI crece más del 25 % y la guía de FY2028 baja la intensidad de capital con Azure por encima del 35 %; y la convicción del Vender, si el margen bruto de Microsoft Cloud cae por debajo del 63 % o Azure crece menos del 30 %.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Objetivo a 12 meses: </w:t>
      </w:r>
      <w:r>
        <w:rPr>
          <w:b/>
          <w:bCs/>
        </w:rPr>
        <w:t xml:space="preserve">584,09 USD</w:t>
      </w:r>
      <w:r>
        <w:t xml:space="preserve"> (rentabilidad +10,9 % (base +17,8 %)) · Valor intrínseco: 413,69 USD (-21,9 % sobre 529,76) · con la prima implícita del mercado: 469,70 (-11,3 %)</w:t>
      </w:r>
    </w:p>
    <w:p>
      <w:pPr>
        <w:spacing w:after="100"/>
      </w:pPr>
      <w:r>
        <w:t xml:space="preserve">Microsoft es el segundo proveedor mundial de nube, con un 20 % del mercado, y el dueño del software de oficina de las empresas: ingresos de 331.839 M en FY2026, un margen operativo del 46,8 % y un ROIC del 30,9 % [1, 23]. Su ventaja son los costes de cambio: una cartera contratada de 678.000 M, que crece un 84 %, y la integración de Azure, Microsoft 365 y Copilot, con más de 30 millones de puestos de pago [1, 19].</w:t>
      </w:r>
    </w:p>
    <w:p>
      <w:pPr>
        <w:spacing w:after="100"/>
      </w:pPr>
      <w:r>
        <w:t xml:space="preserve">El precio, 529,76 USD, descuenta un crecimiento medio del 14,9 % durante diez años, por encima del 12,5 % de nuestro caso base, o una rentabilidad anual del 9,1 %, por debajo del 9,52 % que pide el mercado. Cotiza a 15,5 veces el EBITDA de los próximos 12 meses y 25,5 veces el beneficio, una prima del 38 % y del 15 % sobre sus comparables, y por debajo de su media histórica. No es barato ni para lo que pide el mercado.</w:t>
      </w:r>
    </w:p>
    <w:p>
      <w:pPr>
        <w:spacing w:after="100"/>
      </w:pPr>
      <w:r>
        <w:t xml:space="preserve">El mercado acierta en la calidad del negocio y se equivoca, a nuestro juicio, en el capital que exige. El capex con arrendamientos llegó a 145.300 M en FY2026 y la guía apunta a más en FY2027; el flujo libre cayó a un 1,7 % de la capitalización y el ROIC ha bajado de 100,5 % a 30,9 % en siete años [1, 19]. Nuestro caso base ya supone que la intensidad de capital baja del 44 % al 24,5 % de las ventas en diez años, lo justo para crecer un 12,5 % anual con la rotación del capital de hoy. Para invertir habría que creer además que la cartera de OpenAI, el 45 % del total, es firme y que el capex baja más deprisa [21]. Ni el alcista (539,59 USD) supera el precio con holgura; si falla una condición, el bajista resta un 51,9 %.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584,09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 × 19,52 = 431,39 · 27,6x × 22,48 = 620,45 · 28,1x × 24,02 = 674,96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 17,8 %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587,63 (nuestro base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413,69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 -51,9 %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10,3 % y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469,70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(12,5 % anual proyectado; financiable al ROIC actual: 10,5 %)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 rentabilidad que decide (-10,7 %) está a menos de 3 puntos del umbral de Vender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413,69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413,69 y 653,03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653,03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517,94 USD (un 2,3 % bajo el actual) sin cambio en los fundamentales, pasaríamos a Mantener; por debajo de 397,14 USD, a Comprar.</w:t>
      </w:r>
    </w:p>
    <w:p>
      <w:pPr>
        <w:pStyle w:val="ListParagraph"/>
        <w:numPr>
          <w:ilvl w:val="0"/>
          <w:numId w:val="2"/>
        </w:numPr>
        <w:spacing w:after="60"/>
      </w:pPr>
      <w:r>
        <w:t xml:space="preserve">Si la cartera comercial sin OpenAI crece más del 25 % y la guía de FY2028 baja el capex con arrendamientos por debajo del 40 % de las ventas, subiríamos a Mantener.</w:t>
      </w:r>
    </w:p>
    <w:p>
      <w:pPr>
        <w:pStyle w:val="ListParagraph"/>
        <w:numPr>
          <w:ilvl w:val="0"/>
          <w:numId w:val="2"/>
        </w:numPr>
        <w:spacing w:after="60"/>
      </w:pPr>
      <w:r>
        <w:t xml:space="preserve">Si el margen bruto de Microsoft Cloud cae por debajo del 63 % o Azure crece menos del 30 % en dos trimestres seguidos, subiríamos la convicción del Vender.</w:t>
      </w:r>
    </w:p>
    <w:p>
      <w:pPr>
        <w:pStyle w:val="ListParagraph"/>
        <w:numPr>
          <w:ilvl w:val="0"/>
          <w:numId w:val="2"/>
        </w:numPr>
        <w:spacing w:after="60"/>
      </w:pPr>
      <w:r>
        <w:t xml:space="preserve">Si OpenAI renegocia o reduce sus compromisos con Azure, subiríamos la convicción del Vender.</w:t>
      </w:r>
    </w:p>
    <w:p>
      <w:pPr>
        <w:pStyle w:val="ListParagraph"/>
        <w:numPr>
          <w:ilvl w:val="0"/>
          <w:numId w:val="2"/>
        </w:numPr>
        <w:spacing w:after="60"/>
      </w:pPr>
      <w:r>
        <w:t xml:space="preserve">Si la guía de FY2028 lleva el capex con arrendamientos por encima del 50 % de las ventas sin que Azure acelere, subiríamos la convicción del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acelera el crecimiento de Microsoft: el consenso espera un 17,9 % en FY2027, un 19,6 % en FY2028 y un 21,7 % en FY2029, con un margen EBITDA del 65,4 % en FY2029 (63,9 % con nuestra definición de amortización) [67]. El precio, a 15,5 veces el EBITDA de los próximos 12 meses, supone que la inversión de 2026-2027 rinde como el negocio de software de siempre y que el flujo libre se recupera cuando el capex deje de crecer.</w:t>
      </w:r>
    </w:p>
    <w:p>
      <w:pPr>
        <w:keepNext/>
        <w:spacing w:after="100"/>
      </w:pPr>
      <w:r>
        <w:rPr>
          <w:b/>
          <w:bCs/>
        </w:rPr>
        <w:t xml:space="preserve">Lo que creemos nosotros.</w:t>
      </w:r>
    </w:p>
    <w:p>
      <w:pPr>
        <w:spacing w:after="100"/>
      </w:pPr>
      <w:r>
        <w:t xml:space="preserve">Vemos el mismo negocio con un crecimiento algo menor (17,5 %, 18 % y 17 %), un margen que se queda en el 63 % y más capital para crecer: el capex baja al 24,5 % de las ventas en FY2036, no al 20 %, porque una parte de la cartera depende de un solo cliente, la nueva vida útil de los edificios pasará gasto de alquiler al EBITDA y la nube de IA no crece sin centros de datos. Con esos supuestos el DCF da 419,91 USD; con la prima del mercado, 487,43, un 8,0 % por debajo del precio. La diferencia ya no es solo de tasa de descuento: también de capital.</w:t>
      </w:r>
    </w:p>
    <w:p>
      <w:pPr>
        <w:keepNext/>
        <w:spacing w:after="100"/>
      </w:pPr>
      <w:r>
        <w:rPr>
          <w:b/>
          <w:bCs/>
        </w:rPr>
        <w:t xml:space="preserve">Por qué podemos tener razón.</w:t>
      </w:r>
    </w:p>
    <w:p>
      <w:pPr>
        <w:spacing w:after="100"/>
      </w:pPr>
      <w:r>
        <w:t xml:space="preserve">Microsoft ya cambió su guía de capex en FY2026 (prometió moderarlo y creció un 80 %) y la cartera sin OpenAI crece un 25 %, no un 84 % [19, 22, 55]. Si el crecimiento de la cartera depende de un cliente que necesita financiación externa para pagarla, el riesgo de que el FY2029 del consenso no llegue es mayor de lo que el precio refleja.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2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Margen y foso</w:t>
      </w:r>
      <w:r>
        <w:t xml:space="preserve">: margen operativo del 46,8 %, 11 puntos más que AWS, con una cartera contratada de 678.000 M.</w:t>
      </w:r>
    </w:p>
    <w:p>
      <w:pPr>
        <w:pStyle w:val="ListParagraph"/>
        <w:numPr>
          <w:ilvl w:val="0"/>
          <w:numId w:val="2"/>
        </w:numPr>
        <w:spacing w:after="60"/>
      </w:pPr>
      <w:r>
        <w:rPr>
          <w:b/>
        </w:rPr>
        <w:t xml:space="preserve">Azure acelera</w:t>
      </w:r>
      <w:r>
        <w:t xml:space="preserve">: +41 % en FY2026, +43 % en el 4T26 y +44-45 % guiado para el 1T27.</w:t>
      </w:r>
    </w:p>
    <w:p>
      <w:pPr>
        <w:pStyle w:val="ListParagraph"/>
        <w:numPr>
          <w:ilvl w:val="0"/>
          <w:numId w:val="2"/>
        </w:numPr>
        <w:spacing w:after="60"/>
      </w:pPr>
      <w:r>
        <w:rPr>
          <w:b/>
        </w:rPr>
        <w:t xml:space="preserve">Copilot se adopta</w:t>
      </w:r>
      <w:r>
        <w:t xml:space="preserve">: más de 30 millones de puestos de pago, el doble en dos trimestres.</w:t>
      </w:r>
    </w:p>
    <w:p>
      <w:pPr>
        <w:pStyle w:val="ListParagraph"/>
        <w:numPr>
          <w:ilvl w:val="0"/>
          <w:numId w:val="2"/>
        </w:numPr>
        <w:spacing w:after="60"/>
      </w:pPr>
      <w:r>
        <w:rPr>
          <w:b/>
        </w:rPr>
        <w:t xml:space="preserve">Balance AAA</w:t>
      </w:r>
      <w:r>
        <w:t xml:space="preserve">: deuda neta de 30.045 M, 0,2 veces el EBITDA, con rating Aaa de Moody's y AAA de S&amp;P.</w:t>
      </w:r>
    </w:p>
    <w:p>
      <w:pPr>
        <w:pStyle w:val="ListParagraph"/>
        <w:numPr>
          <w:ilvl w:val="0"/>
          <w:numId w:val="2"/>
        </w:numPr>
        <w:spacing w:after="60"/>
      </w:pPr>
      <w:r>
        <w:rPr>
          <w:b/>
        </w:rPr>
        <w:t xml:space="preserve">Cumple la guía de margen</w:t>
      </w:r>
      <w:r>
        <w:t xml:space="preserve">: margen operativo igual o mejor que el guiado en FY2024, FY2025 y FY2026.</w:t>
      </w:r>
    </w:p>
    <w:p>
      <w:pPr>
        <w:pStyle w:val="Heading2"/>
      </w:pPr>
      <w:r>
        <w:t xml:space="preserve">En contra</w:t>
      </w:r>
    </w:p>
    <w:p>
      <w:pPr>
        <w:pStyle w:val="ListParagraph"/>
        <w:numPr>
          <w:ilvl w:val="0"/>
          <w:numId w:val="2"/>
        </w:numPr>
        <w:spacing w:after="60"/>
      </w:pPr>
      <w:r>
        <w:rPr>
          <w:b/>
        </w:rPr>
        <w:t xml:space="preserve">Capital intensivo</w:t>
      </w:r>
      <w:r>
        <w:t xml:space="preserve">: capex con arrendamientos del 44 % de las ventas y FCF del 1,7 % de la capitalización.</w:t>
      </w:r>
    </w:p>
    <w:p>
      <w:pPr>
        <w:pStyle w:val="ListParagraph"/>
        <w:numPr>
          <w:ilvl w:val="0"/>
          <w:numId w:val="2"/>
        </w:numPr>
        <w:spacing w:after="60"/>
      </w:pPr>
      <w:r>
        <w:rPr>
          <w:b/>
        </w:rPr>
        <w:t xml:space="preserve">Dependencia de OpenAI</w:t>
      </w:r>
      <w:r>
        <w:t xml:space="preserve">: el 45 % de la cartera en el 2T26 y el 7,3 % de los ingresos.</w:t>
      </w:r>
    </w:p>
    <w:p>
      <w:pPr>
        <w:pStyle w:val="ListParagraph"/>
        <w:numPr>
          <w:ilvl w:val="0"/>
          <w:numId w:val="2"/>
        </w:numPr>
        <w:spacing w:after="60"/>
      </w:pPr>
      <w:r>
        <w:rPr>
          <w:b/>
        </w:rPr>
        <w:t xml:space="preserve">Compromisos rígidos</w:t>
      </w:r>
      <w:r>
        <w:t xml:space="preserve">: 329.100 M de arrendamientos firmados sin comenzar, que no se pueden cancelar.</w:t>
      </w:r>
    </w:p>
    <w:p>
      <w:pPr>
        <w:pStyle w:val="ListParagraph"/>
        <w:numPr>
          <w:ilvl w:val="0"/>
          <w:numId w:val="2"/>
        </w:numPr>
        <w:spacing w:after="60"/>
      </w:pPr>
      <w:r>
        <w:rPr>
          <w:b/>
        </w:rPr>
        <w:t xml:space="preserve">ROIC a la baja</w:t>
      </w:r>
      <w:r>
        <w:t xml:space="preserve">: del 100,5 % en FY2019 al 30,9 % en FY2026, con un ROIC incremental del 27,7 %.</w:t>
      </w:r>
    </w:p>
    <w:p>
      <w:pPr>
        <w:pStyle w:val="ListParagraph"/>
        <w:numPr>
          <w:ilvl w:val="0"/>
          <w:numId w:val="2"/>
        </w:numPr>
        <w:spacing w:after="60"/>
      </w:pPr>
      <w:r>
        <w:rPr>
          <w:b/>
        </w:rPr>
        <w:t xml:space="preserve">Asimetría mala</w:t>
      </w:r>
      <w:r>
        <w:t xml:space="preserve">: el bajista resta un 51,9 % y el alcista suma un 1,9 %.</w:t>
      </w:r>
    </w:p>
    <w:p>
      <w:pPr>
        <w:pStyle w:val="Heading2"/>
      </w:pPr>
      <w:r>
        <w:t xml:space="preserve">Qué tiene que pasar para que la tesis funcione</w:t>
      </w:r>
    </w:p>
    <w:p>
      <w:pPr>
        <w:spacing w:after="100"/>
      </w:pPr>
      <w:r>
        <w:t xml:space="preserve">La tesis depende de que el capex de IA facture: que la cartera sin OpenAI siga creciendo por encima del 20 % y que el margen bruto de Microsoft Cloud se estabilice en torno al 66 % mientras el capex con arrendamientos deja de crecer en FY2028. La señal de que no se cumple sería una guía de capex al alza con Azure frenando por debajo del 30 %, o un aumento de las cuentas por cobrar de OpenAI por encima de los 6.000 M de junio de 2026.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Azure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(4T26); guía +44-45 %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el destino del capex.</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 comercial sin OpenAI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interanual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demanda diversificada, sin el riesgo de un solo cliente.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con arrendamientos financieros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50 % en FY2028</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que baja al 34 % en FY2029.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Microsoft Cloud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63 %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la IA se vende con margen o compra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Cuentas por cobrar de OpenAI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10.000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señal de que OpenAI paga tarde sus compromisos.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19,8x / 15,5x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29,5x / 25,5x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Bill Gates y Paul Allen fundaron Microsoft el 4 de abril de 1975 en Albuquerque [40]. El contrato de 1981 para el sistema operativo del PC de IBM y Windows (1985) la convirtieron en el estándar del PC; salió a bolsa en marzo de 1986 a 21 USD por acción y en 1991 rompió con IBM en OS/2 para volcarse en Windows [40]. El caso antimonopolio de EE. UU. acabó en 2000 con una sentencia que la calificó de «monopolio abusivo» y en un acuerdo en 2001 [40]. Con Satya Nadella como consejero delegado desde febrero de 2014 [40], el grupo giró hacia la nube y la suscripción y compró LinkedIn (2016), GitHub (2018), Nuance (2022) y Activision Blizzard (2023) [1, 5, 41]. La alianza con OpenAI, iniciada en 2019, es hoy su principal apuesta: una participación del 27 % tras la reestructuración de 2025 [1,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 Gates y Paul Allen fundan Microsoft en Albuquerque (Nuevo México) el 4 de abril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IBM encarga a Microsoft el sistema operativo de su PC, origen de MS-DOS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versión comercial de Windows, como extensión gráfica de MS-DOS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el 13 de marzo a 21 USD por acción; capta 61 M USD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alianza con IBM en OS/2: Microsoft concentra su plataforma en Windows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en United States v. Microsoft que la califica de «monopolio abusivo»; acuerdo con el Gobierno en 2001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Satya Nadella sustituye a Steve Ballmer como consejero delegado el 4 de febrero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GitHub por 7.500 M USD, cerrada el 26 de octubre; en 2016 había comprado LinkedIn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la alianza estratégica con OpenAI; en enero de 2023 anuncia una nueva inversión plurianual de varios miles de millones [1,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Nuance (IA para sanidad) el 4 de marzo por 18.800 M USD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Activision Blizzard el 13 de octubre por 75.400 M USD de precio total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de OpenAI en sociedad de beneficio público: Microsoft queda con ≈27 % (≈135.000 M USD) y OpenAI se compromete a comprar 250.000 M USD adicionales de Azure; en abril de 2026 la licencia de su propiedad intelectual pasa a ser no exclusiva hasta 2032 [25, 26].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Microsoft vende software, servicios en la nube, dispositivos y publicidad. En el FY2026 facturó 331.839 M USD: servidores y nube (Azure, SQL Server, Windows Server, GitHub) 129.425 M (39 %); Microsoft 365 Commercial (Office, Teams, Exchange, seguridad, Copilot) 101.997 M (31 %); XBOX 21.790 M; LinkedIn 19.817 M; Windows y dispositivos 17.084 M; publicidad en buscadores (Bing, Copilot, Edge) 15.176 M; Microsoft 365 Consumer 9.175 M; Dynamics 9.006 M, y servicios de empresa 8.260 M [1]. Los clientes van de grandes empresas y administraciones (contratos plurianuales de licencia por volumen) a pymes, desarrolladores y consumidores; vende directamente, por socios y revendedores y, en Windows, a través de los fabricantes de PC que lo preinstalan [1]. Ocupa 112 millones de pies cuadrados entre oficinas y centros de datos, y a 30 de junio de 2026 tenía firmados arrendamientos aún no iniciados, sobre todo de centros de datos, por 329.100 M USD que arrancan entre el FY2027 y el FY2033; empleaba a 223.000 personas [1]. Desde el FY2027 reporta dos segmentos: Agents and Infra (Azure, Microsoft 365 cloud, licencias, soluciones sectoriales, servicios) y Devices and Consumer (Windows, XBOX, publicidad) [8].</w:t>
      </w:r>
    </w:p>
    <w:p>
      <w:pPr>
        <w:pStyle w:val="Heading2"/>
      </w:pPr>
      <w:r>
        <w:t xml:space="preserve">Cómo gana dinero</w:t>
      </w:r>
    </w:p>
    <w:p>
      <w:pPr>
        <w:spacing w:after="100"/>
      </w:pPr>
      <w:r>
        <w:t xml:space="preserve">Cobra sobre todo por suscripción y por consumo. Microsoft Cloud (Microsoft 365 Commercial cloud, Azure, la parte comercial de LinkedIn y Dynamics 365) facturó 214.400 M USD en el FY2026, el 65 % del total, con un crecimiento del 27 % [1]; Azure superó por sí solo los 100.000 M USD (+41 %) [19]. Las suscripciones se cobran por usuario (Microsoft 365, Dynamics, Copilot) y Azure por consumo de cómputo, almacenamiento e IA; la empresa está pasando de «puestos» a «puestos más consumo» [1, 19]. Los contratos plurianuales se facturan al inicio de cada año y se reconocen a lo largo del periodo: la obligación de ejecución comercial pendiente subió un 84 %, hasta 678.000 M USD [1]. El margen bruto de Microsoft Cloud bajó al 66 % por la inversión en infraestructura de IA, pese a lo cual el margen operativo del grupo fue del 46,8 % (155.237 M USD) [1]. El ingreso es más alto en el cuarto trimestre fiscal (abril-junio), cuando se firman más contratos plurianuales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Productivity and Business Processes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Intelligent Cloud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More Personal Computing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Productivity and Business Processes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139.996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Intelligent Cloud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137.791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More Personal Computing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ni país distinto de EE. UU. supera el 10 % de los ingresos [1]. La excepción de hecho es OpenAI, parte vinculada: le facturó 24.100 M USD en el FY2026, incluidos los pagos de reparto de ingresos (estimación propia: 7,3 % de las ventas), y le debía 6.000 M USD al cierre [1]. La cartera comercial pendiente (678.000 M USD) tiene una duración media ponderada de 2,3 años; sin OpenAI creció un 25 %, y el 30 % se reconocerá en los próximos doce meses [19]. Los puestos de pago de Microsoft 365 Commercial crecieron un 6 % y los suscriptores de consumo un 7 % [1]. Poder de precios demostrado: desde el 1 de julio de 2026 Microsoft 365 E3 sube de 36 a 39 USD por usuario y mes (+8 %), E5 de 57 a 60 USD (+5 %) y Office 365 E3 de 23 a 26 USD (+13 %) [27], mientras el ingreso por usuario sube por Copilot, E5 y la nueva suite E7 (EY la ha desplegado a 400.000 empleados) [19].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Azure y otros servicios cloud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(40 % a tipo constante) en FY2026; 43 % en el 4T26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de FY2026: 40/39/40/43 %. Guía del 1T27: +44-45 % a tipo constante con la nueva definición. La demanda sigue por encima de la capacidad [1, 2, 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Cloud revenue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168.900 M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214.400 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Microsoft Cloud del 66 % en FY2026, a la baja por la inversión en infraestructura de IA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 comercial (remaining performance obligations)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~368.000 M (jun-25, derivado del +84 %)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678.000 M (jun-26); 684.000 M el total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 se reconocerá en 12 meses; duración media 2,3 años. Sin OpenAI, +25 %. En el 2T26 el 45 % del RPO comercial era de OpenAI, que contrató 250.000 M adicionales de Azure en oct-2025 [1, 19, 21,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Run-rate anual del negocio de 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37.000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 declarada por Amy Hood en la conferencia del 3T26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Asientos de pago de Microsoft 365 Copilot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millones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30 millones (4T26)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x2 en dos trimestres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 millones en el 3T26; las altas netas se duplicaron en el 4T26 frente al 3T26 [19,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Asientos comerciales de pago de Microsoft 365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interanual (4T26)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definición FY27 (incluye GitHub) +7 % en FY2026; M365 Commercial cloud +17 % en FY2026 [1, 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LinkedIn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17.812 M (+9 %)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19.817 M (+11 %)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FY2027 LinkedIn se reparte entre Industry solutions y Search and advertising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XBOX content and services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 (FY2026); -10 % en el 4T26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XBOX 21.790 M frente a 23.455 M; deterioros y despidos en XBOX en el 4T26; guía 1T27: caída de un dígito medio [1, 8, 19].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que más pesa en el valor de Microsoft es el de servicios de infraestructura en la nube (IaaS, PaaS y nube privada alojada), mundial: Azure es el negocio que más crece y el que absorbe la inversión [1, 23]. Usamos la medición de Synergy Research, que publica tamaño y cuotas trimestrales con el mismo perímetro; Omdia mide un perímetro más estrecho y da cifras menores (110.900 M USD en el 4T25 frente a los ≈143.000 M de Synergy en el 2T26) [23, 28]. El segundo mercado, software de productividad y colaboración, no tiene una medición pública verificada y se trata en competencia. El crecimiento histórico es una estimación propia: Synergy dice que el mercado se ha duplicado en los últimos 11 trimestres, lo que equivale a ≈28,7 % anual (2^(4/11) − 1)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500.000 M USD en los doce meses a junio de 2026; 143.400 M USD en el 2T26, +43 % interanual (Synergy) [23]. Omdia: 110.900 M USD en el 4T25, +29 %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en la nube específicos de IA generativa crecen un 165 % interanual y han llevado el crecimiento del mercado al 43 %, el más alto en ocho años [23]; Azure creció un 41 % en el FY2026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de cargas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productos de servidor instalados en el cliente crecieron solo un 1 % en el FY2026, frente al 41 % de Azure, por el paso continuado a la nube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energía, suelo y GPU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Azure supera la capacidad disponible; Microsoft añadió un gigavatio en el 4T y prevé duplicar su capacidad en dos años [19]; hay pocos proveedores de algunos componentes críticos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de los laboratorios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comercial creció un 84 %, a 678.000 M USD, pero solo un 25 % sin OpenAI [19]; OpenAI puede ya servir sus productos desde cualquier nube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de las suites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365 E3 +8 % y E5 +5 % desde el 1 de julio de 2026 [27]; la suite E7 suma Copilot, E5, Entra y Agent 365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licencias y tarifas de salida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CMA concluyó en julio de 2025 que AWS y Microsoft tienen poder de mercado significativo y abre en mayo de 2026 una investigación de estatus estratégico sobre el software de Microsoft [24].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proveedores tienen el 67 % de la nube pública; en el 2T26 Amazon tenía el 28 %, Microsoft el 20 % y Google el 15 %, con AWS perdiendo 2 puntos y Google ganando 2 en un año [23]. La rivalidad sube con los «neoclouds» (CoreWeave, Nebius, Crusoe) y con Oracle, cuya nube de infraestructura creció un 77 % en su FY2026 [23,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está muy repartida (ningún cliente supera el 10 % de las ventas) [1], pero los grandes laboratorios de IA negocian como compradores concentrados: OpenAI aportó 24.100 M USD de ingresos y ya puede usar otras nubes [1,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pocos proveedores cualificados de componentes críticos para centros de datos, como las GPU, y escasea el suelo con energía [1]. Microsoft lo mitiga con chips propios: Maia 200 da un 30 % más de rendimiento por dólar que el hardware más reciente de su flota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exige inversiones enormes (Microsoft tiene 329.100 M USD de arrendamientos de centros de datos firmados y no iniciados) [1], pero nueve «neoclouds» ya están entre los 40 primeros proveedores, financiados por la demanda de IA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servidor propio pierde peso (licencias de servidor +1 % frente a Azure +41 %) [1]; los modelos abiertos y las aplicaciones nativas de IA son sustitutos parciales en la capa de software, no en la de infraestructura [1].</w:t>
            </w:r>
          </w:p>
        </w:tc>
      </w:tr>
    </w:tbl>
    <w:p>
      <w:pPr>
        <w:spacing w:after="160" w:before="0"/>
      </w:pPr>
    </w:p>
    <w:p>
      <w:pPr>
        <w:pStyle w:val="Heading2"/>
      </w:pPr>
      <w:r>
        <w:t xml:space="preserve">Ciclo</w:t>
      </w:r>
    </w:p>
    <w:p>
      <w:pPr>
        <w:spacing w:after="100"/>
      </w:pPr>
      <w:r>
        <w:t xml:space="preserve">El mercado de infraestructura en la nube acelera desde hace once trimestres: +43 % interanual en el 2T26, el ritmo más alto en ocho años, y la demanda de Azure supera la capacidad instalada [19, 23]. No hay una serie pública del mercado para 2008-09, 2020 y 2022, así que usamos a Microsoft como referencia: en FY2009 sus ingresos cayeron un 3,3 % (de 60.420 a 58.437 M) y el resultado operativo un 8,6 %; en FY2020 crecieron un 13,6 % pese a la pandemia, y en FY2023, tras la subida de tipos de 2022, frenaron al 6,9 % cuando los clientes optimizaron su gasto en nube [4, 7]. La lección: el software por suscripción resiste las recesiones, pero el consumo de nube se ajusta en dos o tres trimestres.</w:t>
      </w:r>
    </w:p>
    <w:p>
      <w:pPr>
        <w:pStyle w:val="Heading2"/>
      </w:pPr>
      <w:r>
        <w:t xml:space="preserve">Regulación</w:t>
      </w:r>
    </w:p>
    <w:p>
      <w:pPr>
        <w:spacing w:after="100"/>
      </w:pPr>
      <w:r>
        <w:rPr>
          <w:b/>
        </w:rPr>
        <w:t xml:space="preserve">UE</w:t>
      </w:r>
      <w:r>
        <w:t xml:space="preserve">: la Comisión aceptó el 12 de septiembre de 2025, sin multa, los compromisos sobre Teams: suites sin Teams a menor precio, interoperabilidad y portabilidad de datos durante siete y diez años [38]. Windows y LinkedIn son servicios de plataforma básica designados por la DMA desde el 6 de septiembre de 2023 [37]; la Ley de IA puede encarecer sus modelos en Europa [1]. </w:t>
      </w:r>
      <w:r>
        <w:rPr>
          <w:b/>
        </w:rPr>
        <w:t xml:space="preserve">Reino Unido</w:t>
      </w:r>
      <w:r>
        <w:t xml:space="preserve">: la CMA concluyó en julio de 2025 que AWS y Microsoft tienen poder de mercado significativo en la nube y abre en mayo de 2026 una investigación de estatus estratégico sobre su software de empresa, de hasta nueve meses [24]. </w:t>
      </w:r>
      <w:r>
        <w:rPr>
          <w:b/>
        </w:rPr>
        <w:t xml:space="preserve">EE. UU.</w:t>
      </w:r>
      <w:r>
        <w:t xml:space="preserve">: la FTC amplió en 2026 su investigación sobre licencias, nube, IA, Copilot y seguridad, con requerimientos a al menos seis rivales [39].</w:t>
      </w:r>
    </w:p>
    <w:p>
      <w:pPr>
        <w:pStyle w:val="Heading2"/>
      </w:pPr>
      <w:r>
        <w:t xml:space="preserve">Tendencias y disrupción</w:t>
      </w:r>
    </w:p>
    <w:p>
      <w:pPr>
        <w:spacing w:after="100"/>
      </w:pPr>
      <w:r>
        <w:t xml:space="preserve">La IA cambia el producto y el modelo de cobro: de puestos a puestos más consumo, y de asistentes a agentes [19]. Microsoft se diversifica frente a OpenAI: su catálogo tiene más de 11.000 modelos (OpenAI, Anthropic, Mistral, xAI) y una familia propia, MAI, que en Excel y GitHub Copilot sustituye a modelos de terceros a menor coste [19]; además, registró una ganancia de 3.200 M USD por su inversión en Anthropic [19]. El acuerdo de abril de 2026 hace no exclusiva su licencia sobre OpenAI y permite a OpenAI vender en cualquier nube [26]. Ganan cuota Google y los neoclouds [23]: Microsoft gana con la IA en volumen, pero pierde exclusividad.</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mundial en servicios de infraestructura en la nube: 20 % en el 2T26, tras Amazon (28 %) y por delante de Google (15 %), según Synergy [23]; Omdia le daba el 22 % en el 4T25 [28]. Azure superó los 100.000 M USD en el FY2026 [19]. En productividad tiene más de 30 millones de puestos de pago de Microsoft 365 Copilot y 50 millones de usuarios de GitHub Copilot [19]; no hay una cuota pública verificada de Office ni de Windows.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 (Amazon Web Services)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del segmento AWS en 2025: 128.725 M USD de ventas (+20 %) y 45.606 M de resultado operativo [29]. En el 2T26 aceleró a 42.232 M (+37 %) con 16.621 M de resultado [30]. Líder por base instalada; pierde 2 puntos de cuota en un año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 (Google Cloud)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Google Cloud en 2025: 58.705 M USD y 13.910 M de resultado operativo; incluye Google Workspace, rival directo de Microsoft 365 [31]. En el 2T26 facturó 24.768 M (+82 %) con 8.814 M de resultado [32]. Es quien más cuota gana (+2 puntos)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(Oracle Cloud Infrastructure)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en el FY2026 (a mayo de 2026): 67.357 M USD de ingresos y 20.606 M de resultado operativo; su nube de infraestructura facturó 18.101 M (+77 %) y ya es el 53 % de sus ingresos en la nube [33]. Compite en cómputo para IA con grandes contratos.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(a enero de 2026): 41.525 M USD de ingresos y 8.331 M de resultado operativo [34]. Compite con Dynamics 365 en CRM y, con Slack, con Teams; su queja originó el caso de Teams en la UE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36.800 M EUR de ingresos (41.558 M USD al cambio medio de 1,1293 USD/EUR que publica SAP) y 9.617 M EUR de resultado operativo; la nube creció un 23 % [35]. Rival de Dynamics en ERP y, a la vez, socio de Azure.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Apple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416.161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(a septiembre de 2025): 416.161 M USD de ventas y 133.050 M de resultado operativo; el Mac, rival de los PC con Windows, facturó 33.708 M (+12 %) [36].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LinkedIn y GitHub (50 millones de usuarios de GitHub Copilot) tienen efectos de red directos [5]; Windows conserva el ecosistema de aplicaciones y está designado como plataforma básica por la DMA [18]. En Azure los efectos de red son débiles.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678.000 M USD de cartera comprometida con duración media de 2,3 años [5] y contratos plurianuales [1]. Subió E3 un 8 % y E5 un 5 % en julio de 2026 [8] mientras los puestos crecían un 6 % [1]. La CMA considera que sus licencias dificultan el cambio de nube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sobre la propiedad intelectual de OpenAI hasta 2032, ahora no exclusiva [7]; modelos propios MAI [5]; participación de ≈27 % en OpenAI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grupo del 46,8 % en el FY2026 [1], frente al 35,4 % de AWS y el 23,7 % de Google Cloud en 2025 [10, 12]. Tres economías de escala en centros de datos [1] y chips propios (Maia 200: +30 % de rendimiento por dólar)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proveedores tienen el 67 % de la nube pública [3]; Microsoft ha firmado 329.100 M USD de arrendamientos de centros de datos aún no iniciados [1], una barrera que pocos pueden igualar.</w:t>
            </w:r>
          </w:p>
        </w:tc>
      </w:tr>
    </w:tbl>
    <w:p>
      <w:pPr>
        <w:spacing w:after="160" w:before="0"/>
      </w:pPr>
    </w:p>
    <w:p>
      <w:pPr>
        <w:pStyle w:val="Heading2"/>
      </w:pPr>
      <w:r>
        <w:t xml:space="preserve">Amenazas</w:t>
      </w:r>
    </w:p>
    <w:p>
      <w:pPr>
        <w:spacing w:after="100"/>
      </w:pPr>
      <w:r>
        <w:t xml:space="preserve">La amenaza más medible es Google: su nube creció un 82 % en el 2T26, con un margen del 36 % ese trimestre [32], y es quien más cuota gana mientras Microsoft se mantiene en el 20 % [23]. La segunda es la pérdida de exclusividad con OpenAI: la licencia deja de ser exclusiva y OpenAI puede vender en cualquier nube [26], aunque el reparto de ingresos a favor de Microsoft sigue hasta 2030 con un tope [26]. La tercera es la regulación de las licencias (CMA, FTC) [24, 39], que puede abaratar el cambio de nube. Por último, Copilot presiona el margen: el margen bruto del segmento bajó por su uso [19].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193.771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FY2017-FY2026: ingresos </w:t>
      </w:r>
      <w:r>
        <w:rPr>
          <w:b/>
          <w:bCs/>
        </w:rPr>
        <w:t xml:space="preserve">14,7 %</w:t>
      </w:r>
      <w:r>
        <w:t xml:space="preserve">, EBITDA </w:t>
      </w:r>
      <w:r>
        <w:rPr>
          <w:b/>
          <w:bCs/>
        </w:rPr>
        <w:t xml:space="preserve">19,9 %</w:t>
      </w:r>
      <w:r>
        <w:t xml:space="preserve">, BPA </w:t>
      </w:r>
      <w:r>
        <w:rPr>
          <w:b/>
          <w:bCs/>
        </w:rPr>
        <w:t xml:space="preserve">20,9 %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96.571 M en FY2017 a 331.839 M en FY2026 (TCAC ~14,7 %), casi todo orgánico salvo LinkedIn (FY2017), Nuance (FY2022) y Activision Blizzard (FY2024). En FY2026 crecieron un 18 % (16 % a tipo constante), con Intelligent Cloud +30 % por Azure (+41 %) y More Personal Computing -1 % por XBOX [1, 11]. El margen operativo subió del 30,1 % en FY2017 al 46,8 % en FY2026 (45,6 % en FY2025), por el apalancamiento de los gastos operativos (+7 % frente a +18 % de ingresos); el margen bruto cayó del 69,8 % (FY2024) al 67,9 % por la infraestructura de IA, y el de Microsoft Cloud al 66 % [1]. La amortización se dispara: «depreciation, amortization, and other» pasa de 13.861 M en FY2023 a 38.534 M en FY2026, y la depreciación del inmovilizado de 15.200 M a 34.300 M entre FY2024 y FY2026 [1]. El beneficio neto de FY2026 (133.749 M, +31 %) lleva 6.530 M antes de impuestos de ganancias de OpenAI (5.000 M netos, 0,67 USD por acción); sin ellas, +22 % [1]. Años no comparables: FY2018 (cargo neto de 13.700 M por la reforma fiscal de EE. UU., en impuestos [6]), FY2022 y FY2024 (compras).</w:t>
      </w:r>
    </w:p>
    <w:p>
      <w:pPr>
        <w:pStyle w:val="Heading2"/>
      </w:pPr>
      <w:r>
        <w:t xml:space="preserve">Ajustes y partidas no recurrentes</w:t>
      </w:r>
    </w:p>
    <w:p>
      <w:pPr>
        <w:spacing w:after="100"/>
      </w:pPr>
      <w:r>
        <w:t xml:space="preserve">Cifras reportadas US GAAP. FY2017 y anteriores se toman reexpresadas con ASC 606 (las que publica la SEC en XBRL) [7]. La empresa publica un BPA ajustado que solo excluye las ganancias o pérdidas de OpenAI: 17,28 USD en FY2026 frente a 17,95 reportados; 14,13 frente a 13,64 en FY2025 [1]. No recurrentes dentro del EBIT: el cargo de 1.200 M del 2T FY2023 (despidos 800 M, deterioros de hardware y concentración de oficinas) [4]; en el 4T26, el programa de jubilación voluntaria (guía de ~900 M, el coste real fue inferior y no se publica) y despidos y deterioros en XBOX sin importe [19, 20]. En otros resultados (fuera del EBITDA), la ganancia de 3.200 M de la inversión en Anthropic del 4T26 [11]. La cifra de amortización de FY2024 y FY2025 es la reexpresada en el 10-K de FY2026 (20.958 y 29.433 M; antes 22.287 y 34.153 M) porque la empresa reclasificó partidas del estado de flujos sin efecto en el flujo operativo [1, 2]. Las cifras trimestrales salen de las notas de prensa de resultados [11, 12, 13, 14, 15, 16, 17, 18] y del 8-K de 2-sep-2026 [8]; la amortización trimestral de FY2025 y del 1T26 es la reexpresada que se deduce de las notas de FY2026 (en el 1T26, 17.345 M del semestre menos 9.198 M del 2T26).</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4T26 (29-jul-2026) el mensaje fue la capacidad: la demanda de Azure (+43 %) sigue por encima de la oferta y el capex trimestral, incluidos arrendamientos financieros, llegó a 41.000 M, dos tercios en activos de vida corta (CPU y GPU) [19]. Amy Hood anunció que desde FY2027 los centros de datos y oficinas se amortizan en 25 años en vez de 15: apenas mejora el beneficio, pero desplaza arrendamientos futuros de financieros a operativos y por eso la previsión de capex del año natural 2026 queda en ~175.000 M sin cambio de fondo [19]. Satya Nadella dio más de 30 millones de asientos de pago de M365 Copilot (15 millones en el 2T26 y 20 millones en el 3T26) y 50 millones de usuarios de GitHub Copilot [19, 20, 21]. Frente al 3T26, cuando la cifra estrella era el run-rate de IA de más de 37.000 M (+123 %) [20], el discurso del 4T26 se centró en Copilot, la suite E7 y la reestructuración de XBOX. Los analistas preguntaron por las restricciones de capacidad, la mezcla de modelos y la monetización de Copilot; en la transcripción no hay cifra de retorno del capex ni del peso de OpenAI en los ingresos de Azure, aunque Amy Hood sí dijo que todo el crecimiento secuencial del RPO vino de clientes distintos de los laboratorios de modelos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411.976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758.376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442.387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Nuance, consolidada desde el 4-mar-2022 (precio total 18.800 M): entra entera en el balance de FY2022 y solo cuatro meses en la cuenta.; FY2024: Activision Blizzard, consolidada desde el 13-oct-2023 (precio 75.408 M; fondo de comercio 51.001 M e intangibles 21.969 M): unos ocho meses y medio en la cuenta de FY2024 y el año completo desde FY2025.).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Microsoft tenía caja neta de bonos de 36.549 M en jun-26 (76.843 M de caja e inversiones a corto frente a 40.294 M de deuda), pero el colchón se ha estrechado: la caja y las inversiones a corto bajaron de 136.527 M en FY2020 a 76.843 M, por Activision (FY2024) y por un capex que ya se come casi dos tercios del flujo operativo. Si se suman los arrendamientos financieros (66.594 M), la posición pasa a deuda neta de unos 30.000 M, y los 329.100 M de arrendamientos no comenzados son deuda futura de hecho. La deuda financiera baja de 86.194 M en FY2017 a 40.294 M porque vence más de lo que se emite; en FY2024 tomó y devolvió financiación ligada a Activision (24.395 M emitidos y 29.070 M devueltos) [1, 7]. El circulante es negativo en el sentido bueno: los ingresos diferidos (75.712 M) financian a los clientes (80.876 M) [1, 7]. Coste de la deuda (estimación propia): 1.500 M de intereses pagados por los bonos entre 47.700 M de nominal medio, 3,1 %.</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182.935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115.948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FY2017-FY2026: FCF </w:t>
      </w:r>
      <w:r>
        <w:rPr>
          <w:b/>
          <w:bCs/>
        </w:rPr>
        <w:t xml:space="preserve">530.445</w:t>
      </w:r>
      <w:r>
        <w:t xml:space="preserve">, conversión </w:t>
      </w:r>
      <w:r>
        <w:rPr>
          <w:b/>
          <w:bCs/>
        </w:rPr>
        <w:t xml:space="preserve">81 %</w:t>
      </w:r>
      <w:r>
        <w:t xml:space="preserve"> del beneficio neto; adquisiciones 141.211, dividendos 180.246, recompras 205.291.</w:t>
      </w:r>
    </w:p>
    <w:p>
      <w:pPr>
        <w:spacing w:after="100"/>
      </w:pPr>
      <w:r>
        <w:t xml:space="preserve">El flujo operativo creció un 34 %, a 182.935 M, pero el capex de caja casi se duplicó, a 115.948 M (34,9 % de las ventas frente al 12,0 % de FY2022), y el FCF bajó a 63.886 M tras el principal de arrendamientos [1]. Con el capex que da la empresa incluidos los arrendamientos financieros (145.300 M), el FCF de FY2026 sería de unos 37.600 M, un 1,0 % de la capitalización [19, 20, 21, 22]. </w:t>
      </w:r>
      <w:r>
        <w:rPr>
          <w:b/>
        </w:rPr>
        <w:t xml:space="preserve">Sin el ciclo de IA</w:t>
      </w:r>
      <w:r>
        <w:t xml:space="preserve">, con la intensidad de FY2020-FY2022 (capex de caja del 11,7 % de las ventas y altas de arrendamientos del 2,2 %), el capex habría sido de unos 46.100 M y el FCF de unos 136.800 M, un 3,5 % de la capitalización (estimación propia). La diferencia, unos 99.000 M al año, es la apuesta: dos tercios van a GPU y CPU de vida corta [19]. La amortización (38.534 M) cubre solo una cuarta parte del capex con arrendamientos, así que el gasto de amortización se duplicará en dos o tres años.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a Microsoft con opinión favorable [1]. Tres cambios de estimación mueven el beneficio sin mover la caja: la vida útil de servidores pasó de 4 a 6 años en FY2023 (+3.700 M de EBIT ese año) y la de edificios pasa de 15 a 25 años desde FY2027, lo que además convierte arrendamientos futuros de financieros en operativos y rebaja el capex que publica la empresa [4, 19]. OpenAI se contabiliza por el método HLBV: dejó +6.530 M en FY2026 (ganancia por dilución) y −4.763 M en FY2025, fuera del resultado operativo [1]. La remuneración en acciones (12.405 M, 9,3 % del beneficio) no se ajusta en el BPA. Los indicadores del informe son sanos: Altman Z de 9,27 (zona segura), Piotroski F de 6 sobre 9 y Beneish M de −2,63, por debajo del umbral de manipulación; el F pierde puntos por la caída de la rotación del activo, que es el capex de IA y no un deterioro del negocio. La señal que importa es otra: </w:t>
      </w:r>
      <w:r>
        <w:rPr>
          <w:b/>
        </w:rPr>
        <w:t xml:space="preserve">la inversión real supera la del estado de flujos</w:t>
      </w:r>
      <w:r>
        <w:t xml:space="preserve">, porque los arrendamientos financieros (24.608 M de altas) y las compras pendientes de pago (26.700 M) no pasan por el capex de caja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fuera del capex de caja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Arrendamientos financieros (24.608 M de altas en FY2026) y 26.700 M de compras de inmovilizado pendientes de pago: el capex de caja (115.948 M) se queda corto frente a los 145.300 M que da la empresa con arrendamientos [1, 19, 20, 21, 22].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Arrendamientos no comenzados de 329.100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 de centros de datos entre FY2027 y FY2033, 3,5 veces los de un año antes; parte pasará a operativos por la nueva vida útil y saldrá del capex publicado [1, 19].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vida útil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Servidores de 4 a 6 años en FY2023 (+3.700 M de EBIT) y edificios de 15 a 25 años desde FY2027 [4, 19].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OpenAI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24.100 M de ingresos en FY2026, 45 % del RPO comercial en el 2T26 y resultados por puesta en equivalencia volátiles (+6.530 M en FY2026, -4.763 M en FY2025) [1,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 fiscal con el IRS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Reclamación de 28.900 M más sanciones e intereses; la empresa cree suficientes sus provisiones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de segmentos y reexpresiones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cambiados en FY2025 y de nuevo en FY2027; el estado de flujos de FY2024-FY2025 se reexpresó en FY2026 [1, 8, 9].</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405.335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27,7 % · </w:t>
      </w:r>
      <w:r>
        <w:rPr>
          <w:b/>
          <w:bCs/>
        </w:rPr>
        <w:t xml:space="preserve">WACC</w:t>
      </w:r>
      <w:r>
        <w:t xml:space="preserve">: 10,3 %.</w:t>
      </w:r>
    </w:p>
    <w:p>
      <w:pPr>
        <w:spacing w:after="100"/>
      </w:pPr>
      <w:r>
        <w:t xml:space="preserve">Microsoft crea valor con holgura: el ROIC de FY2026 es del 30,9 % frente a un WACC del 10,34 %. Pero baja deprisa: era del 100,5 % en FY2019 y del 69,4 % en FY2022, porque el capital invertido crece más que el beneficio operativo. El margen no es el problema (EBIT del 46,8 %, máximo de la serie): lo es la rotación, por el inmovilizado, que pasó de 74.398 M en FY2022 a 313.076 M en FY2026, y por Activision (75.408 M en 2023) [1]. El ROIC incremental de los últimos años es del 27,7 %: cada dólar nuevo rinde menos que el negocio heredado, pero aún casi el triple del coste de capital. La comparación con los rivales favorece a Microsoft: AWS tuvo un margen operativo del 35,4 % en 2025 y Google Cloud del 23,7 % [29, 31]. La pregunta del informe es si el ROIC se estabiliza en torno al 25-30 % cuando el capex de 2026-2027 empiece a amortizarse y facturar, o si sigue cayendo hacia el WACC.</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5.697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financieras a corto plazo de 76.843 M a 30-jun-2026 (caja 20.935 M + inversiones 55.908 M), más 36.348 M de inversiones en acciones a largo plazo (incluida OpenAI por puesta en equivalencia); deuda nominal de 46.136 M (40.294 M contables, 36.500 M a valor razonable).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Aaa, perspectiva estable (confirmada el 21-ago-2026); S&amp;P AAA [79, 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Arrendamientos financieros: pasivo de 66.594 M (4.290 M corto + 62.304 M largo) a un tipo medio del 4,5 % y plazo medio de 13 años, frente a 46.172 M un año antes; además, arrendamientos (sobre todo de centros de datos) firmados y no comenzados por 329.100 M que empezarán entre FY2027 y FY2033 (92.700 M un año antes) [1, 2]. Arrendamientos operativos: 21.925 M de pasivo (ya dentro del EBITDA en US GAAP, no van a la deuda). Compromisos de construcción de centros de datos por 34.600 M y compras de inmovilizado pendientes de pago por 26.700 M (6.900 M en jun-25) [1]. Fiscal: el IRS reclama 28.900 M más sanciones e intereses por precios de transferencia de 2004-2013; Microsoft lo recurre [1]. Compromiso de financiación con OpenAI de 13.000 M, de los que 11.900 M desembolsados [1]. La deuda son bonos senior no garantizados, con cupón semestral (anual los de euros) [1].</w:t>
      </w:r>
    </w:p>
    <w:p>
      <w:pPr>
        <w:pStyle w:val="Heading1"/>
      </w:pPr>
      <w:r>
        <w:t xml:space="preserve">12. Asignación de capital</w:t>
      </w:r>
    </w:p>
    <w:p>
      <w:pPr>
        <w:pStyle w:val="Confianza"/>
        <w:spacing w:after="100"/>
      </w:pPr>
      <w:r>
        <w:t xml:space="preserve">Confianza: Alta</w:t>
      </w:r>
    </w:p>
    <w:p>
      <w:pPr>
        <w:spacing w:after="100"/>
      </w:pPr>
      <w:r>
        <w:t xml:space="preserve">Microsoft devuelve caja con un dividendo trimestral que sube cada año (0,91 USD por trimestre en FY2026, 3,64 USD declarados en el año, +9,6 %) y recompras continuas [1]. El programa de recompra de 60.000 M aprobado el 16-sep-2024 empezó en abril de 2025, no caduca y le quedaban 40.600 M a 30-jun-2026; en FY2026 recompró 36 millones de acciones por 16.719 M dentro del programa (22.271 M en caja con las retenciones fiscales) [1]. En FY2026 devolvió 48.716 M entre dividendos y recompras, el 73 % del FCF. La prioridad declarada de la caja es la infraestructura de nube e IA: el capex con arrendamientos creció a 145.300 M y la empresa prevé que siga creciendo en FY2027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LinkedIn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19.817 M en FY2026 (+11 %); sin deterioros del fondo de comercio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GitHub</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(con pagos en caja menores)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GitHub Copilot, con 50 millones de usuarios en el 4T26; sin deterioros [6, 19].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Nuance Communications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Health and Life Sciences cloud (antes Nuance Healthcare) y Dragon Copilot; sin deterioros [1, 5, 19].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Activision Blizzard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75.408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(más 12.976 M de caja adquirida y 2.799 M de deuda asumida)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51.001 M e intangibles de 21.969 M; amortización de intangibles del grupo de 4.800, 6.000 y 4.700 M en FY2024-FY2026. XBOX content and services cayó un 5 % en FY2026 y hubo despidos y deterioros en XBOX en el 4T26, aunque sin deterioro del fondo de comercio en el test de mayo de 2026 [1, 7, 19].</w:t>
            </w:r>
          </w:p>
        </w:tc>
      </w:tr>
    </w:tbl>
    <w:p>
      <w:pPr>
        <w:spacing w:after="160" w:before="0"/>
      </w:pPr>
    </w:p>
    <w:p>
      <w:pPr>
        <w:spacing w:after="100"/>
      </w:pPr>
      <w:r>
        <w:t xml:space="preserve">Microsoft ha sido una asignadora de capital disciplinada en la parte de accionistas: dividendo creciente, recompras que reducen las acciones diluidas de 7.832 millones en FY2017 a 7.453 millones en FY2026 (-0,6 % anual) y adquisiciones grandes sin deterioros hasta la fecha [1, 7]. La cuestión abierta es el capex de IA: 145.300 M en FY2026 con arrendamientos, más 329.100 M de arrendamientos firmados sin comenzar, con una parte relevante ligada a la demanda de OpenAI (45 % del RPO en el 2T26) [1, 21]. Activision es la apuesta más discutible: 75.408 M para un negocio cuyos ingresos de contenido cayeron en FY2026 y que la dirección dice estar «reseteando» [19]. El fondo de comercio acumulado deteriorado sigue en 11.300 M, de compras antiguas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Satya Nadella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(Chairman)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Microsoft desde 1992; dirigió Server and Tools (2011-2013) y Cloud and Enterprise antes de ser nombrado CEO en febrero de 2014 y presidente del consejo en junio de 2021 [1]. Con él los ingresos pasaron de 96.571 M USD en FY2017 a 331.839 M en FY2026 y el margen operativo del 30 % al 46,8 %. Tenía 900.572 acciones a 30-sep-2025 [42] y vendió 86.525 el 1-sep-2026 con un plan 10b5-1 [49].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E. Hood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Microsoft desde 2002; fue CFO de la división Microsoft Business (2010-2013) y es CFO del grupo desde mayo de 2013 [1]. Ha cumplido o batido la guía anual de margen operativo en los cuatro ejercicios revisados (FY2023-FY2026) [19, 22, 52, 53, 54, 55]. Tenía 465.746 acciones a 30-sep-2025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Bradford L.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 (Vice Chair) y presidente (President); no es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Microsoft desde 1993; secretario general y director jurídico de 2001 a 2015, presidente y director jurídico desde septiembre de 2015 y Vice Chair y presidente desde septiembre de 2021 [1]. Lleva la relación con reguladores (FTC, Comisión Europea, CMA). Es consejero de Netflix [1]. Tenía 402.131 acciones a 30-sep-2025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Judson B. Althoff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Microsoft Commercial Business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marzo de 2013 como presidente de Microsoft Norteamérica; vicepresidente ejecutivo del negocio comercial mundial desde 2017, director comercial (Chief Commercial Officer) desde julio de 2021 y CEO de Microsoft Commercial Business desde octubre de 2025 [1]. Consejero de Ecolab y GE Aerospace [1]. Tenía 82.187 acciones a 30-sep-2025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Takeshi Numoto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y director de marketing (CMO)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Microsoft desde 1997; dirigió el marketing de Office 365 y de la nube comercial y es CMO desde octubre de 2023 [1]. Tenía 32.582 acciones a 30-sep-2025 [42].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Julio de 2022: crecimiento de doble dígito en ingresos y beneficio operativo, en moneda constante y en dólares, y margen operativo aproximadamente plano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+6,9 % y beneficio operativo +6,2 %; margen operativo del 41,8 % frente al 42,1 % de FY2022 (cuentas del informe).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Julio de 2023: margen operativo plano en el año aun con el efecto del cambio de vida útil de los servidores; capex creciente cada trimestre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44,6 % frente al 41,8 % (+2,9 p.p.); ingresos +15,7 % y beneficio operativo +23,6 %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Julio de 2024: doble dígito en ingresos y beneficio operativo; capex mayor que en FY2024; gastos operativos creciendo a un dígito; margen operativo «solo un punto» por debajo del de FY2024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+14,9 %, beneficio operativo +17,4 % y margen del 45,6 % (+1,0 p.p.); adiciones de inmovilizado de 64.551 M USD (+45 %) [1]. La dirección dijo haber batido el compromiso de margen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Julio de 2025: doble dígito en ingresos y beneficio operativo; el crecimiento del capex se moderaría frente al de FY2025; margen operativo prácticamente sin cambios [55]. En octubre de 2025 cambió la guía de capex: crecería más que en FY2025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+17,8 %, beneficio operativo +20,8 % y margen del 46,8 % (+1,2 p.p.) [1, 19]; adiciones de inmovilizado de 115.948 M USD, un +80 % frente al +45 % de FY2025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guía con prudencia en márgenes y cumple: en cuatro ejercicios la guía anual de margen operativo se cumplió o se batió cada año (FY2024: +2,9 puntos frente a «plano») [52, 53, 54, 55]. El crecimiento solo se quedó corto en FY2023. La excepción es el capex: en FY2026 prometió moderar su crecimiento y acabó subiendo un 80 % tras cambiar la guía a los tres meses [22, 55]. Para FY2027 guía doble dígito en ingresos y beneficio operativo, margen a la baja en menos de un punto y unos 175.000 M USD de capex en el año natural 2026 [19]. El equipo es muy estable: Nadella lleva doce años de CEO, Hood trece de CFO y Smith once de presidente [1]. El consejo tiene un plan de sucesión con candidatos internos y externos, pero no hay sucesor visible; el ascenso de Althoff a CEO del negocio comercial (octubre de 2025) es el movimiento más relevante [1, 42].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Satya Nadella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Sandra E. Peterson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2023)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Reid G. Hoffman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se presentará a la reelección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Ambiente, Social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Hugh F. Johnston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experto financiero)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Teri L. List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(experta financiera);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MacGregor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Medio Ambiente, Social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A. L. Mason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Penny S. Pritzker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Ambiente, Social y Políticas Públicas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W. Scharf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Stanton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Medio Ambiente, Social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Emma N. Walmsley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Medio Ambiente, Social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David Rainey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en la junta de diciembre de 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Carmine Di Sibio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nombrado en mayo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1,99 / ventas 114,58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555,99 M de acciones a 31-mar-2026 [50]. Desde la reorganización del 12-ene-2026, The Vanguard Group Inc. declara 0 acciones y sus filiales informan por separado [51]; antes, el grupo declaraba 664,88 M de acciones, un 8,95 %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540,02 M de acciones según su 13G/A de 13-feb-2024, recogido en el proxy de 2025 [42]; sin presentaciones posteriores en la lista de EDGAR de la emisora.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(18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2,28 M de acciones a 30-sep-2025 [42]; ventas en mercado de 114,6 M USD en los 12 meses siguientes [49].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Bradford L. Smith (Vice Chair y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Judson B. Althoff (CEO Microsoft Commercial)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Takeshi Numoto (CMO)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Stanton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Kathleen T. Hogan (EVP Estrategia)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Amy Coleman (EVP Recursos Humanos)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Judson B. Althoff (CEO Microsoft Commercial)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Takeshi Numoto (CMO)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Takeshi Numoto (CMO)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Takeshi Numoto (CMO)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Judson B. Althoff (CEO Microsoft Commercial)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Satya Nadella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Amy E. Hood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41.674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Nadella cobró 96,5 M USD en FY2025, un 22 % más que en FY2024 y 480 veces la mediana de la plantilla [42]. El variable anual (objetivo: 300 % del salario) pesa un 70 % en ingresos y beneficio operativo frente al presupuesto, con objetivos que exigen crecer, y un 30 % en una evaluación operativa del consejo; en FY2025 pagó un 117 % en lo financiero y un 151,67 % en lo operativo [42]. El largo plazo del CEO va todo en acciones de desempeño a tres años: crecimiento de ingresos de Azure (35 %), del resto de la nube (35 %), de servicios de consumo (15 %) y de Xbox (15 %), con un modificador del TSR relativo frente al S&amp;P 500 del 75 % al 150 % [42]. Ninguna métrica mide la rentabilidad del capital ni la caja, en plena escalada del capex. Hay recuperación (clawback) sin culpa, no hay pagos por cambio de control y la indemnización es de 12 meses de salario más el bono objetivo [42]. En las tres últimas juntas el voto en contra máximo fue del 8,62 % (2024), sobre votos a favor, en contra y abstenciones [43, 44, 45].</w:t>
      </w:r>
    </w:p>
    <w:p>
      <w:pPr>
        <w:pStyle w:val="Heading2"/>
      </w:pPr>
      <w:r>
        <w:t xml:space="preserve">Operaciones vinculadas, estructura de control y defensas</w:t>
      </w:r>
    </w:p>
    <w:p>
      <w:pPr>
        <w:spacing w:after="100"/>
      </w:pPr>
      <w:r>
        <w:t xml:space="preserve">Microsoft no tiene accionista de control. Los mayores son gestoras indexadas: Vanguard Capital Management con un 7,48 % y BlackRock con un 7,30 % [42, 50]. Consejeros y directivos suman el 0,03 % [42]. Hay una sola clase de acciones y los consejeros se eligen cada año por mayoría de votos emitidos [42]. El presidente es el propio CEO. Una consejera independiente coordinadora con funciones definidas, Sandra Peterson, compensa en parte esa concentración [42]. Doce de los trece consejeros son independientes y las cuatro comisiones están formadas solo por independientes [42, 47]. En FY2025 no hubo operaciones vinculadas que necesitaran aprobación de la comisión de auditoría; el único caso declarado es el hijo de un directivo (Numoto), empleado sin cargo directivo con más de 120.000 USD de retribución [42]. No hay contratos laborales ni pagos por cambio de control para la alta dirección, y el plan de acciones de 2026 no acelera la consolidación de las acciones solo por un cambio de control [42].</w:t>
      </w:r>
    </w:p>
    <w:p>
      <w:pPr>
        <w:pStyle w:val="Heading2"/>
      </w:pPr>
      <w:r>
        <w:t xml:space="preserve">Señales de alerta</w:t>
      </w:r>
    </w:p>
    <w:p>
      <w:pPr>
        <w:pStyle w:val="ListParagraph"/>
        <w:numPr>
          <w:ilvl w:val="0"/>
          <w:numId w:val="2"/>
        </w:numPr>
        <w:spacing w:after="60"/>
      </w:pPr>
      <w:r>
        <w:t xml:space="preserve">La FTC amplió en 2026 su investigación antimonopolio a la nube, las licencias, la seguridad y la identidad, y la IA (Copilot); ha enviado requerimientos a competidores y sigue abierta [58].</w:t>
      </w:r>
    </w:p>
    <w:p>
      <w:pPr>
        <w:pStyle w:val="ListParagraph"/>
        <w:numPr>
          <w:ilvl w:val="0"/>
          <w:numId w:val="2"/>
        </w:numPr>
        <w:spacing w:after="60"/>
      </w:pPr>
      <w:r>
        <w:t xml:space="preserve">La CMA británica abrió en mayo de 2026 una investigación para designar a Microsoft con estatus de mercado estratégico en su software empresarial (Windows, Office, Teams, Copilot), centrada en cómo las licencias frenan la competencia en la nube [24].</w:t>
      </w:r>
    </w:p>
    <w:p>
      <w:pPr>
        <w:pStyle w:val="ListParagraph"/>
        <w:numPr>
          <w:ilvl w:val="0"/>
          <w:numId w:val="2"/>
        </w:numPr>
        <w:spacing w:after="60"/>
      </w:pPr>
      <w:r>
        <w:t xml:space="preserve">La Comisión Europea hizo vinculantes el 12-sep-2025 los compromisos de Microsoft sobre Teams (siete años; diez para interoperabilidad y portabilidad, con un administrador independiente que vigila su cumplimiento), sin multa [38].</w:t>
      </w:r>
    </w:p>
    <w:p>
      <w:pPr>
        <w:pStyle w:val="ListParagraph"/>
        <w:numPr>
          <w:ilvl w:val="0"/>
          <w:numId w:val="2"/>
        </w:numPr>
        <w:spacing w:after="60"/>
      </w:pPr>
      <w:r>
        <w:t xml:space="preserve">Ciberseguridad: en enero de 2024 un actor ligado a un Estado accedió a correos de la alta dirección (8-K, Item 1.05) [57]. El 2-abr-2024 el Cyber Safety Review Board publicó su revisión de la intrusión de Storm-0558 en Exchange Online (verano de 2023) [59]. Desde FY2025 el variable operativo del CEO incluye una «cultura de seguridad» [42].</w:t>
      </w:r>
    </w:p>
    <w:p>
      <w:pPr>
        <w:pStyle w:val="ListParagraph"/>
        <w:numPr>
          <w:ilvl w:val="0"/>
          <w:numId w:val="2"/>
        </w:numPr>
        <w:spacing w:after="60"/>
      </w:pPr>
      <w:r>
        <w:t xml:space="preserve">Rotación del consejo: Carlos Rodriguez, presidente de Retribuciones, salió en diciembre de 2025 y Reid Hoffman no se presentará en 2026; entran John David Rainey y Carmine Di Sibio [46, 47, 48]. En la dirección, Christopher Young (EVP de desarrollo de negocio, estrategia e inversiones) dimitió en enero de 2025 [56]. Quién preside ahora Retribuciones se sabrá con el proxy de 2026, que no estaba presentado a la fecha de corte.</w:t>
      </w:r>
    </w:p>
    <w:p>
      <w:pPr>
        <w:pStyle w:val="ListParagraph"/>
        <w:numPr>
          <w:ilvl w:val="0"/>
          <w:numId w:val="2"/>
        </w:numPr>
        <w:spacing w:after="60"/>
      </w:pPr>
      <w:r>
        <w:t xml:space="preserve">Ventas de directivos de 114,6 M USD en 12 meses, de ellas 64,2 M con planes 10b5-1 (Nadella y Hood); la única compra en mercado es de un consejero, Stanton, por 2,0 M USD [49, 60].</w:t>
      </w:r>
    </w:p>
    <w:p>
      <w:pPr>
        <w:pStyle w:val="ListParagraph"/>
        <w:numPr>
          <w:ilvl w:val="0"/>
          <w:numId w:val="2"/>
        </w:numPr>
        <w:spacing w:after="60"/>
      </w:pPr>
      <w:r>
        <w:t xml:space="preserve">Votos de protesta: Nadella fue reelegido con un 93,46 % en 2025 y Johnston, presidente de Auditoría, con un 91,53 %. Las propuestas de accionistas sobre derechos humanos sacaron un 27,48 % y un 26,34 % en 2025, y la de abastecimiento de datos para IA un 36,19 % en 2024 [43, 44].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Microsoft no da guía anual de ingresos: guía trimestre a trimestre y comenta el margen y el capex del año. Para el 1T27 (julio-septiembre de 2026), ajustada el 2-sep-2026 a los nuevos segmentos: ingresos de 89.850-90.950 M (+15,7 % a +17,1 % interanual), Agents and Infra 75.150-75.750 M, Devices and Consumer 14.700-15.200 M, Azure +44-45 % a tipo constante, Microsoft 365 commercial cloud +17 %, tipo fiscal de un 20 %, margen operativo plano y capex de más de 50.000 M con arrendamientos [8]. Para el año, el capex seguirá creciendo en FY2027 y la previsión del año natural 2026 es de unos 175.000 M; desde FY2027 los edificios se amortizan en 25 años [19]. El EBITDA del consenso usa una amortización un 1,5 % de las ventas menor que la del estado de flujos, y se ajusta para que los múltiplos midan lo mismo [1, 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8-oct-2026, 56 analistas [67]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467.955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8-oct-2026, 56 analistas [67]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569.502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372.456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262.608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8-oct-2026, 56 analistas [67]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233.583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467.955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288.587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538.311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569.502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363.913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440,00 – 870,00</w:t>
            </w:r>
          </w:p>
        </w:tc>
      </w:tr>
    </w:tbl>
    <w:p>
      <w:pPr>
        <w:spacing w:after="160" w:before="0"/>
      </w:pPr>
    </w:p>
    <w:p>
      <w:pPr>
        <w:pStyle w:val="Heading2"/>
      </w:pPr>
      <w:r>
        <w:t xml:space="preserve">Revisiones de estimaciones</w:t>
      </w:r>
    </w:p>
    <w:p>
      <w:pPr>
        <w:spacing w:after="100"/>
      </w:pPr>
      <w:r>
        <w:t xml:space="preserve">El consenso de 56 analistas da 391.271 M de ingresos y un BPA de 19,72 USD para FY2027, y 569.502 M y 29,03 USD para FY2029: espera que el crecimiento se acelere del 17,8 % de FY2026 al 21,7 % de FY2029 [67]. Las estimaciones no incluyen el efecto de OpenAI, así que se comparan con el BPA ajustado de FY2026 (17,28 USD), no con el publicado (17,95) [1, 67]. No hay revisiones en cifras a 3 y 12 meses en fuentes gratuitas; sí subidas de precio objetivo a primeros de octubre (Evercore ISI a 635, Wells Fargo a 725, Scotiabank a 615 USD) tras la recuperación desde el mínimo de junio [68].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r>
    </w:tbl>
    <w:p>
      <w:pPr>
        <w:spacing w:after="160" w:before="0"/>
      </w:pPr>
    </w:p>
    <w:p>
      <w:pPr>
        <w:spacing w:after="100"/>
      </w:pPr>
      <w:r>
        <w:t xml:space="preserve">Microsoft batió al S&amp;P 500 por 10,8 puntos al año en la década, pero ha ido por detrás en uno y tres años: +1,8 % frente a +16,7 % en doce meses y 18,3 % frente a 23,3 % anual en tres [61]. El año se partió en dos. Del máximo de 553,72 (28-oct-2025) cayó hasta 349,20 (25-jun-2026), un 37 %, con la peor sesión en una década el 29-ene-2026 (−10,0 %) [61]. Desde ese mínimo sube un 52 %. Frente al software (IGV, −5,0 % en doce meses) lo ha hecho mejor; frente a la tecnología amplia (XLK, +39,3 %), mucho peor [61, 62]: el mercado ha premiado a quien vende el hardware de la IA más que a quien la invierte. La volatilidad de un año, 32,5 %, es alta para una empresa de este tamaño [61].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Microsoft cotiza a 19,8 veces el EBITDA de los últimos 12 meses y a 29,5 veces su beneficio, frente a una media de 21,1 y 34,5 veces en sus diez últimos cierres de ejercicio: un 6 % y un 14 % de descuento. No es barato por historia: el PER está inflado por la ganancia de OpenAI, y el EBITDA de hoy aún no carga la amortización del capex de 2026. Lo que ha cambiado es estructural: la tasa libre está en el 5,27 %, frente al 1,5-3 % de la mayor parte de la década [63], y el negocio pasa de software con poco capital a infraestructura intensiva en capital, que el mercado paga con menos múltiplo. El mínimo de la serie (13,1 veces) es de FY2017; el máximo (25,6), de los años de tipos cero.</w:t>
      </w:r>
    </w:p>
    <w:p>
      <w:pPr>
        <w:pStyle w:val="Heading1"/>
      </w:pPr>
      <w:r>
        <w:t xml:space="preserve">18. Comparables cotizados</w:t>
      </w:r>
    </w:p>
    <w:p>
      <w:pPr>
        <w:pStyle w:val="Confianza"/>
        <w:spacing w:after="100"/>
      </w:pPr>
      <w:r>
        <w:t xml:space="preserve">Confianza: Media</w:t>
      </w:r>
    </w:p>
    <w:p>
      <w:pPr>
        <w:spacing w:after="100"/>
      </w:pPr>
      <w:r>
        <w:t xml:space="preserve">Los siete mayores grupos de software y nube cotizados, todos con más de 180.000 M USD de capitalización: Alphabet, Amazon y Oracle compiten con Azure en infraestructura de nube; SAP y Salesforce, con Microsoft 365 y Dynamics en software de empresa; Meta y Apple, por tamaño y por el ciclo de inversión en IA. No hay comparables de tamaño fuera de EE. UU. salvo SAP.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3.946.447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238.183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11,2x / 14,8x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15,0x / 18,8x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 / 22,2x / 23,4x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 / 7,7x / 8,7x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19,3 + -0,28 × crecimiento; R² = 0,20. El crecimiento explica poco los múltiplos de estos comparables (R² &lt; 0,3): la regresión no se usa en la valoración.</w:t>
      </w:r>
    </w:p>
    <w:p>
      <w:pPr>
        <w:spacing w:after="100"/>
      </w:pPr>
      <w:r>
        <w:t xml:space="preserve">Microsoft cotiza a 15,5 veces el EBITDA de los próximos 12 meses y 25,5 veces el beneficio, frente a medianas de 11,2 y 22,2 veces: una prima de un 38 % y un 15 %. La prima se justifica en parte: crece un 18,6 % frente a una mediana del 14,8 %, tiene el margen EBITDA más alto del grupo (58,4 %) y un ROIC del 30,9 % frente al 18,2 % de la mediana. Pero la muestra es frágil: la mediana del EV/EBITDA va de 11,0 a 12,9 veces según qué empresa se quite, y el crecimiento no explica los múltiplos. Ningún comparable tiene el perfil de Microsoft: Alphabet (14,7 veces) es el más cercano por nube e IA, pero vive de la publicidad; Oracle crece un 35,5 % con deuda de 3,3 veces el EBITDA; SAP y Salesforce son software de aplicaciones sin infraestructura. Usamos el PER y el EV/EBITDA de los próximos 12 meses, que dan 424,59 USD, con un peso del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Activision Blizzard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 USD por acción en efectivo; 68.700 M «inclusive of Activision Blizzard's net cash» [72]. Ventas 2021: 8.803 M; EBIT 3.259 M (EV/EBIT 21,1x) [76]. El importe incluye la caja neta: el valor empresa real es menor.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Nuance Communications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 USD por acción en efectivo, 19.700 M incluida la deuda neta, prima del 23 % [73]. Ventas del ejercicio a sep-2020: 1.284 M; EBIT 59 M [76]: el múltiplo de EBITDA no es significativo.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VMware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Broadcom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61.000 M en efectivo y acciones más 8.000 M de deuda neta asumida [74]. Ventas del ejercicio a ene-2022: 12.851 M; EBIT 2.387 M + amortizaciones 1.110 M = EBITDA GAAP 3.497 M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en efectivo, ≈ 28.000 M de valor de las acciones (no publica valor empresa) [75]. Ventas del ejercicio a ene-2023: 3.654 M; EBIT GAAP negativo (−236 M)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390,19 USD por acción en efectivo y acciones, valor empresa ≈ 35.000 M y prima implícita ≈ 29 % [77]. Ventas de Ansys no extraídas (sin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329,58 – 444,84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se pagaron entre 5,4 y 15,3 veces las ventas (VMware y Nuance) y la única con EBITDA publicado, VMware, a 19,7 veces [72, 73, 74, 75, 76, 77]. Con los múltiplos de ventas, Microsoft valdría 358,20 USD por acción, pero no hay información útil para el valor de control: con 3,9 billones USD de capitalización, un 99,7 % de capital flotante y ningún accionista de control, Microsoft no puede ser objetivo de una compra [66]. Las transacciones sirven para otra cosa: Activision se pagó a 7,8 veces las ventas en 2022-23 y hoy sus ingresos de contenido caen, lo que acota el valor de XBOX dentro del grupo. Peso nulo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la guía del 1T27 (+15,7 % a +17,1 %) y de la cartera: el RPO comercial es de 678.000 M (+84 %), con un 30 % a reconocer en 12 meses, unos 203.000 M, frente a 214.400 M de ingresos de Microsoft Cloud en FY2026 [1, 8]. Proyectamos +17,5 % en FY2027, +18 % en FY2028 y +17 % en FY2029, por debajo del consenso (+17,9 %, +19,6 % y +21,7 %) porque el 45 % del RPO es de OpenAI y sin él la cartera crece un 25 % [21, 67]. Después, el crecimiento baja dos puntos al año hasta el 6,5 % en FY2036. El TCAC de 2027-2036 es del 12,5 %, frente al 14,7 % de FY2017-FY2026.</w:t>
      </w:r>
    </w:p>
    <w:p>
      <w:pPr>
        <w:keepNext/>
        <w:spacing w:after="100"/>
      </w:pPr>
      <w:r>
        <w:rPr>
          <w:b/>
          <w:bCs/>
        </w:rPr>
        <w:t xml:space="preserve">Márgenes.</w:t>
      </w:r>
    </w:p>
    <w:p>
      <w:pPr>
        <w:spacing w:after="100"/>
      </w:pPr>
      <w:r>
        <w:t xml:space="preserve">El margen EBITDA sube del 58,4 % de FY2026 al 61 % en FY2027 y al 63 % desde FY2029. El consenso da 59,7 %, 61,7 % y 63,9 % una vez homogeneizada su amortización con la nuestra: nuestro EBITDA queda un 1,8 % por encima en FY2027 y un 6,8 % por debajo en FY2029 [67]. Sube porque la amortización, que crece con el capex, no está en el EBITDA: el margen operativo guiado para el 1T27 es plano [8]. Nos quedamos por debajo en FY2029 por dos razones: el margen bruto de Microsoft Cloud ya ha caído al 66 % por la IA, y los arrendamientos que pasen a operativos con la nueva vida útil cargarán su gasto en el EBITDA [1, 19].</w:t>
      </w:r>
    </w:p>
    <w:p>
      <w:pPr>
        <w:keepNext/>
        <w:spacing w:after="100"/>
      </w:pPr>
      <w:r>
        <w:rPr>
          <w:b/>
          <w:bCs/>
        </w:rPr>
        <w:t xml:space="preserve">Inversión y circulante.</w:t>
      </w:r>
    </w:p>
    <w:p>
      <w:pPr>
        <w:spacing w:after="100"/>
      </w:pPr>
      <w:r>
        <w:t xml:space="preserve">El capex incluye las altas de arrendamientos financieros. FY2027: 52 % de las ventas, unos 203.000 M, coherente con más de 50.000 M en el 1T27 y unos 175.000 M en el año natural 2026 [8, 19]. Baja al 34 % en FY2029 y al 24,5 % en FY2036, frente al 13-14 % de FY2020-FY2022, porque la IA exige reponer GPU cada pocos años [1]. Desde FY2030 va 4,5 puntos por encima de la versión anterior: así la inversión neta sigue al crecimiento y las ventas sobre el capital invertido se quedan en 0,84 veces, como en FY2026 (0,82), en vez de subir a 1,07; es lo que pide la prueba de sostenibilidad. La amortización sube del 11,6 % de las ventas al 20,5 % y converge al 18,5 %. El circulante comercial se mantiene en el 12 % de las ventas y no cuenta los ingresos anticipados: es un supuesto prudente.</w:t>
      </w:r>
    </w:p>
    <w:p>
      <w:pPr>
        <w:keepNext/>
        <w:spacing w:after="100"/>
      </w:pPr>
      <w:r>
        <w:rPr>
          <w:b/>
          <w:bCs/>
        </w:rPr>
        <w:t xml:space="preserve">Coste del capital.</w:t>
      </w:r>
    </w:p>
    <w:p>
      <w:pPr>
        <w:spacing w:after="100"/>
      </w:pPr>
      <w:r>
        <w:t xml:space="preserve">Tasa libre: bono del Tesoro a 10 años, 5,27 % (6-oct-2026) [63]. Beta de 1,05: la mensual de cinco años frente al S&amp;P 500, entre la ajustada mensual (1,03) y la semanal (1,10); frente al Nasdaq 100 sale 0,79-0,94 y frente al software (IGV) 0,74-0,84, pero esas betas subestiman el riesgo porque Microsoft pesa mucho en esos índices, y la prima que aplicamos es la del S&amp;P 500 [61, 62]. Prima de mercado del 5 %, sin prima adicional (rating AAA y caja). Coste de la deuda del 4,5 % (tipo medio de los arrendamientos financieros) y peso de la deuda del 2,6 % a valor de mercado [1]. WACC: 10,34 %; con la prima implícita del mercado (4,2 %), 9,52 % [64].</w:t>
      </w:r>
    </w:p>
    <w:p>
      <w:pPr>
        <w:keepNext/>
        <w:spacing w:after="100"/>
      </w:pPr>
      <w:r>
        <w:rPr>
          <w:b/>
          <w:bCs/>
        </w:rPr>
        <w:t xml:space="preserve">Valor terminal.</w:t>
      </w:r>
    </w:p>
    <w:p>
      <w:pPr>
        <w:spacing w:after="100"/>
      </w:pPr>
      <w:r>
        <w:t xml:space="preserve">Gordon con un crecimiento del 3,5 % nominal en dólares (un 1 % real con una inflación de unos 2,3-2,5 %), coherente con la tasa libre del 5,27 %. Antes del terminal, una etapa de transición de cinco años (FY2037-FY2041) en la que el crecimiento baja del 6,5 % al 3,5 % con el margen constante. El múltiplo de salida implícito es de 7,7 veces el EBITDA, bajo frente a las 11,2 veces de los comparables: el DCF no descuenta un múltiplo de mercado alcista, sino un negocio maduro intensivo en capital.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538.311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440.707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857.980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930.908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630.457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124.094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5 años el DCF da 419,91 por acción; sin ella (crecimiento terminal desde FY2036e), 378,84.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1.128.654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270.269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121.657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1.188.473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278.011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357.774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118.543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1.244.331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284.186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382.294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114.805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1.295.348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288.663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405.998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110.475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1.340.685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291.341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428.529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105.686</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crecimiento de Microsoft dura más que la proyección explícita por tres datos. Primero, el mercado: la nube de infraestructura mueve unos 500.000 M USD al año, crece un 43 % y Azure tiene el 20 %, segundo tras AWS [23]. Segundo, la cartera: 678.000 M de RPO comercial con una duración media de 2,3 años, que crece un 25 % aun sin OpenAI, y el consumo de IA (run-rate de más de 37.000 M en el 3T26, +123 %) apenas empieza [1, 20]. Tercero, la ventaja se refuerza con la escala: 329.100 M de arrendamientos de centros de datos firmados, chips propios y una base de más de 30 millones de puestos de pago de Copilot sobre la de Microsoft 365 [1, 19]. El ROIC (30,9 %) supera al WACC en 20 puntos. La etapa añade 571.166 M de valor, un 19 % del valor empresa.</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6.484.246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11.824.846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931.281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1.522.406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3.024.853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3.128.156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380,61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535,39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868.767 M (34 %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(ROIC 30,9 %)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 (histórico: 27,7 %)</w:t>
            </w:r>
          </w:p>
        </w:tc>
      </w:tr>
    </w:tbl>
    <w:p>
      <w:pPr>
        <w:spacing w:after="160" w:before="0"/>
      </w:pPr>
    </w:p>
    <w:p>
      <w:pPr>
        <w:spacing w:after="100"/>
      </w:pPr>
      <w:r>
        <w:t xml:space="preserve">La proyección reinvierte el 34 % del NOPAT. Con el ROIC del último ejercicio (30,9 %), eso financia un crecimiento del 10,5 % anual, frente al 12,4 % de ingresos proyectado. Supone que el capital nuevo rinde un 29,3 %, frente a un ROIC incremental histórico del 27,7 %.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consumo de Azure (guía del 1T27 de +44-45 % a tipo constante, con la demanda por encima de la capacidad) y puestos de pago (+6-7 %); precio: Microsoft 365 E3 +8 %, E5 +5 % y Office 365 E3 +13 % desde el 1-jul-2026, más la venta de E5, Copilot y E7 sobre la base instalada. Reparto, estimación propia [1, 8, 19, 27].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entra en ingresos la capacidad del capex de FY2026-FY2027 y se reconoce la cartera (678.000 M, el 30 % a 12 meses; +25 % sin OpenAI); precio: ingreso por usuario de Microsoft 365, que en FY2026 creció ≈ 10 puntos más que los puestos (+17 % frente a +6-7 %) [1, 8,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Azure y servicios de IA con el mercado de nube creciendo por encima del 25 % (≈ 28,7 % anual en los últimos 11 trimestres, estimación con Synergy); precio, como en FY2028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modera con la base: Azure ya sería varias veces el tamaño de FY2026; el precio sigue la venta de suites superiores (E5, E7) [19].</w:t>
            </w:r>
          </w:p>
        </w:tc>
      </w:tr>
    </w:tbl>
    <w:p>
      <w:pPr>
        <w:spacing w:after="160" w:before="0"/>
      </w:pPr>
    </w:p>
    <w:p>
      <w:pPr>
        <w:spacing w:after="100"/>
      </w:pPr>
      <w:r>
        <w:t xml:space="preserve">En parte. Foso: costes de cambio (678.000 M de cartera) e integración de Azure, Microsoft 365 y Copilot; poder de precios: E3 +8 % y E5 +5 % desde julio, con el ingreso por usuario creciendo ≈ 10 puntos más que los puestos [1, 19, 27]. Solo se frenó en FY2023 (+6,9 %). Pero ya no es software sin capital: el ROIC bajó del 100,5 % al 30,9 %. Con el capex de v1, la reinversión (23 % del NOPAT) financiaba un 7,1 % frente al 12,4 % proyectado; con la cola más intensiva en capital (rotación 0,84, la de FY2026) financia un 10,5 % y el capital nuevo rinde un 29,3 % frente al 27,7 % histórico. Cuota a mano: Azure al 20 % de un mercado que crece más que el grupo.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 (base: 12,5 %)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72,4 % (base: 63,0 %)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10,3 %)</w:t>
            </w:r>
          </w:p>
        </w:tc>
      </w:tr>
    </w:tbl>
    <w:p>
      <w:pPr>
        <w:spacing w:after="160" w:before="0"/>
      </w:pPr>
    </w:p>
    <w:p>
      <w:pPr>
        <w:spacing w:after="100"/>
      </w:pPr>
      <w:r>
        <w:t xml:space="preserve">El DCF da 419,91 USD por acción, un 20,7 % por debajo del precio, con un WACC del 10,34 %. El valor terminal pesa un 50 % y la etapa de transición un 19 %: dos tercios del valor están más allá de FY2036. Frente a la versión anterior (463,46 USD) solo cambia el capex de FY2030-FY2036, 4,5 puntos más alto para financiar el crecimiento proyectado. </w:t>
      </w:r>
      <w:r>
        <w:rPr>
          <w:b/>
        </w:rPr>
        <w:t xml:space="preserve">El DCF inverso dice que el precio descuenta un crecimiento medio del 14,9 % anual en FY2027-FY2036, frente al 12,5 % de nuestro caso base, o un margen EBITDA del 72,4 % frente al 63 %; dicho de otro modo, una rentabilidad anual implícita del 9,1 %.</w:t>
      </w:r>
      <w:r>
        <w:t xml:space="preserve"> Es exigente frente a la historia (TCAC del 14,7 % en FY2017-FY2026, partiendo de una base cuatro veces menor) pero no frente al consenso, que espera un 21,7 % en FY2029. El precio rinde un 9,1 % al año, menos que el 9,52 % que pide hoy el mercado con su prima implícita y que nuestro WACC: con la prima del mercado, el DCF sube a 487,43 USD, todavía un 8,0 %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OpenAI no puede financiar sus compromisos con Azure (45 % de la cartera) y la sobrecapacidad abarata el cómputo de IA. Azure frena al 20 % en FY2028, el crecimiento del grupo queda tres puntos por debajo del base cada año y el margen cae tres puntos, porque los arrendamientos ya firmados no se pueden cancelar. Le pasó a Microsoft en FY2023, cuando el crecimiento cayó al 6,9 %, y a la acción en 2022 (−37 %).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Azure crece por encima del 35 % dos años y modera después; Copilot y la subida de precios de las suites sostienen la productividad. El capex con arrendamientos alcanza su máximo en FY2027 (52 % de las ventas) y baja al 24,5 % en diez años, lo que necesita el crecimiento para que el capital rote como hoy; el ROIC se estabiliza en el 25-30 %.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amplía el mercado más de lo previsto: el crecimiento supera en dos puntos al base, el consenso de FY2029 se cumple y la escala de los centros de datos sube el margen 1,5 puntos. El mercado premia a Microsoft como plataforma de agentes y su participación en OpenAI se revaloriza.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52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402,61 USD (-24,0 %).</w:t>
      </w:r>
    </w:p>
    <w:p>
      <w:pPr>
        <w:spacing w:after="100"/>
      </w:pPr>
      <w:r>
        <w:t xml:space="preserve">La asimetría es muy desfavorable: el alcista vale 539,59 USD (+1,9 %) y el bajista 254,97 (−51,9 %), una relación de 0,04 veces. El valor ponderado, 402,61 USD, queda un 24,0 % por debajo del precio. El bajista es verosímil, no cosmético: Microsoft ya frenó al 6,9 % en FY2023 y la acción cayó un 37 % en 2022 y un 36,9 % entre octubre de 2025 y junio de 2026 [61]. Pierde más que en la versión anterior porque el capex, en porcentaje de las ventas, no baja aunque frene el crecimiento. Con la prima implícita del mercado la asimetría mejora a 0,43 veces (632,32 frente a 288,47 USD), pero sigue sin compensar.</w:t>
      </w:r>
    </w:p>
    <w:p>
      <w:pPr>
        <w:pStyle w:val="Heading1"/>
      </w:pPr>
      <w:r>
        <w:t xml:space="preserve">22. Suma de partes</w:t>
      </w:r>
    </w:p>
    <w:p>
      <w:pPr>
        <w:pStyle w:val="Confianza"/>
        <w:spacing w:after="100"/>
      </w:pPr>
      <w:r>
        <w:t xml:space="preserve">Confianza: Media</w:t>
      </w:r>
    </w:p>
    <w:p>
      <w:pPr>
        <w:spacing w:after="100"/>
      </w:pPr>
      <w:r>
        <w:t xml:space="preserve">Microsoft tiene negocios de perfil distinto (nube, software de productividad, consumo), pero no hay comparables puros de cada uno con cifras homogéneas: la nube de Amazon y Google va dentro de grupos con publicidad y comercio, y la nueva segmentación de FY2027 solo tiene dos años de historia. Además, el capex y los arrendamientos no se asignan por segmento, y es la variable que decide el valor. La valoración se hace por DCF del grupo; la participación en OpenAI se suma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52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413,69 USD (-21,9 % sobre 529,76).</w:t>
      </w:r>
    </w:p>
    <w:p>
      <w:pPr>
        <w:spacing w:after="100"/>
      </w:pPr>
      <w:r>
        <w:t xml:space="preserve">Pesos: DCF 45 %, escenarios 40 % y comparables 15 %; transacciones y suma de partes, 0. El DCF es el método que mejor recoge lo que decide el valor, la inversión en IA: los múltiplos de hoy aún no cargan la amortización del capex de 2026-2027. Los comparables pesan poco porque ninguno tiene el perfil de Microsoft. El puente suma la participación en OpenAI a la referencia que dio Microsoft tras la recapitalización (unos 135.000 M al 27 %) menos un impuesto latente del 21 % sobre la plusvalía, 109.000 M o 14,6 USD por acción [25]; la ronda de marzo de 2026 a 852.000 M la elevaría a unos 213.000 M, pero no hemos podido leer el documento original [78]. Los arrendamientos financieros (66.594 M) son deuda; los operativos, no. La dispersión es amplia: de 358,20 USD (transacciones) a 487,43 (DCF con la prima del mercado). El valor objetivo, 413,69 USD, está un 21,9 % por debajo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(27.2x) a mitad de camino hacia la mediana de 5 años (28.1x)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r>
    </w:tbl>
    <w:p>
      <w:pPr>
        <w:spacing w:after="160" w:before="0"/>
      </w:pPr>
    </w:p>
    <w:p>
      <w:pPr>
        <w:spacing w:after="100"/>
      </w:pPr>
      <w:r>
        <w:rPr>
          <w:b/>
          <w:bCs/>
        </w:rPr>
        <w:t xml:space="preserve">Objetivo a 12 meses (ponderado):</w:t>
      </w:r>
      <w:r>
        <w:t xml:space="preserve"> 584,09 USD · rentabilidad +10,9 % (base +17,8 %) · señal Mantener.</w:t>
      </w:r>
    </w:p>
    <w:p>
      <w:pPr>
        <w:spacing w:after="100"/>
      </w:pPr>
      <w:r>
        <w:t xml:space="preserve">Para comparar, con la regla v2 (historia al cierre, mismo precio): 21,6x / 27,2x / 31,4x, 12,5 % Mantener. Decide la regla vigente (v3 con tope ×1,1; METODO-VIGENTE.md).</w:t>
      </w:r>
    </w:p>
    <w:p>
      <w:pPr>
        <w:keepNext/>
        <w:spacing w:after="100"/>
      </w:pPr>
      <w:r>
        <w:rPr>
          <w:b/>
          <w:bCs/>
        </w:rPr>
        <w:t xml:space="preserve">Frente al consenso (solo contraste).</w:t>
      </w:r>
    </w:p>
    <w:p>
      <w:pPr>
        <w:spacing w:after="100"/>
      </w:pPr>
      <w:r>
        <w:t xml:space="preserve">Nuestro BPA base de FY2028e (22,48) se separa un -4,7 % del consenso (23,60) y nuestro precio base (611,46) un +4,1 % del objetivo medio de los analistas (587,63).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413,69 (-21,9 %) frente al objetivo a 12 meses ponderado 592,56 (+12,6 % con dividendo; base +16,1 %).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1T27, los primeros con los dos segmentos nuevos [8, 65]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Azure +44-45 % a tipo constante, capex de más de 50.000 M y margen operativo plano. Primer dato del peso de OpenAI en la cartera tras el acuerdo de abril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salida de Reid Hoffman del consejo y voto de la remuneración [42, 48]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Escaso en el valor; el voto en contra de la remuneración fue del 8,62 % como máximo en tres juntas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2T27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 de la mayor caída diaria del año (−10 % el 29-ene-2026). Guía de capex del FY2027 completo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Conclusión de la investigación de estatus estratégico de la CMA sobre el software de empresa de Microsoft (abierta en mayo de 2026, hasta nueve meses) [24]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Posibles obligaciones sobre licencias en otras nubes y tarifas de salida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FTC sobre licencias, nube, IA y seguridad [39]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remedios de conducta; sin fecha de cierre conocida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FY2027 y guía del FY2028 [19]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el capex con arrendamientos deja de crecer, el FCF se recupera; es la señal que espera el mercado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OpenAI: 45 % del RPO comercial en el 2T26, 24.100 M de ingresos (7,3 %) y 6.000 M por cobrar; desde abril de 2026 OpenAI puede vender en cualquier nube [1, 21, 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y socio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(crecimiento −2 p.p. al año); bajista −51,9 %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RPO sin OpenAI crece un 25 %; todo el crecimiento secuencial del 4T26 vino de otros clientes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OpenAI en el RPO y en las cuentas por cobrar de cada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Retorno del capex de IA: 145.300 M en FY2026 y 329.100 M de arrendamientos firmados sin comenzar, que no se pueden cancelar si la demanda frena [1, 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(margen −2 p.p.); −23 % si además frena el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Azure supera la capacidad; dos tercios del capex son GPU y CPU, que se pueden frenar antes que los edificios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Microsoft Cloud por debajo del 63 % y Azure por debajo del 30 %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Obsolescencia de las GPU y vida útil: si hay que reponerlas antes de seis años, el capex de mantenimiento sube [1]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−3 % por cada punto de capex sobre ventas (estimación propia con la sensibilidad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(Maia 200) y modelos propios MAI reducen el coste por unidad de cómputo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la vida útil de servidores o deterioros de equipos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prima de riesgo: la tasa libre está en el 5,27 % [63]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+0,5 p.p. de WACC (386,36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AAA y deuda neta de 30.045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la nube: Google Cloud creció un 82 % en el 2T26 y gana cuota; Oracle y los neoclouds compiten en cómputo de IA [23, 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(margen −2 p.p.)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678.000 M de cartera y la integración con Microsoft 365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Azure en Synergy por debajo del 18 %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CMA (estatus estratégico del software de empresa), FTC (nube, IA, licencias) y DMA [24, 37, 39]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(margen −1 p.p.)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compromisos de Teams en la UE se cerraron sin multa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CMA en 2027 sobre licencias en otras nubes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Monetización de Copilot: 30 millones de puestos de pago, pero sin datos de ingresos ni de renovación [19]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 (crecimiento −0,5 p.p. al año; estimación con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E3 (+8 %) y E5 (+5 %) desde julio de 2026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Microsoft 365 commercial cloud por debajo del 13 %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 fiscal: el IRS reclama 28.900 M más sanciones e intereses por precios de transferencia de 2004-2013 [1]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−0,7 % (3,9 USD por acción si se pagara entero)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por posiciones fiscales inciertas de 28.647 M a largo plazo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 la vía administrativa del IRS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9</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Ciberseguridad: la intrusión de Storm-0558 (2023) y la de un actor estatal en el correo de la alta dirección (enero de 2024) [57, 59]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 y reputación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sitúa la seguridad y la calidad por delante de la innovación en su carta a los accionistas de septiembre de 2026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8-K del Item 1.05</w:t>
            </w:r>
          </w:p>
        </w:tc>
      </w:tr>
    </w:tbl>
    <w:p>
      <w:pPr>
        <w:spacing w:after="160" w:before="0"/>
      </w:pPr>
    </w:p>
    <w:p>
      <w:pPr>
        <w:pStyle w:val="Heading2"/>
      </w:pPr>
      <w:r>
        <w:t xml:space="preserve">Pre-mortem</w:t>
      </w:r>
    </w:p>
    <w:p>
      <w:pPr>
        <w:spacing w:after="100"/>
      </w:pPr>
      <w:r>
        <w:t xml:space="preserve">Octubre de 2029: la acción ha perdido un 40 %. La historia más probable empieza en 2027. OpenAI, que era el 45 % de la cartera, no consigue financiar sus compromisos de cómputo al ritmo previsto y renegocia; como ya puede usar otras nubes, desvía parte de la demanda a Oracle y a los neoclouds. Al mismo tiempo, la oferta de GPU alcanza a la demanda y el precio del cómputo de IA cae. Azure frena del 40 % al 20 % en seis trimestres. Microsoft no puede frenar igual de deprisa: tiene 329.100 M de arrendamientos firmados que empiezan entre FY2027 y FY2033, así que la amortización y el gasto de alquiler suben mientras los ingresos frenan. El margen operativo baja cinco puntos y el ROIC cae hacia el 15 %. El mercado deja de pagar a Microsoft como software y lo paga como infraestructura: de 15,5 veces el EBITDA a 11 veces, la mediana de sus comparables. Las señales que lo habrían anticipado: el peso de OpenAI en el RPO y en las cuentas por cobrar, que el RPO sin OpenAI crezca por debajo del 15 %, el margen bruto de Microsoft Cloud por debajo del 63 % y una guía de capex que no baja cuando baja el crecimiento.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Emisiones y energía.</w:t>
      </w:r>
      <w:r>
        <w:t xml:space="preserve"> En 2020 Microsoft se comprometió a ser negativa en carbono, positiva en agua y sin residuos en 2030; el 10-K reconoce que la IA ha aumentado y seguirá aumentando su consumo de energía y sus emisiones, lo que hace más difícil cumplir esos objetivos [1]. La escala lo explica: añadió un gigavatio de capacidad en un trimestre y prevé duplicar la capacidad total en dos años [19], con 329.100 M USD de arrendamientos de centros de datos por iniciar [1]. </w:t>
      </w:r>
      <w:r>
        <w:rPr>
          <w:b/>
        </w:rPr>
        <w:t xml:space="preserve">Ciberseguridad</w:t>
      </w:r>
      <w:r>
        <w:t xml:space="preserve">, el asunto social más material: la seguridad de su infraestructura es decisiva para que los clientes compren sus servicios [1]. </w:t>
      </w:r>
      <w:r>
        <w:rPr>
          <w:b/>
        </w:rPr>
        <w:t xml:space="preserve">Competencia y privacidad</w:t>
      </w:r>
      <w:r>
        <w:t xml:space="preserve">: cuatro jurisdicciones investigan sus prácticas de licencias e IA [24, 38, 39].</w:t>
      </w:r>
    </w:p>
    <w:p>
      <w:pPr>
        <w:pStyle w:val="Heading2"/>
      </w:pPr>
      <w:r>
        <w:t xml:space="preserve">Controversias</w:t>
      </w:r>
    </w:p>
    <w:p>
      <w:pPr>
        <w:spacing w:after="100"/>
      </w:pPr>
      <w:r>
        <w:t xml:space="preserve">Entre noviembre de 2023 y enero de 2024, un actor vinculado a un Estado (comunicado en el 8-K del 19 de enero de 2024, ampliado el 8 de marzo) entró en correos de la dirección y en repositorios de código fuente [1]. En octubre de 2024 la autoridad irlandesa de protección de datos multó a LinkedIn por su publicidad segmentada; está recurrida [1]. En septiembre de 2025 la UE cerró sin multa el caso Teams con compromisos [38]. Siguen abiertas la investigación de la FTC [39] y la de la CMA [24]. Tiene provisionados 553 M USD por litigios y estima posibles otros 400 M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RPO comercial de 678.000 M corresponde hoy a OpenAI, en qué plazos se factura y qué garantías hay si OpenAI no puede financiar sus compromisos?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Era el 45 % en el 2T26; es la variable que más mueve el valor (bajista −51,9 %).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capex con arrendamientos espera la dirección en FY2027 y cuándo prevé que la intensidad de capital empiece a bajar?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el 52 % de las ventas en FY2027 y el 34 % en FY2029; cada punto de capex vale un 3 %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Arrendamientos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329.100 M de arrendamientos no iniciados será operativa con la nueva vida útil de 25 años y cuánto gasto de alquiler añadirá al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arrendamiento operativo sale del capex publicado pero carga el margen: el mismo dinero en otra línea.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Retorno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mide la dirección para la inversión en IA y qué umbral usa para aprobar capacidad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ha caído del 100,5 % al 30,9 % en siete años y la remuneración no tiene ninguna métrica de rentabilidad del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GPU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vida económica real de las GPU que se compran hoy y hay riesgo de acortar la vida útil contable de seis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tercios del capex van a activos de vida corta; si hay que reponerlos antes, el capex de mantenimiento sube.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Copilot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generan los 30 millones de puestos de pago de Copilot y cuál es su tasa de renovación?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 que la IA se cobra en la capa de aplicaciones, no solo en la de infraestructura.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remedios puede imponer la CMA sobre las licencias en otras nubes y qué parte de los ingresos de Azure depende de esas licencias?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investigación concluye hacia febrero de 2027 y afecta a la ventaja en costes de cambio.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XBOX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importe tuvieron los deterioros y despidos de XBOX en el 4T26 y hay riesgo de deterioro del fondo de comercio de Activision (51.001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ingresos de contenido cayeron un 10 % en el 4T26 y la empresa no publicó el importe del cargo.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23 controles correctos y 3 explicados. Fuentes: 80 (60 primarias); citas distintas en el texto: 76.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29,3 % frente a un ROIC de 30,9 % y un incremental histórico de 27,7 %: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12,0 % real: genera una variación de circulante de 6.932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30,9 % frente a WACC 10,3 %: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3,50 %. Explicación: El 3,5 % es nominal en dólares: con el bono a 10 años al 5,27 % y una inflación esperada de unos 2,3-2,5 %, supone un 1 % real, por debajo del límite de la tasa libre menos medio punto. Con un 3,0 % el DCF baja a 405,64 USD (tabla de sensibilidad).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0,20: el crecimiento no explica los múltiplos de estos comparables; no uses el valor de la regresión. Explicación: Con siete comparables de modelos distintos (publicidad, comercio, hardware, software de aplicaciones) el crecimiento no explica los múltiplos.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11,0x a 12,9x según qué comparable se quite (381,07 a 446,17 por acción): la muestra es frágil; explícalo y no le des mucho peso. Explicación: La mediana del EV/EBITDA de los próximos 12 meses va de 11,0x a 12,9x según qué comparable se quite: ningún comparable tiene el perfil de Microsoft (nube + software con margen EBITDA del 58 %). Por eso los comparables pesan solo un 15 %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(60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69, 70, 71.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FY2017-FY2022 en la base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FY2024, FY2025 y FY2026 (solo FY2023 en adelante en la base nueva); 2) 8-K de 21-ago-2024 con la reexpresión (solo métricas de FY2024); 3) 8-K de 2-sep-2026 (reexpresa FY2025-FY2026 en la base FY27)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resultados (comparan con la guía propia, no con el consenso); 2) transcripciones del 1T26 al 4T26 ("exceeded expectations" frente a la guía); 3) búsqueda web no usada para no agotar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no_recurrentes_en_ebitda de FY2026 (jubilación voluntaria, despidos y deterioros de XBOX)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FY2026 (menciona el deterioro de XBOX sin importe); 2) nota de prensa del 4T26 (lo cita como partida discreta sin importe); 3) transcripción del 3T26 (guía de ~900 M para la jubilación voluntaria, el coste final fue menor)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10 de deuda del 10-K (vencimientos por año, sin vida media); 2) tabla de emisiones (rangos de vencimiento, no importes por bono); 3) cálculo propio descartado: 34.385 M vencen después de FY2031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(tamaño anual del mercado de nube, 5-8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Synergy Research: solo el comunicado trimestral del 2T26 es público (TTM 500.000 M USD); 2) Omdia/Canalys: solo el 4T25 (110.900 M USD) y con otro perímetro; la web de Omdia y Business Wire dan 403; 3) sin serie anual homogénea; el TCAC histórico se estima con el «se ha duplicado en 11 trimestres» de Synergy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(TCAC 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Synergy 2T26: solo da los tres primeros (67 % de la nube pública); 2) Omdia 4T25: tres primeros 66 %; 3) no hay cuotas públicas del 4.º y 5.º (Oracle, Alibaba) en las fuentes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Synergy: sin previsión pública en el comunicado; 2) Omdia: solo 2026 (+27 %); 3) Gartner/IDC: no consultados por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investigación de la CMA sobre la alianza Microsoft-OpenAI y caso de licencias de nube en la UE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del 10-K FY2026: no las menciona; 2) comunicado de la CMA de marzo de 2026: no habla de OpenAI; 3) sin búsqueda adicional por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Microsoft 365 Copilot (30 USD/usuario/mes) y comparación con Gemini en Workspace y ChatGPT Enterprise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precios de Microsoft: excluye los SKU de Copilot; 2) transcripción del 4T FY26: da puestos (30 millones) y E7, no precios; 3) los precios de E7 (99 USD) y de rivales solo aparecen en prensa no verificada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Microsoft en ofimática/colaboración y de Windows en sistemas operativos de PC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no da cuotas; 2) búsqueda de cuotas de nube: no cubre ofimática; 3) sin fuente primaria o sectorial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reconocimientos de Microsoft: ECONNRESET; 2) búsqueda web: solo datos de 2023 de terceros, sin documento original; 3) Yahoo/Sustainalytics no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emisiones absolutas y frente a la base de 2020 (informe de sostenibilidad 2026); informe del CSRB sobre Storm-0558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de Microsoft: no localizado el PDF; 2) Computer Weekly: 403; 3) página del CSRB en CISA: solo el armazón sin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de 2026 (remuneración de FY2026, comisiones tras la junta de 2025 y presidencia de Retribuciones)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presentaciones de EDGAR a 8-oct-2026: el último DEF 14A es del 21-oct-2025; 2) 8-K, Item 5.02, de 2026 (solo Di Sibio y Hoffman, sin cambios de comisiones salvo los de Di Sibio); 3) el documento aún no existe: la junta suele ser en diciembre y el proxy sale a mediados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el proxy de 2025 (remuneración de FY2025) y los 8-K posteriores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 John David Rainey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2025 (aún era candidato); 2) 8-K de la junta de 2025 (solo el voto); 3) ningún 8-K posterior lo indica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(comisiones: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de Bill Gates y de su fundación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accionistas con más del 5 % del proxy de 2025: no aparece; 2) Form 4: no es insider desde que dejó el consejo; 3) no se buscó en 13F ni en prensa para no gastar el cupo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Street como accionista significativo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13G de la emisora en EDGAR desde sep-2023: ninguno de State Street; 2) tabla de accionistas con más del 5 % del proxy de 2025: no figura; 3) no consta participación declarada por encima del 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Salidas de directivos de 2026 fuera de los 8-K (Rajesh Jha, Phil Spencer, Ryan Roslansky y otros, según un buscador)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Item 5.02, de 2025-2026: ninguno las recoge (no son consejeros ni directivos designados en el 10-K); 2) búsqueda web: solo resúmenes; 3) GeekWire no abrió (socket hang up)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verificado con un documento original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anual de FY2021-FY2022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la conferencia del 4T FY2021 en la web de inversores: HTTP 404; 2) la del 4T FY2022 sirve para la guía de FY2023, pero no hay guía previa; 3) sin otra transcripción oficial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historial cubre FY2023-FY2026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Conclusión literal del informe del CSRB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CISA: solo la fecha y el enlace al PDF; 2) WebFetch de la página: no reproduce el texto; 3) no se descargó el PDF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cita solo la fecha de publicación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el desglose solo está en un gráfico, sin texto; 2) Stock Analysis, previsiones: bloqueado para WebFetch; 3) Investing: no probado por el límite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gráficos de evolución; 2) Stock Analysis previsiones: bloqueado; 3) no hay otra fuente gratuita con la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de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previsiones: bloqueado para WebFetch; 2) Stock Analysis estadísticas: solo PER adelantado 26,8; 3) Investing: no probado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mercado de la participación en OpenAI tras la ronda de marzo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OpenAI, anuncio de la ronda: 403; 2) CNBC, artículo del 31-mar-2026: 403 con WebFetch y fallo de descarga con descargar.mjs; 3) blog de Microsoft de oct-2025: 135.000 M al ≈ 27 % (dato anterior a la ronda)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Wiz/Google, Juniper/HPE, Informatica/Salesforce; ventas de Ansys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texto completo en EDGAR con frases del anuncio: sin resultados para Juniper e Informatica; 2) Wiz no cotizaba (sin documentos en EDGAR); 3) límite de tiempo del encargo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en curso; 2) Stock Analysis: sin serie histórica NTM gratuita; 3) no derivable sin el consenso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Corporation, Form 10-K del ejercicio FY2026 (cerrado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Corporation, Form 10-K del ejercicio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https://www.sec.gov/Archives/edgar/data/789019/000095017025100235/msft-20250630.htm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https://www.sec.gov/Archives/edgar/data/789019/000095017024087843/msft-20240630.htm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https://www.sec.gov/Archives/edgar/data/789019/000095017023035122/msft-20230630.htm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https://www.sec.gov/Archives/edgar/data/789019/000156459022026876/msft-10k_20220630.htm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FY2019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https://www.sec.gov/Archives/edgar/data/789019/000156459019027952/msft-10k_20190630.htm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XBRL Company Facts de Microsoft (CIK 0000789019): series anuales de los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https://data.sec.gov/api/xbrl/companyfacts/CIK0000789019.json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FY27 Segments and Investor Metrics (historia reexpresada y guía ajustada del 1T27)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https://www.sec.gov/Archives/edgar/data/789019/000119312526380280/d291965dex991.htm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FY25 Investor Metrics (cambio de segmentos de agosto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https://www.sec.gov/Archives/edgar/data/789019/000119312524204403/d846847dex991.htm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99.2: The next chapter of the Microsoft-OpenAI partnership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https://www.sec.gov/Archives/edgar/data/789019/000119312525256310/msft-ex99_2.htm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FY2026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https://www.sec.gov/Archives/edgar/data/789019/000119312526323632/msft-ex99_1.htm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 FY2026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https://www.sec.gov/Archives/edgar/data/789019/000119312526191457/msft-ex99_1.htm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 FY2026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https://www.sec.gov/Archives/edgar/data/789019/000119312526027198/msft-ex99_1.htm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 FY2026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https://www.sec.gov/Archives/edgar/data/789019/000119312525256310/msft-ex99_1.htm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FY2025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https://www.sec.gov/Archives/edgar/data/789019/000095017025100226/msft-ex99_1.htm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 FY2025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https://www.sec.gov/Archives/edgar/data/789019/000095017025061032/msft-ex99_1.htm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 FY2025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https://www.sec.gov/Archives/edgar/data/789019/000095017025010484/msft-ex99_1.htm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 FY2025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https://www.sec.gov/Archives/edgar/data/789019/000095017024118955/msft-ex99_1.htm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4T FY2026: guion y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https://www.microsoft.com/en-us/investor/events/fy-2026/earnings-fy-2026-q4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3T FY2026: guion y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https://www.microsoft.com/en-us/investor/events/fy-2026/earnings-fy-2026-q3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2T FY2026: guion y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https://www.microsoft.com/en-us/investor/events/fy-2026/earnings-fy-2026-q2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1T FY2026: guion y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https://www.microsoft.com/en-us/investor/events/fy-2026/earnings-fy-2026-q1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Cloud Market Passes $143 Billion; Highest Growth Rate in Eight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Synergy Research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https://www.srgresearch.com/articles/q2-cloud-market-passes-143-billion-highest-growth-rate-in-eight-years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CMA announces package of actions on business software and cloud services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and Markets Authority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https://www.gov.uk/government/news/cma-announces-package-of-actions-on-business-software-and-cloud-services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next chapter of the Microsoft–OpenAI partnership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(Official Microsoft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https://blogs.microsoft.com/blog/2025/10/28/the-next-chapter-of-the-microsoft-openai-partnership/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next phase of the Microsoft OpenAI partnership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https://openai.com/index/next-phase-of-microsoft-partnership/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365 Pricing and Packaging Updates (efectivas el 1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Licensing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https://www.microsoft.com/en-us/licensing/news/2026-m365-packaging-pricing-updates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 Global cloud infrastructure spending rose 29% in Q4 2025 as hyperscalers scaled AI infrastructure investment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 (reproducido por Intelligent CIO)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https://www.intelligentcio.com/eu/2026/03/27/omdia-global-cloud-infrastructure-spending-rose-29-in-q4-2025-as-hyperscalers-scaled-ai-infrastructure-investment/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2025 (nota 10, información por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https://www.sec.gov/Archives/edgar/data/1018724/000101872426000004/amzn-20251231.htm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https://www.sec.gov/Archives/edgar/data/1018724/000101872426000026/amzn-20260630.htm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https://www.sec.gov/Archives/edgar/data/1652044/000165204426000071/goog-20260630.htm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Form 10-K del ejercicio a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https://www.sec.gov/Archives/edgar/data/1341439/000119312526277521/orcl-20260531.htm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del ejercicio a 31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https://www.sec.gov/Archives/edgar/data/1108524/000110852426000060/crm-20260131.htm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https://www.sec.gov/Archives/edgar/data/1000184/000110465926020058/sap-20251231x20f.htm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Form 10-K del ejercicio a 27 de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https://www.sec.gov/Archives/edgar/data/320193/000032019325000079/aapl-20250927.htm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DMA designated Gatekeepers (portal de guardianes de acceso)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https://digital-markets-act.ec.europa.eu/gatekeepers-portal_en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Microsoft's Teams pledges satisfy EU Commission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Law Society Gazette (Irlanda)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https://www.lawsociety.ie/gazette/top-stories/2025/september/microsofts-teams-pledges-satisfy-eu-commission/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Ratchets Up Microsoft Probe, Queries Rivals on Cloud,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https://news.bloomberglaw.com/antitrust/ftc-ratchets-up-microsoft-probe-queries-rivals-on-cloud-ai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of Microsoft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https://en.wikipedia.org/wiki/History_of_Microsoft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https://en.wikipedia.org/wiki/Microsoft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 para la junta del 5-dic-2025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https://www.sec.gov/Archives/edgar/data/789019/000119312525245150/d908201ddef14a.htm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https://www.sec.gov/Archives/edgar/data/789019/000119312525311196/d34077d8k.htm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https://www.sec.gov/Archives/edgar/data/789019/000119312524275524/d865252d8k.htm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https://www.sec.gov/Archives/edgar/data/789019/000119312523291720/d636199d8k.htm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Carlos Rodriguez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https://www.sec.gov/Archives/edgar/data/789019/000119312525225125/d863209d8k.htm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Carmine Di Sibio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https://www.sec.gov/Archives/edgar/data/789019/000119312526224155/d125909d8k.htm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Reid Hoffman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https://www.sec.gov/Archives/edgar/data/789019/000119312526258667/d26760d8k.htm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Microsoft, 8-oct-2025 a 8-oct-2026 (139 presentaciones agregadas)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https://www.sec.gov/cgi-bin/browse-edgar?action=getcompany&amp;CIK=0000789019&amp;type=4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Microsoft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https://www.sec.gov/Archives/edgar/data/789019/000210011926000820/xslSCHEDULE_13G_X02/primary_doc.xml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(Amendment No. 10) de The Vanguard Group sobre Microsoft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https://www.sec.gov/Archives/edgar/data/789019/000010290926001884/xslSCHEDULE_13G_X02/primary_doc.xml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4T FY2022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https://www.microsoft.com/en-us/investor/events/fy-2022/earnings-fy-2022-q4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4T FY2023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https://www.microsoft.com/en-us/investor/events/fy-2023/earnings-fy-2023-q4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4T FY2024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https://www.microsoft.com/en-us/investor/events/fy-2024/earnings-fy-2024-q4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4T FY2025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https://www.microsoft.com/en-us/investor/events/fy-2025/earnings-fy-2025-q4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dimisión de Christopher D. Young (EVP Business Development)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https://www.sec.gov/Archives/edgar/data/789019/000119312525010492/d929748d8k.htm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1.05: incidente de ciberseguridad (actor estatal, correos de la alta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https://www.sec.gov/Archives/edgar/data/789019/000119312524011295/d708866d8k.htm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investiga a Microsoft por monopolio en la nube, la IA, la seguridad y la identidad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https://www.theregister.com/2026/02/16/ftc_microsoft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Cyber Safety Review Board: Review of the Summer 2023 Microsoft Exchange Online Intrusion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CISA / Department of Homeland Security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https://www.cisa.gov/resources-tools/resources/CSRB-Review-Summer-2023-MEO-Intrusion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John W. Stanton (compra de 5.000 acciones a 397,35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https://www.sec.gov/Archives/edgar/data/789019/000078901926000028/form4.xml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MSFT, SPY e IGV (precio, volumen, rentabilidades,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https://finance.yahoo.com/quote/MSFT/history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^GSPC, QQQ, ^NDX y XLK (betas y rentabilidades de contraste)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https://finance.yahoo.com/quote/QQQ/history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FY27 Q1 (página del evento)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https://www.microsoft.com/en-us/investor/events/fy-2027/earnings-fy-2027-q1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(MSFT)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https://stockanalysis.com/stocks/msft/statistics/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finances (estimaciones FY2026-FY2029)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consensus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de Alphabet, Amazon, Meta Platforms, Apple, Oracle, Salesforce y SAP (reales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https://www.marketscreener.com/quote/stock/ORACLE-CORPORATION-13620698/finances/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 GOOGL, AMZN, META, AAPL, ORCL, CRM y ETR:SAP (capitalización, deuda, caja, ROIC, FCF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https://stockanalysis.com/stocks/googl/statistics/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(eurofxref-daily)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para adquirir Activision Blizzard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https://www.sec.gov/Archives/edgar/data/789019/000119312522010667/d301984d8k.htm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Microsoft adquirirá Nuance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https://www.sec.gov/Archives/edgar/data/789019/000119312521112687/d171120dex991.htm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Broadcom to Acquire VMware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https://www.sec.gov/Archives/edgar/data/1730168/000119312522160371/d323890dex991.htm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Cisco to acquire Splunk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https://www.sec.gov/Archives/edgar/data/858877/000119312523239165/d464532dex991.htm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Activision Blizzard, Nuance, VMware y Splunk (ingresos, resultado de explotación y amortizaciones de los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https://data.sec.gov/api/xbrl/companyfacts/CIK0001124610.json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425: Synopsys adquirirá Ansys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https://www.sec.gov/Archives/edgar/data/1013462/000119312524008637/d708904d425.htm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OpenAI closes funding round at an $852 billion valuation (titular; texto no accesible)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https://www.cnbc.com/2026/03/31/openai-funding-round-ipo.html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affirms Microsoft (MSFT) at AAA; Outlook stable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https://www.newsquawk.com/headlines/moodys-affirms-microsoft-msft-at-aaa-outlook-stable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2 US Companies With a Better Credit Rating Than Uncle Sam (S&amp;P Global: AAA)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en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https://finance.yahoo.com/news/2-us-companies-better-credit-121531541.html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89,4 %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única (Nasdaq: MSFT); cuentas y cotización en USD, US GAAP. El ejercicio cierra el 30 de junio y la etiqueta es la del año en que termina: FY2026 va de julio de 2025 a junio de 2026, y el 1T26 es julio-septiembre de 2025 [1]. El precio es el cierre del 7-oct-2026, porque la sesión del 8 no había cerrado a la fecha de corte [61]. El último periodo publicado es el FY2026: el 1T27 se publica el 28-oct-2026 [65]. Los segmentos son los tres del 10-K (Productivity and Business Processes, Intelligent Cloud y More Personal Computing), con FY2023-FY2026 en la base vigente; desde FY2027 la empresa pasa a dos segmentos (Agents and Infra; Devices and Consumer) y solo ha reexpresado FY2025-FY2026 en la base nueva, que se comenta en el texto [8]. El capex del DCF incluye las altas de arrendamientos financieros de centros de datos, porque sus pasivos (66.594 M) van a la deuda del puente; los arrendamientos operativos (21.925 M de pasivo) no van a la deuda, al puente ni al capital invertido, porque su gasto ya está en el EBITDA [1]. La participación en OpenAI se valora en el puente a la referencia que publicó Microsoft tras la recapitalización (unos 135.000 M), menos el impuesto latente, no a su valor contable (12.000 M) [1, 25]. El consenso sale de un solo proveedor con estimaciones completas; sin servicios de pago faltan las calificaciones ESG, la serie anual del mercado de nube y las revisiones del consenso en cifras [23, 67].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Microsoft Corporation (MSFT)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529,76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(349,20 – 553,72)</c:v>
                </c:pt>
                <c:pt idx="1">
                  <c:v>Precio objetivo de los analistas (440,00 – 870,00)</c:v>
                </c:pt>
                <c:pt idx="2">
                  <c:v>Comparables: EV/EBITDA NTM (374,39 – 507,92)</c:v>
                </c:pt>
                <c:pt idx="3">
                  <c:v>Comparables: PER NTM (447,92 – 487,41)</c:v>
                </c:pt>
                <c:pt idx="4">
                  <c:v>Transacciones precedentes (EV/ventas) (329,58 – 444,84)</c:v>
                </c:pt>
                <c:pt idx="5">
                  <c:v>DCF (WACC y g ± 0,5) (374,71 – 479,66)</c:v>
                </c:pt>
                <c:pt idx="6">
                  <c:v>Escenarios (bajista – alcista) (254,97 – 539,59)</c:v>
                </c:pt>
                <c:pt idx="7">
                  <c:v>DCF con la prima implícita del mercado (4,2 %)</c:v>
                </c:pt>
                <c:pt idx="8">
                  <c:v>Precio actual (529,76)</c:v>
                </c:pt>
              </c:strCache>
            </c:strRef>
          </c:cat>
          <c:val>
            <c:numRef>
              <c:f>Hoja1!$B$2:$B$10</c:f>
              <c:numCache>
                <c:formatCode>#,##0</c:formatCode>
                <c:ptCount val="9"/>
                <c:pt idx="0">
                  <c:v>349.2</c:v>
                </c:pt>
                <c:pt idx="1">
                  <c:v>440</c:v>
                </c:pt>
                <c:pt idx="2">
                  <c:v>374.39</c:v>
                </c:pt>
                <c:pt idx="3">
                  <c:v>447.92</c:v>
                </c:pt>
                <c:pt idx="4">
                  <c:v>329.58</c:v>
                </c:pt>
                <c:pt idx="5">
                  <c:v>374.71</c:v>
                </c:pt>
                <c:pt idx="6">
                  <c:v>254.97</c:v>
                </c:pt>
                <c:pt idx="7">
                  <c:v>444.07</c:v>
                </c:pt>
                <c:pt idx="8">
                  <c:v>527.11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(349,20 – 553,72)</c:v>
                </c:pt>
                <c:pt idx="1">
                  <c:v>Precio objetivo de los analistas (440,00 – 870,00)</c:v>
                </c:pt>
                <c:pt idx="2">
                  <c:v>Comparables: EV/EBITDA NTM (374,39 – 507,92)</c:v>
                </c:pt>
                <c:pt idx="3">
                  <c:v>Comparables: PER NTM (447,92 – 487,41)</c:v>
                </c:pt>
                <c:pt idx="4">
                  <c:v>Transacciones precedentes (EV/ventas) (329,58 – 444,84)</c:v>
                </c:pt>
                <c:pt idx="5">
                  <c:v>DCF (WACC y g ± 0,5) (374,71 – 479,66)</c:v>
                </c:pt>
                <c:pt idx="6">
                  <c:v>Escenarios (bajista – alcista) (254,97 – 539,59)</c:v>
                </c:pt>
                <c:pt idx="7">
                  <c:v>DCF con la prima implícita del mercado (4,2 %)</c:v>
                </c:pt>
                <c:pt idx="8">
                  <c:v>Precio actual (529,76)</c:v>
                </c:pt>
              </c:strCache>
            </c:strRef>
          </c:cat>
          <c:val>
            <c:numRef>
              <c:f>Hoja1!$C$2:$C$10</c:f>
              <c:numCache>
                <c:formatCode>#,##0</c:formatCode>
                <c:ptCount val="9"/>
                <c:pt idx="0">
                  <c:v>204.52000000000004</c:v>
                </c:pt>
                <c:pt idx="1">
                  <c:v>430</c:v>
                </c:pt>
                <c:pt idx="2">
                  <c:v>133.53000000000003</c:v>
                </c:pt>
                <c:pt idx="3">
                  <c:v>39.49000000000001</c:v>
                </c:pt>
                <c:pt idx="4">
                  <c:v>115.25999999999999</c:v>
                </c:pt>
                <c:pt idx="5">
                  <c:v>104.95000000000005</c:v>
                </c:pt>
                <c:pt idx="6">
                  <c:v>284.62</c:v>
                </c:pt>
                <c:pt idx="7">
                  <c:v>94.90000000000003</c:v>
                </c:pt>
                <c:pt idx="8">
                  <c:v>5.2999999999999545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Productivity and Business Processes</c:v>
                </c:pt>
              </c:strCache>
            </c:strRef>
          </c:tx>
          <c:spPr>
            <a:solidFill>
              <a:srgbClr val="2A78D6"/>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Hoja1!$B$2:$B$5</c:f>
              <c:numCache>
                <c:formatCode>#,##0</c:formatCode>
                <c:ptCount val="4"/>
                <c:pt idx="0">
                  <c:v>94151</c:v>
                </c:pt>
                <c:pt idx="1">
                  <c:v>106820</c:v>
                </c:pt>
                <c:pt idx="2">
                  <c:v>120810</c:v>
                </c:pt>
                <c:pt idx="3">
                  <c:v>139996</c:v>
                </c:pt>
              </c:numCache>
            </c:numRef>
          </c:val>
        </c:ser>
        <c:ser>
          <c:idx val="1"/>
          <c:order val="1"/>
          <c:tx>
            <c:strRef>
              <c:f>Hoja1!$C$1</c:f>
              <c:strCache>
                <c:ptCount val="1"/>
                <c:pt idx="0">
                  <c:v>Intelligent Cloud</c:v>
                </c:pt>
              </c:strCache>
            </c:strRef>
          </c:tx>
          <c:spPr>
            <a:solidFill>
              <a:srgbClr val="EB6834"/>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Hoja1!$C$2:$C$5</c:f>
              <c:numCache>
                <c:formatCode>#,##0</c:formatCode>
                <c:ptCount val="4"/>
                <c:pt idx="0">
                  <c:v>72944</c:v>
                </c:pt>
                <c:pt idx="1">
                  <c:v>87464</c:v>
                </c:pt>
                <c:pt idx="2">
                  <c:v>106265</c:v>
                </c:pt>
                <c:pt idx="3">
                  <c:v>137791</c:v>
                </c:pt>
              </c:numCache>
            </c:numRef>
          </c:val>
        </c:ser>
        <c:ser>
          <c:idx val="2"/>
          <c:order val="2"/>
          <c:tx>
            <c:strRef>
              <c:f>Hoja1!$D$1</c:f>
              <c:strCache>
                <c:ptCount val="1"/>
                <c:pt idx="0">
                  <c:v>More Personal Computing</c:v>
                </c:pt>
              </c:strCache>
            </c:strRef>
          </c:tx>
          <c:spPr>
            <a:solidFill>
              <a:srgbClr val="1BAF7A"/>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Hoja1!$D$2:$D$5</c:f>
              <c:numCache>
                <c:formatCode>#,##0</c:formatCode>
                <c:ptCount val="4"/>
                <c:pt idx="0">
                  <c:v>44820</c:v>
                </c:pt>
                <c:pt idx="1">
                  <c:v>50838</c:v>
                </c:pt>
                <c:pt idx="2">
                  <c:v>54649</c:v>
                </c:pt>
                <c:pt idx="3">
                  <c:v>54052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Productivity and Business Processes</c:v>
                </c:pt>
                <c:pt idx="1">
                  <c:v>Intelligent Cloud</c:v>
                </c:pt>
                <c:pt idx="2">
                  <c:v>More Personal Computing</c:v>
                </c:pt>
              </c:strCache>
            </c:strRef>
          </c:cat>
          <c:val>
            <c:numRef>
              <c:f>Hoja1!$B$2:$B$4</c:f>
              <c:numCache>
                <c:formatCode>General</c:formatCode>
                <c:ptCount val="3"/>
                <c:pt idx="0">
                  <c:v>42.2</c:v>
                </c:pt>
                <c:pt idx="1">
                  <c:v>41.5</c:v>
                </c:pt>
                <c:pt idx="2">
                  <c:v>16.3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c:v>
                </c:pt>
              </c:strCache>
            </c:strRef>
          </c:cat>
          <c:val>
            <c:numRef>
              <c:f>Hoja1!$B$2:$B$3</c:f>
              <c:numCache>
                <c:formatCode>0"%"</c:formatCode>
                <c:ptCount val="2"/>
                <c:pt idx="0">
                  <c:v>51.5</c:v>
                </c:pt>
                <c:pt idx="1">
                  <c:v>48.5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4</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Microsoft</c:v>
                </c:pt>
                <c:pt idx="1">
                  <c:v>Amazon (Amazon Web Services)</c:v>
                </c:pt>
                <c:pt idx="2">
                  <c:v>Alphabet (Google Cloud)</c:v>
                </c:pt>
                <c:pt idx="3">
                  <c:v>Oracle (Oracle Cloud Infrastructure)</c:v>
                </c:pt>
                <c:pt idx="4">
                  <c:v>Salesforce</c:v>
                </c:pt>
                <c:pt idx="5">
                  <c:v>SAP</c:v>
                </c:pt>
                <c:pt idx="6">
                  <c:v>Apple</c:v>
                </c:pt>
              </c:strCache>
            </c:strRef>
          </c:cat>
          <c:val>
            <c:numRef>
              <c:f>Hoja1!$B$2:$B$8</c:f>
              <c:numCache>
                <c:formatCode>0.0"%"</c:formatCode>
                <c:ptCount val="7"/>
                <c:pt idx="0">
                  <c:v>46.8</c:v>
                </c:pt>
                <c:pt idx="1">
                  <c:v>35.4</c:v>
                </c:pt>
                <c:pt idx="2">
                  <c:v>23.7</c:v>
                </c:pt>
                <c:pt idx="3">
                  <c:v>30.6</c:v>
                </c:pt>
                <c:pt idx="4">
                  <c:v>20.1</c:v>
                </c:pt>
                <c:pt idx="5">
                  <c:v>26.1</c:v>
                </c:pt>
                <c:pt idx="6">
                  <c:v>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5</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Hoja1!$B$2:$B$21</c:f>
              <c:numCache>
                <c:formatCode>#,##0</c:formatCode>
                <c:ptCount val="20"/>
                <c:pt idx="0">
                  <c:v>96571</c:v>
                </c:pt>
                <c:pt idx="1">
                  <c:v>110360</c:v>
                </c:pt>
                <c:pt idx="2">
                  <c:v>125843</c:v>
                </c:pt>
                <c:pt idx="3">
                  <c:v>143015</c:v>
                </c:pt>
                <c:pt idx="4">
                  <c:v>168088</c:v>
                </c:pt>
                <c:pt idx="5">
                  <c:v>198270</c:v>
                </c:pt>
                <c:pt idx="6">
                  <c:v>211915</c:v>
                </c:pt>
                <c:pt idx="7">
                  <c:v>245122</c:v>
                </c:pt>
                <c:pt idx="8">
                  <c:v>281724</c:v>
                </c:pt>
                <c:pt idx="9">
                  <c:v>331839</c:v>
                </c:pt>
                <c:pt idx="10">
                  <c:v>389911</c:v>
                </c:pt>
                <c:pt idx="11">
                  <c:v>460095</c:v>
                </c:pt>
                <c:pt idx="12">
                  <c:v>538311</c:v>
                </c:pt>
                <c:pt idx="13">
                  <c:v>619058</c:v>
                </c:pt>
                <c:pt idx="14">
                  <c:v>699535</c:v>
                </c:pt>
                <c:pt idx="15">
                  <c:v>779982</c:v>
                </c:pt>
                <c:pt idx="16">
                  <c:v>857980</c:v>
                </c:pt>
                <c:pt idx="17">
                  <c:v>930908</c:v>
                </c:pt>
                <c:pt idx="18">
                  <c:v>1000726</c:v>
                </c:pt>
                <c:pt idx="19">
                  <c:v>1065773</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Hoja1!$C$2:$C$21</c:f>
              <c:numCache>
                <c:formatCode>#,##0</c:formatCode>
                <c:ptCount val="20"/>
                <c:pt idx="0">
                  <c:v>37803</c:v>
                </c:pt>
                <c:pt idx="1">
                  <c:v>45319</c:v>
                </c:pt>
                <c:pt idx="2">
                  <c:v>54641</c:v>
                </c:pt>
                <c:pt idx="3">
                  <c:v>65755</c:v>
                </c:pt>
                <c:pt idx="4">
                  <c:v>81602</c:v>
                </c:pt>
                <c:pt idx="5">
                  <c:v>97843</c:v>
                </c:pt>
                <c:pt idx="6">
                  <c:v>103584</c:v>
                </c:pt>
                <c:pt idx="7">
                  <c:v>130391</c:v>
                </c:pt>
                <c:pt idx="8">
                  <c:v>157961</c:v>
                </c:pt>
                <c:pt idx="9">
                  <c:v>193771</c:v>
                </c:pt>
                <c:pt idx="10">
                  <c:v>237846</c:v>
                </c:pt>
                <c:pt idx="11">
                  <c:v>287559</c:v>
                </c:pt>
                <c:pt idx="12">
                  <c:v>339136</c:v>
                </c:pt>
                <c:pt idx="13">
                  <c:v>390006</c:v>
                </c:pt>
                <c:pt idx="14">
                  <c:v>440707</c:v>
                </c:pt>
                <c:pt idx="15">
                  <c:v>491388</c:v>
                </c:pt>
                <c:pt idx="16">
                  <c:v>540527</c:v>
                </c:pt>
                <c:pt idx="17">
                  <c:v>586472</c:v>
                </c:pt>
                <c:pt idx="18">
                  <c:v>630457</c:v>
                </c:pt>
                <c:pt idx="19">
                  <c:v>671437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64.5</c:v>
                </c:pt>
                <c:pt idx="1">
                  <c:v>65.2</c:v>
                </c:pt>
                <c:pt idx="2">
                  <c:v>65.9</c:v>
                </c:pt>
                <c:pt idx="3">
                  <c:v>67.8</c:v>
                </c:pt>
                <c:pt idx="4">
                  <c:v>68.9</c:v>
                </c:pt>
                <c:pt idx="5">
                  <c:v>68.4</c:v>
                </c:pt>
                <c:pt idx="6">
                  <c:v>68.9</c:v>
                </c:pt>
                <c:pt idx="7">
                  <c:v>69.8</c:v>
                </c:pt>
                <c:pt idx="8">
                  <c:v>68.8</c:v>
                </c:pt>
                <c:pt idx="9">
                  <c:v>67.9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39.1</c:v>
                </c:pt>
                <c:pt idx="1">
                  <c:v>41.1</c:v>
                </c:pt>
                <c:pt idx="2">
                  <c:v>43.4</c:v>
                </c:pt>
                <c:pt idx="3">
                  <c:v>46</c:v>
                </c:pt>
                <c:pt idx="4">
                  <c:v>48.5</c:v>
                </c:pt>
                <c:pt idx="5">
                  <c:v>49.3</c:v>
                </c:pt>
                <c:pt idx="6">
                  <c:v>48.9</c:v>
                </c:pt>
                <c:pt idx="7">
                  <c:v>53.2</c:v>
                </c:pt>
                <c:pt idx="8">
                  <c:v>56.1</c:v>
                </c:pt>
                <c:pt idx="9">
                  <c:v>58.4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30.1</c:v>
                </c:pt>
                <c:pt idx="1">
                  <c:v>31.8</c:v>
                </c:pt>
                <c:pt idx="2">
                  <c:v>34.1</c:v>
                </c:pt>
                <c:pt idx="3">
                  <c:v>37</c:v>
                </c:pt>
                <c:pt idx="4">
                  <c:v>41.6</c:v>
                </c:pt>
                <c:pt idx="5">
                  <c:v>42.1</c:v>
                </c:pt>
                <c:pt idx="6">
                  <c:v>42.3</c:v>
                </c:pt>
                <c:pt idx="7">
                  <c:v>44.6</c:v>
                </c:pt>
                <c:pt idx="8">
                  <c:v>45.6</c:v>
                </c:pt>
                <c:pt idx="9">
                  <c:v>46.8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26.4</c:v>
                </c:pt>
                <c:pt idx="1">
                  <c:v>15</c:v>
                </c:pt>
                <c:pt idx="2">
                  <c:v>31.2</c:v>
                </c:pt>
                <c:pt idx="3">
                  <c:v>31</c:v>
                </c:pt>
                <c:pt idx="4">
                  <c:v>36.5</c:v>
                </c:pt>
                <c:pt idx="5">
                  <c:v>36.7</c:v>
                </c:pt>
                <c:pt idx="6">
                  <c:v>34.1</c:v>
                </c:pt>
                <c:pt idx="7">
                  <c:v>36</c:v>
                </c:pt>
                <c:pt idx="8">
                  <c:v>36.1</c:v>
                </c:pt>
                <c:pt idx="9">
                  <c:v>40.3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16</c:v>
                </c:pt>
                <c:pt idx="1">
                  <c:v>12.3</c:v>
                </c:pt>
                <c:pt idx="2">
                  <c:v>13.3</c:v>
                </c:pt>
                <c:pt idx="3">
                  <c:v>18.1</c:v>
                </c:pt>
                <c:pt idx="4">
                  <c:v>18.4</c:v>
                </c:pt>
                <c:pt idx="5">
                  <c:v>16.7</c:v>
                </c:pt>
                <c:pt idx="6">
                  <c:v>18.3</c:v>
                </c:pt>
                <c:pt idx="7">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85</c:v>
                </c:pt>
                <c:pt idx="1">
                  <c:v>88</c:v>
                </c:pt>
                <c:pt idx="2">
                  <c:v>86</c:v>
                </c:pt>
                <c:pt idx="3">
                  <c:v>82</c:v>
                </c:pt>
                <c:pt idx="4">
                  <c:v>83</c:v>
                </c:pt>
                <c:pt idx="5">
                  <c:v>81</c:v>
                </c:pt>
                <c:pt idx="6">
                  <c:v>84</c:v>
                </c:pt>
                <c:pt idx="7">
                  <c:v>85</c:v>
                </c:pt>
                <c:pt idx="8">
                  <c:v>91</c:v>
                </c:pt>
                <c:pt idx="9">
                  <c:v>89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23</c:v>
                </c:pt>
                <c:pt idx="1">
                  <c:v>25</c:v>
                </c:pt>
                <c:pt idx="2">
                  <c:v>18</c:v>
                </c:pt>
                <c:pt idx="3">
                  <c:v>15</c:v>
                </c:pt>
                <c:pt idx="4">
                  <c:v>18</c:v>
                </c:pt>
                <c:pt idx="5">
                  <c:v>22</c:v>
                </c:pt>
                <c:pt idx="6">
                  <c:v>14</c:v>
                </c:pt>
                <c:pt idx="7">
                  <c:v>6</c:v>
                </c:pt>
                <c:pt idx="8">
                  <c:v>4</c:v>
                </c:pt>
                <c:pt idx="9">
                  <c:v>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79</c:v>
                </c:pt>
                <c:pt idx="1">
                  <c:v>82</c:v>
                </c:pt>
                <c:pt idx="2">
                  <c:v>80</c:v>
                </c:pt>
                <c:pt idx="3">
                  <c:v>99</c:v>
                </c:pt>
                <c:pt idx="4">
                  <c:v>106</c:v>
                </c:pt>
                <c:pt idx="5">
                  <c:v>111</c:v>
                </c:pt>
                <c:pt idx="6">
                  <c:v>100</c:v>
                </c:pt>
                <c:pt idx="7">
                  <c:v>108</c:v>
                </c:pt>
                <c:pt idx="8">
                  <c:v>115</c:v>
                </c:pt>
                <c:pt idx="9">
                  <c:v>146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31332</c:v>
                </c:pt>
                <c:pt idx="1">
                  <c:v>32108</c:v>
                </c:pt>
                <c:pt idx="2">
                  <c:v>38039</c:v>
                </c:pt>
                <c:pt idx="3">
                  <c:v>44825</c:v>
                </c:pt>
                <c:pt idx="4">
                  <c:v>55470</c:v>
                </c:pt>
                <c:pt idx="5">
                  <c:v>64253</c:v>
                </c:pt>
                <c:pt idx="6">
                  <c:v>58419</c:v>
                </c:pt>
                <c:pt idx="7">
                  <c:v>72785</c:v>
                </c:pt>
                <c:pt idx="8">
                  <c:v>69328</c:v>
                </c:pt>
                <c:pt idx="9">
                  <c:v>63886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25489</c:v>
                </c:pt>
                <c:pt idx="1">
                  <c:v>16571</c:v>
                </c:pt>
                <c:pt idx="2">
                  <c:v>39240</c:v>
                </c:pt>
                <c:pt idx="3">
                  <c:v>44281</c:v>
                </c:pt>
                <c:pt idx="4">
                  <c:v>61271</c:v>
                </c:pt>
                <c:pt idx="5">
                  <c:v>72738</c:v>
                </c:pt>
                <c:pt idx="6">
                  <c:v>72361</c:v>
                </c:pt>
                <c:pt idx="7">
                  <c:v>88136</c:v>
                </c:pt>
                <c:pt idx="8">
                  <c:v>101832</c:v>
                </c:pt>
                <c:pt idx="9">
                  <c:v>133749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56.9</c:v>
                </c:pt>
                <c:pt idx="1">
                  <c:v>57.7</c:v>
                </c:pt>
                <c:pt idx="2">
                  <c:v>100.5</c:v>
                </c:pt>
                <c:pt idx="3">
                  <c:v>86.8</c:v>
                </c:pt>
                <c:pt idx="4">
                  <c:v>88</c:v>
                </c:pt>
                <c:pt idx="5">
                  <c:v>69.4</c:v>
                </c:pt>
                <c:pt idx="6">
                  <c:v>50.9</c:v>
                </c:pt>
                <c:pt idx="7">
                  <c:v>41.5</c:v>
                </c:pt>
                <c:pt idx="8">
                  <c:v>34.7</c:v>
                </c:pt>
                <c:pt idx="9">
                  <c:v>30.9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10.3</c:v>
                </c:pt>
                <c:pt idx="1">
                  <c:v>10.3</c:v>
                </c:pt>
                <c:pt idx="2">
                  <c:v>10.3</c:v>
                </c:pt>
                <c:pt idx="3">
                  <c:v>10.3</c:v>
                </c:pt>
                <c:pt idx="4">
                  <c:v>10.3</c:v>
                </c:pt>
                <c:pt idx="5">
                  <c:v>10.3</c:v>
                </c:pt>
                <c:pt idx="6">
                  <c:v>10.3</c:v>
                </c:pt>
                <c:pt idx="7">
                  <c:v>10.3</c:v>
                </c:pt>
                <c:pt idx="8">
                  <c:v>10.3</c:v>
                </c:pt>
                <c:pt idx="9">
                  <c:v>10.3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29.1</c:v>
                </c:pt>
                <c:pt idx="1">
                  <c:v>19.4</c:v>
                </c:pt>
                <c:pt idx="2">
                  <c:v>42.4</c:v>
                </c:pt>
                <c:pt idx="3">
                  <c:v>40.1</c:v>
                </c:pt>
                <c:pt idx="4">
                  <c:v>47.1</c:v>
                </c:pt>
                <c:pt idx="5">
                  <c:v>47.2</c:v>
                </c:pt>
                <c:pt idx="6">
                  <c:v>38.8</c:v>
                </c:pt>
                <c:pt idx="7">
                  <c:v>37.1</c:v>
                </c:pt>
                <c:pt idx="8">
                  <c:v>33.3</c:v>
                </c:pt>
                <c:pt idx="9">
                  <c:v>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-1.17</c:v>
                </c:pt>
                <c:pt idx="1">
                  <c:v>-1.17</c:v>
                </c:pt>
                <c:pt idx="2">
                  <c:v>-1.01</c:v>
                </c:pt>
                <c:pt idx="3">
                  <c:v>-0.97</c:v>
                </c:pt>
                <c:pt idx="4">
                  <c:v>-0.73</c:v>
                </c:pt>
                <c:pt idx="5">
                  <c:v>-0.41</c:v>
                </c:pt>
                <c:pt idx="6">
                  <c:v>-0.45</c:v>
                </c:pt>
                <c:pt idx="7">
                  <c:v>0.02</c:v>
                </c:pt>
                <c:pt idx="8">
                  <c:v>-0.03</c:v>
                </c:pt>
                <c:pt idx="9">
                  <c:v>0.16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9250</c:v>
                </c:pt>
                <c:pt idx="1">
                  <c:v>0</c:v>
                </c:pt>
                <c:pt idx="2">
                  <c:v>2001</c:v>
                </c:pt>
                <c:pt idx="3">
                  <c:v>0</c:v>
                </c:pt>
                <c:pt idx="4">
                  <c:v>500</c:v>
                </c:pt>
                <c:pt idx="5">
                  <c:v>34385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25944</c:v>
                </c:pt>
                <c:pt idx="1">
                  <c:v>888</c:v>
                </c:pt>
                <c:pt idx="2">
                  <c:v>2388</c:v>
                </c:pt>
                <c:pt idx="3">
                  <c:v>2521</c:v>
                </c:pt>
                <c:pt idx="4">
                  <c:v>8909</c:v>
                </c:pt>
                <c:pt idx="5">
                  <c:v>22038</c:v>
                </c:pt>
                <c:pt idx="6">
                  <c:v>1670</c:v>
                </c:pt>
                <c:pt idx="7">
                  <c:v>69132</c:v>
                </c:pt>
                <c:pt idx="8">
                  <c:v>5978</c:v>
                </c:pt>
                <c:pt idx="9">
                  <c:v>1743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11845</c:v>
                </c:pt>
                <c:pt idx="1">
                  <c:v>12699</c:v>
                </c:pt>
                <c:pt idx="2">
                  <c:v>13811</c:v>
                </c:pt>
                <c:pt idx="3">
                  <c:v>15137</c:v>
                </c:pt>
                <c:pt idx="4">
                  <c:v>16521</c:v>
                </c:pt>
                <c:pt idx="5">
                  <c:v>18135</c:v>
                </c:pt>
                <c:pt idx="6">
                  <c:v>19800</c:v>
                </c:pt>
                <c:pt idx="7">
                  <c:v>21771</c:v>
                </c:pt>
                <c:pt idx="8">
                  <c:v>24082</c:v>
                </c:pt>
                <c:pt idx="9">
                  <c:v>26445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11788</c:v>
                </c:pt>
                <c:pt idx="1">
                  <c:v>10721</c:v>
                </c:pt>
                <c:pt idx="2">
                  <c:v>19543</c:v>
                </c:pt>
                <c:pt idx="3">
                  <c:v>22968</c:v>
                </c:pt>
                <c:pt idx="4">
                  <c:v>27385</c:v>
                </c:pt>
                <c:pt idx="5">
                  <c:v>32696</c:v>
                </c:pt>
                <c:pt idx="6">
                  <c:v>22245</c:v>
                </c:pt>
                <c:pt idx="7">
                  <c:v>17254</c:v>
                </c:pt>
                <c:pt idx="8">
                  <c:v>18420</c:v>
                </c:pt>
                <c:pt idx="9">
                  <c:v>22271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Vanguard Capital Management (Vanguard)</c:v>
                </c:pt>
                <c:pt idx="1">
                  <c:v>BlackRock, Inc.</c:v>
                </c:pt>
                <c:pt idx="2">
                  <c:v>Consejeros y directivos (18 personas)</c:v>
                </c:pt>
              </c:strCache>
            </c:strRef>
          </c:cat>
          <c:val>
            <c:numRef>
              <c:f>Hoja1!$B$2:$B$4</c:f>
              <c:numCache>
                <c:formatCode>0.0"%"</c:formatCode>
                <c:ptCount val="3"/>
                <c:pt idx="0">
                  <c:v>7.48</c:v>
                </c:pt>
                <c:pt idx="1">
                  <c:v>7.3</c:v>
                </c:pt>
                <c:pt idx="2">
                  <c:v>0.03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15.1</c:v>
                </c:pt>
                <c:pt idx="1">
                  <c:v>40.7</c:v>
                </c:pt>
                <c:pt idx="2">
                  <c:v>20.8</c:v>
                </c:pt>
                <c:pt idx="3">
                  <c:v>57.6</c:v>
                </c:pt>
                <c:pt idx="4">
                  <c:v>42.5</c:v>
                </c:pt>
                <c:pt idx="5">
                  <c:v>52.5</c:v>
                </c:pt>
                <c:pt idx="6">
                  <c:v>-28</c:v>
                </c:pt>
                <c:pt idx="7">
                  <c:v>58.2</c:v>
                </c:pt>
                <c:pt idx="8">
                  <c:v>12.9</c:v>
                </c:pt>
                <c:pt idx="9">
                  <c:v>15.6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13.1</c:v>
                </c:pt>
                <c:pt idx="1">
                  <c:v>15.8</c:v>
                </c:pt>
                <c:pt idx="2">
                  <c:v>18</c:v>
                </c:pt>
                <c:pt idx="3">
                  <c:v>22.8</c:v>
                </c:pt>
                <c:pt idx="4">
                  <c:v>24.5</c:v>
                </c:pt>
                <c:pt idx="5">
                  <c:v>19.4</c:v>
                </c:pt>
                <c:pt idx="6">
                  <c:v>24.1</c:v>
                </c:pt>
                <c:pt idx="7">
                  <c:v>25.6</c:v>
                </c:pt>
                <c:pt idx="8">
                  <c:v>23.5</c:v>
                </c:pt>
                <c:pt idx="9">
                  <c:v>14.5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21.1</c:v>
                </c:pt>
                <c:pt idx="1">
                  <c:v>21.1</c:v>
                </c:pt>
                <c:pt idx="2">
                  <c:v>21.1</c:v>
                </c:pt>
                <c:pt idx="3">
                  <c:v>21.1</c:v>
                </c:pt>
                <c:pt idx="4">
                  <c:v>21.1</c:v>
                </c:pt>
                <c:pt idx="5">
                  <c:v>21.1</c:v>
                </c:pt>
                <c:pt idx="6">
                  <c:v>21.1</c:v>
                </c:pt>
                <c:pt idx="7">
                  <c:v>21.1</c:v>
                </c:pt>
                <c:pt idx="8">
                  <c:v>21.1</c:v>
                </c:pt>
                <c:pt idx="9">
                  <c:v>21.1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Microsoft</c:v>
                </c:pt>
                <c:pt idx="1">
                  <c:v>Alphabet</c:v>
                </c:pt>
                <c:pt idx="2">
                  <c:v>Amazon</c:v>
                </c:pt>
                <c:pt idx="3">
                  <c:v>Meta Platforms</c:v>
                </c:pt>
                <c:pt idx="4">
                  <c:v>Apple</c:v>
                </c:pt>
                <c:pt idx="5">
                  <c:v>Oracle</c:v>
                </c:pt>
                <c:pt idx="6">
                  <c:v>Salesforce</c:v>
                </c:pt>
                <c:pt idx="7">
                  <c:v>SAP</c:v>
                </c:pt>
              </c:strCache>
            </c:strRef>
          </c:cat>
          <c:val>
            <c:numRef>
              <c:f>Hoja1!$B$2:$B$9</c:f>
              <c:numCache>
                <c:formatCode>0.0"x"</c:formatCode>
                <c:ptCount val="8"/>
                <c:pt idx="0">
                  <c:v>15.5</c:v>
                </c:pt>
                <c:pt idx="1">
                  <c:v>14.7</c:v>
                </c:pt>
                <c:pt idx="2">
                  <c:v>11.2</c:v>
                </c:pt>
                <c:pt idx="3">
                  <c:v>10.8</c:v>
                </c:pt>
                <c:pt idx="4">
                  <c:v>27</c:v>
                </c:pt>
                <c:pt idx="5">
                  <c:v>9.4</c:v>
                </c:pt>
                <c:pt idx="6">
                  <c:v>10.8</c:v>
                </c:pt>
                <c:pt idx="7">
                  <c:v>14.9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Microsoft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18.6</c:v>
                </c:pt>
              </c:numCache>
            </c:numRef>
          </c:xVal>
          <c:yVal>
            <c:numRef>
              <c:f>Hoja1!$C$2</c:f>
              <c:numCache>
                <c:formatCode>0.0"x"</c:formatCode>
                <c:ptCount val="1"/>
                <c:pt idx="0">
                  <c:v>15.5</c:v>
                </c:pt>
              </c:numCache>
            </c:numRef>
          </c:yVal>
          <c:smooth val="0"/>
        </c:ser>
        <c:ser>
          <c:idx val="1"/>
          <c:order val="1"/>
          <c:tx>
            <c:strRef>
              <c:f>Hoja1!$A$3</c:f>
              <c:strCache>
                <c:ptCount val="1"/>
                <c:pt idx="0">
                  <c:v>Alphabet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23.3</c:v>
                </c:pt>
              </c:numCache>
            </c:numRef>
          </c:xVal>
          <c:yVal>
            <c:numRef>
              <c:f>Hoja1!$C$3</c:f>
              <c:numCache>
                <c:formatCode>0.0"x"</c:formatCode>
                <c:ptCount val="1"/>
                <c:pt idx="0">
                  <c:v>14.7</c:v>
                </c:pt>
              </c:numCache>
            </c:numRef>
          </c:yVal>
          <c:smooth val="0"/>
        </c:ser>
        <c:ser>
          <c:idx val="2"/>
          <c:order val="2"/>
          <c:tx>
            <c:strRef>
              <c:f>Hoja1!$A$4</c:f>
              <c:strCache>
                <c:ptCount val="1"/>
                <c:pt idx="0">
                  <c:v>Amazon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14.8</c:v>
                </c:pt>
              </c:numCache>
            </c:numRef>
          </c:xVal>
          <c:yVal>
            <c:numRef>
              <c:f>Hoja1!$C$4</c:f>
              <c:numCache>
                <c:formatCode>0.0"x"</c:formatCode>
                <c:ptCount val="1"/>
                <c:pt idx="0">
                  <c:v>11.2</c:v>
                </c:pt>
              </c:numCache>
            </c:numRef>
          </c:yVal>
          <c:smooth val="0"/>
        </c:ser>
        <c:ser>
          <c:idx val="3"/>
          <c:order val="3"/>
          <c:tx>
            <c:strRef>
              <c:f>Hoja1!$A$5</c:f>
              <c:strCache>
                <c:ptCount val="1"/>
                <c:pt idx="0">
                  <c:v>Meta Platforms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22.6</c:v>
                </c:pt>
              </c:numCache>
            </c:numRef>
          </c:xVal>
          <c:yVal>
            <c:numRef>
              <c:f>Hoja1!$C$5</c:f>
              <c:numCache>
                <c:formatCode>0.0"x"</c:formatCode>
                <c:ptCount val="1"/>
                <c:pt idx="0">
                  <c:v>10.8</c:v>
                </c:pt>
              </c:numCache>
            </c:numRef>
          </c:yVal>
          <c:smooth val="0"/>
        </c:ser>
        <c:ser>
          <c:idx val="4"/>
          <c:order val="4"/>
          <c:tx>
            <c:strRef>
              <c:f>Hoja1!$A$6</c:f>
              <c:strCache>
                <c:ptCount val="1"/>
                <c:pt idx="0">
                  <c:v>Apple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11.2</c:v>
                </c:pt>
              </c:numCache>
            </c:numRef>
          </c:xVal>
          <c:yVal>
            <c:numRef>
              <c:f>Hoja1!$C$6</c:f>
              <c:numCache>
                <c:formatCode>0.0"x"</c:formatCode>
                <c:ptCount val="1"/>
                <c:pt idx="0">
                  <c:v>27</c:v>
                </c:pt>
              </c:numCache>
            </c:numRef>
          </c:yVal>
          <c:smooth val="0"/>
        </c:ser>
        <c:ser>
          <c:idx val="5"/>
          <c:order val="5"/>
          <c:tx>
            <c:strRef>
              <c:f>Hoja1!$A$7</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35.5</c:v>
                </c:pt>
              </c:numCache>
            </c:numRef>
          </c:xVal>
          <c:yVal>
            <c:numRef>
              <c:f>Hoja1!$C$7</c:f>
              <c:numCache>
                <c:formatCode>0.0"x"</c:formatCode>
                <c:ptCount val="1"/>
                <c:pt idx="0">
                  <c:v>9.4</c:v>
                </c:pt>
              </c:numCache>
            </c:numRef>
          </c:yVal>
          <c:smooth val="0"/>
        </c:ser>
        <c:ser>
          <c:idx val="6"/>
          <c:order val="6"/>
          <c:tx>
            <c:strRef>
              <c:f>Hoja1!$A$8</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9.7</c:v>
                </c:pt>
              </c:numCache>
            </c:numRef>
          </c:xVal>
          <c:yVal>
            <c:numRef>
              <c:f>Hoja1!$C$8</c:f>
              <c:numCache>
                <c:formatCode>0.0"x"</c:formatCode>
                <c:ptCount val="1"/>
                <c:pt idx="0">
                  <c:v>10.8</c:v>
                </c:pt>
              </c:numCache>
            </c:numRef>
          </c:yVal>
          <c:smooth val="0"/>
        </c:ser>
        <c:ser>
          <c:idx val="7"/>
          <c:order val="7"/>
          <c:tx>
            <c:strRef>
              <c:f>Hoja1!$A$9</c:f>
              <c:strCache>
                <c:ptCount val="1"/>
                <c:pt idx="0">
                  <c:v>SAP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10.8</c:v>
                </c:pt>
              </c:numCache>
            </c:numRef>
          </c:xVal>
          <c:yVal>
            <c:numRef>
              <c:f>Hoja1!$C$9</c:f>
              <c:numCache>
                <c:formatCode>0.0"x"</c:formatCode>
                <c:ptCount val="1"/>
                <c:pt idx="0">
                  <c:v>14.9</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Activision Blizzard</c:v>
                </c:pt>
                <c:pt idx="1">
                  <c:v>Nuance Communications</c:v>
                </c:pt>
                <c:pt idx="2">
                  <c:v>VMware</c:v>
                </c:pt>
                <c:pt idx="3">
                  <c:v>Splunk</c:v>
                </c:pt>
                <c:pt idx="4">
                  <c:v>Ansys</c:v>
                </c:pt>
              </c:strCache>
            </c:strRef>
          </c:cat>
          <c:val>
            <c:numRef>
              <c:f>Hoja1!$B$2:$B$6</c:f>
              <c:numCache>
                <c:formatCode>0.0"x"</c:formatCode>
                <c:ptCount val="5"/>
                <c:pt idx="2">
                  <c:v>19.7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-8102</c:v>
                </c:pt>
                <c:pt idx="1">
                  <c:v>44029</c:v>
                </c:pt>
                <c:pt idx="2">
                  <c:v>99353</c:v>
                </c:pt>
                <c:pt idx="3">
                  <c:v>125884</c:v>
                </c:pt>
                <c:pt idx="4">
                  <c:v>165226</c:v>
                </c:pt>
                <c:pt idx="5">
                  <c:v>197042</c:v>
                </c:pt>
                <c:pt idx="6">
                  <c:v>225727</c:v>
                </c:pt>
                <c:pt idx="7">
                  <c:v>259350</c:v>
                </c:pt>
                <c:pt idx="8">
                  <c:v>283834</c:v>
                </c:pt>
                <c:pt idx="9">
                  <c:v>307663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931281</c:v>
                </c:pt>
                <c:pt idx="1">
                  <c:v>571166</c:v>
                </c:pt>
                <c:pt idx="2">
                  <c:v>1522406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529,76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254.97</c:v>
                </c:pt>
                <c:pt idx="1">
                  <c:v>419.91</c:v>
                </c:pt>
                <c:pt idx="2">
                  <c:v>539.59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529,76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(349,20 – 553,72)</c:v>
                </c:pt>
                <c:pt idx="1">
                  <c:v>Precio objetivo de los analistas (440,00 – 870,00)</c:v>
                </c:pt>
                <c:pt idx="2">
                  <c:v>Comparables: EV/EBITDA NTM (374,39 – 507,92)</c:v>
                </c:pt>
                <c:pt idx="3">
                  <c:v>Comparables: PER NTM (447,92 – 487,41)</c:v>
                </c:pt>
                <c:pt idx="4">
                  <c:v>Transacciones precedentes (EV/ventas) (329,58 – 444,84)</c:v>
                </c:pt>
                <c:pt idx="5">
                  <c:v>DCF (WACC y g ± 0,5) (374,71 – 479,66)</c:v>
                </c:pt>
                <c:pt idx="6">
                  <c:v>Escenarios (bajista – alcista) (254,97 – 539,59)</c:v>
                </c:pt>
                <c:pt idx="7">
                  <c:v>DCF con la prima implícita del mercado (4,2 %)</c:v>
                </c:pt>
                <c:pt idx="8">
                  <c:v>Precio actual (529,76)</c:v>
                </c:pt>
              </c:strCache>
            </c:strRef>
          </c:cat>
          <c:val>
            <c:numRef>
              <c:f>Hoja1!$B$2:$B$10</c:f>
              <c:numCache>
                <c:formatCode>#,##0</c:formatCode>
                <c:ptCount val="9"/>
                <c:pt idx="0">
                  <c:v>349.2</c:v>
                </c:pt>
                <c:pt idx="1">
                  <c:v>440</c:v>
                </c:pt>
                <c:pt idx="2">
                  <c:v>374.39</c:v>
                </c:pt>
                <c:pt idx="3">
                  <c:v>447.92</c:v>
                </c:pt>
                <c:pt idx="4">
                  <c:v>329.58</c:v>
                </c:pt>
                <c:pt idx="5">
                  <c:v>374.71</c:v>
                </c:pt>
                <c:pt idx="6">
                  <c:v>254.97</c:v>
                </c:pt>
                <c:pt idx="7">
                  <c:v>444.07</c:v>
                </c:pt>
                <c:pt idx="8">
                  <c:v>527.11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(349,20 – 553,72)</c:v>
                </c:pt>
                <c:pt idx="1">
                  <c:v>Precio objetivo de los analistas (440,00 – 870,00)</c:v>
                </c:pt>
                <c:pt idx="2">
                  <c:v>Comparables: EV/EBITDA NTM (374,39 – 507,92)</c:v>
                </c:pt>
                <c:pt idx="3">
                  <c:v>Comparables: PER NTM (447,92 – 487,41)</c:v>
                </c:pt>
                <c:pt idx="4">
                  <c:v>Transacciones precedentes (EV/ventas) (329,58 – 444,84)</c:v>
                </c:pt>
                <c:pt idx="5">
                  <c:v>DCF (WACC y g ± 0,5) (374,71 – 479,66)</c:v>
                </c:pt>
                <c:pt idx="6">
                  <c:v>Escenarios (bajista – alcista) (254,97 – 539,59)</c:v>
                </c:pt>
                <c:pt idx="7">
                  <c:v>DCF con la prima implícita del mercado (4,2 %)</c:v>
                </c:pt>
                <c:pt idx="8">
                  <c:v>Precio actual (529,76)</c:v>
                </c:pt>
              </c:strCache>
            </c:strRef>
          </c:cat>
          <c:val>
            <c:numRef>
              <c:f>Hoja1!$C$2:$C$10</c:f>
              <c:numCache>
                <c:formatCode>#,##0</c:formatCode>
                <c:ptCount val="9"/>
                <c:pt idx="0">
                  <c:v>204.52000000000004</c:v>
                </c:pt>
                <c:pt idx="1">
                  <c:v>430</c:v>
                </c:pt>
                <c:pt idx="2">
                  <c:v>133.53000000000003</c:v>
                </c:pt>
                <c:pt idx="3">
                  <c:v>39.49000000000001</c:v>
                </c:pt>
                <c:pt idx="4">
                  <c:v>115.25999999999999</c:v>
                </c:pt>
                <c:pt idx="5">
                  <c:v>104.95000000000005</c:v>
                </c:pt>
                <c:pt idx="6">
                  <c:v>284.62</c:v>
                </c:pt>
                <c:pt idx="7">
                  <c:v>94.90000000000003</c:v>
                </c:pt>
                <c:pt idx="8">
                  <c:v>5.2999999999999545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