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Nestlé S.A.</w:t>
      </w:r>
    </w:p>
    <w:p>
      <w:pPr>
        <w:spacing w:after="60"/>
        <w:rPr>
          <w:color w:val="52514E"/>
          <w:sz w:val="22"/>
          <w:szCs w:val="22"/>
        </w:rPr>
      </w:pPr>
      <w:r>
        <w:rPr>
          <w:color w:val="52514E"/>
          <w:sz w:val="22"/>
          <w:szCs w:val="22"/>
        </w:rPr>
        <w:t xml:space="preserve">NESN · SIX Swiss Exchange · ISIN CH0038863350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77,30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92,37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+23,5 % (base +19,2 %)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92,60 CHF · mercado 109,53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198.893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Nestlé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NESN / CH0038863350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Alimentación envasada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Vevey (Suiza) · 1866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www.nestle.com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77,30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70,29 – 87,09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2.573,0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198.893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218.133 M CHF</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92,37 CHF</w:t>
      </w:r>
      <w:r>
        <w:t xml:space="preserve"> frente a 77,30 · Rentabilidad a 12 meses </w:t>
      </w:r>
      <w:r>
        <w:rPr>
          <w:b/>
          <w:bCs/>
        </w:rPr>
        <w:t xml:space="preserve">+23,5 % (base +19,2 %)</w:t>
      </w:r>
      <w:r>
        <w:t xml:space="preserve"> · Valor intrínseco 92,60 CHF · con la prima implícita del mercado: 109,53 (+41,7 %) · Alcista / bajista +45,1 % / +2,9 %</w:t>
      </w:r>
    </w:p>
    <w:p>
      <w:pPr>
        <w:spacing w:after="100"/>
      </w:pPr>
      <w:r>
        <w:rPr>
          <w:b/>
        </w:rPr>
        <w:t xml:space="preserve">La recomendación y por qué.</w:t>
      </w:r>
      <w:r>
        <w:t xml:space="preserve"> Mantener, con convicción media. Con nuestro BPA subyacente y nuestro PER, el objetivo a 12 meses es de 80,01 CHF frente a 77,30 CHF de cierre del 13 de octubre: +7,5 % con el dividendo (4,0 %), y +8,5 % en el caso base. No llega a los umbrales de compra (15 % y 12 %). El valor intrínseco es mayor (92,60 CHF, +19,8 %) y el objetivo medio de los analistas (88,86 CHF) queda dentro de nuestro rango (66,41-92,06 CHF), cerca del alcista. La razón: el mercado no pagará más hasta que el BPA subyacente vuelva a crecer, y lleva cinco años plano (4,42 CHF en 2021 y en 2025) [1, 8]. La convicción es media (cifras de extractos de búsqueda, no de las cuentas completas); subiría si las ventas de nueve meses (22 de octubre) y los resultados de febrero confirman un margen por encima del 16,4 %, y bajaría si el volumen (RIG) cae por debajo del 1 %.</w:t>
      </w:r>
    </w:p>
    <w:p>
      <w:pPr>
        <w:spacing w:after="100"/>
      </w:pPr>
      <w:r>
        <w:rPr>
          <w:b/>
        </w:rPr>
        <w:t xml:space="preserve">El negocio.</w:t>
      </w:r>
      <w:r>
        <w:t xml:space="preserve"> Primer grupo de alimentación del mundo, con marcas que le dan un ROIC del 10,4 % frente a un WACC del 4,48 %: crea valor con unos 6 puntos de margen. Pero el poder de precios se agotó en 2024-25, cuando subir precios costó volumen (RIG del 0,8 % en 2025) y el margen subyacente cayó del 17,2 % al 16,1 % [1, 6]. En 2026 el volumen se recupera (1,8 % en el 2T) y el margen sube al 16,4 % [2]. Sostenibilidad: «En parte». La calidad de la empresa sostiene el 0,8 % anual de crecimiento en francos que proyectamos sin capital nuevo, pero el orgánico del 3-4 % depende de un volumen que solo empezó a recuperarse este año.</w:t>
      </w:r>
    </w:p>
    <w:p>
      <w:pPr>
        <w:spacing w:after="100"/>
      </w:pPr>
      <w:r>
        <w:rPr>
          <w:b/>
        </w:rPr>
        <w:t xml:space="preserve">Finanzas.</w:t>
      </w:r>
      <w:r>
        <w:t xml:space="preserve"> Las ventas en francos bajan desde 2022 por el franco fuerte y las ventas de negocios, aunque el orgánico fue positivo todos los años [3]. La caja libre (9.154 M en 2025, más de 9.000 M de guía en 2026) apenas cubre el dividendo de ≈8.000 M, y la deuda neta subió a 56.300 M (3,5 veces el EBITDA) [1, 2].</w:t>
      </w:r>
    </w:p>
    <w:p>
      <w:pPr>
        <w:spacing w:after="100"/>
      </w:pPr>
      <w:r>
        <w:rPr>
          <w:b/>
        </w:rPr>
        <w:t xml:space="preserve">Equipo y gobierno.</w:t>
      </w:r>
      <w:r>
        <w:t xml:space="preserve"> Equipo nuevo tras dos cambios de consejero delegado en 2024-2025: Philipp Navratil y Pablo Isla llevan un año y han cumplido la guía de 2025 y van en camino con la de 2026 [25, 26]. El plan (3.000 M de ahorro, salida de helados y de aguas) aún tiene que verse en el margen [16, 18].</w:t>
      </w:r>
    </w:p>
    <w:p>
      <w:pPr>
        <w:spacing w:after="100"/>
      </w:pPr>
      <w:r>
        <w:rPr>
          <w:b/>
        </w:rPr>
        <w:t xml:space="preserve">Valoración.</w:t>
      </w:r>
      <w:r>
        <w:t xml:space="preserve"> El DCF da 101,74 CHF con un WACC muy bajo (4,48 %, por el bono suizo al 0,6 %) y un valor terminal del 70 %; con un WACC del 5,5 % bajaría a ≈80 CHF. El DCF inverso dice que el precio descuenta que las ventas en francos caigan un 2,3 % al año en 2027-2035 con nuestro margen: una expectativa conservadora. La participación del 20,16 % en L'Oréal vale ≈38.060 M CHF, unos 14,8 CHF por acción [27, 49]. Discrepamos del mercado en el margen (17 % de UTOP en 2029), no en el crecimiento.</w:t>
      </w:r>
    </w:p>
    <w:p>
      <w:pPr>
        <w:spacing w:after="100"/>
      </w:pPr>
      <w:r>
        <w:rPr>
          <w:b/>
        </w:rPr>
        <w:t xml:space="preserve">Riesgos y catalizadores.</w:t>
      </w:r>
      <w:r>
        <w:t xml:space="preserve"> El mayor riesgo es que el volumen no se recupere y el margen se quede en el 15,8 % (bajista a 12 meses: 66,41 CHF, −14 %). Rusia (≈1.000 M de posible deterioro, menos de 0,4 CHF por acción) pesa más en el ánimo de los foros que en el valor [33]. Catalizadores: ventas de nueve meses el 22 de octubre, resultados de 2026 en febrero y cobro de ≈2.800 M de aguas en el 1S27.</w:t>
      </w:r>
    </w:p>
    <w:p>
      <w:pPr>
        <w:spacing w:after="100"/>
      </w:pPr>
      <w:r>
        <w:rPr>
          <w:b/>
        </w:rPr>
        <w:t xml:space="preserve">Qué cambiaría la decisión.</w:t>
      </w:r>
      <w:r>
        <w:t xml:space="preserve"> Compraríamos por debajo de 72,27 CHF, donde la rentabilidad a 12 meses llega al 15 % ponderado. Venderíamos por encima de 92,34 CHF. Revisaríamos al alza con un margen subyacente de 2026 por encima del 16,5 % y un RIG superior al 1,5 %.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(la tesis de valor, a 2-3 años) · Objetivo a 12 meses: </w:t>
      </w:r>
      <w:r>
        <w:rPr>
          <w:b/>
          <w:bCs/>
        </w:rPr>
        <w:t xml:space="preserve">92,37 CHF</w:t>
      </w:r>
      <w:r>
        <w:t xml:space="preserve"> (rentabilidad +23,5 % (base +19,2 %)) · Valor intrínseco: 92,60 CHF (+19,8 % sobre 77,30) · con la prima implícita del mercado: 109,53 (+41,7 %)</w:t>
      </w:r>
    </w:p>
    <w:p>
      <w:pPr>
        <w:spacing w:after="100"/>
      </w:pPr>
      <w:r>
        <w:t xml:space="preserve">Nestlé es el primer grupo de alimentación del mundo (89.490 M CHF de ventas en 2025), con marcas en café, mascotas y nutrición que le dan un ROIC del 10,4 %, muy por encima de su coste de capital en francos (4,48 %) [1]. Su problema no es el foso sino el crecimiento: el BPA subyacente de 2025 (4,42 CHF) es el mismo que el de 2021, porque el franco y las ventas de negocios se comen el orgánico y el margen cayó al 16,1 % en 2025 [1, 8].</w:t>
      </w:r>
    </w:p>
    <w:p>
      <w:pPr>
        <w:spacing w:after="100"/>
      </w:pPr>
      <w:r>
        <w:t xml:space="preserve">El precio (77,30 CHF) descuenta que las ventas en francos bajen un 2,3 % al año en 2027-2035, o un margen EBITDA del 16,7 % frente al 20,2 % que proyectamos. Cotiza a 17,6 veces nuestro BPA de 2027e, cerca del mínimo de los últimos cuatro años limpios (15,7x en 2024) y por debajo de la mediana (19,1x) [39].</w:t>
      </w:r>
    </w:p>
    <w:p>
      <w:pPr>
        <w:spacing w:after="100"/>
      </w:pPr>
      <w:r>
        <w:t xml:space="preserve">Para invertir hay que creer que el plan de ahorro de 3.000 M devuelve el margen subyacente al 17 % y que el volumen sigue recuperándose (RIG del 1,8 % en el 2T26) [2, 16]. Si pasa, el valor intrínseco (92,60 CHF) se acerca; pero a 12 meses el mercado pagará como mucho el PER actual sobre un BPA que solo crece un 4 %. Es una tesis de varios años con un dividendo del 4 % como pago por esperar.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92,37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 × 4,23 = 65,57 · 19,4x × 4,59 = 89,05 · 26,1x × 4,82 = 125,80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 / 19,2 %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88,86 (nuestro base +0,2 %)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45,1 % / 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 frente a 4,5 % y 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3,8 %)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109,53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 frente a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(0,8 %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82,28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82,28 y 106,08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106,08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72,27 CHF: la rentabilidad a 12 meses supera el 15 % y pasaríamos a Comprar.</w:t>
      </w:r>
    </w:p>
    <w:p>
      <w:pPr>
        <w:pStyle w:val="ListParagraph"/>
        <w:numPr>
          <w:ilvl w:val="0"/>
          <w:numId w:val="2"/>
        </w:numPr>
        <w:spacing w:after="60"/>
      </w:pPr>
      <w:r>
        <w:t xml:space="preserve">Precio por encima de 92,34 CHF: pasaríamos a Vender.</w:t>
      </w:r>
    </w:p>
    <w:p>
      <w:pPr>
        <w:pStyle w:val="ListParagraph"/>
        <w:numPr>
          <w:ilvl w:val="0"/>
          <w:numId w:val="2"/>
        </w:numPr>
        <w:spacing w:after="60"/>
      </w:pPr>
      <w:r>
        <w:t xml:space="preserve">Margen UTOP de 2026 por encima del 16,5 % con RIG &gt; 1,5 %: subiríamos el BPA de 2028e y el objetivo.</w:t>
      </w:r>
    </w:p>
    <w:p>
      <w:pPr>
        <w:pStyle w:val="ListParagraph"/>
        <w:numPr>
          <w:ilvl w:val="0"/>
          <w:numId w:val="2"/>
        </w:numPr>
        <w:spacing w:after="60"/>
      </w:pPr>
      <w:r>
        <w:t xml:space="preserve">RIG por debajo del 1 % dos trimestres seguidos: bajaríamos el caso base hacia el bajista.</w:t>
      </w:r>
    </w:p>
    <w:p>
      <w:pPr>
        <w:pStyle w:val="ListParagraph"/>
        <w:numPr>
          <w:ilvl w:val="0"/>
          <w:numId w:val="2"/>
        </w:numPr>
        <w:spacing w:after="60"/>
      </w:pPr>
      <w:r>
        <w:t xml:space="preserve">Deuda neta por encima de 3 veces el EBITDA ajustado tras el cobro de aguas: 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Nestlé no vuelve a crecer en francos y que el margen se queda en el 16 %: el DCF inverso pide una caída de ventas del 2,3 % al año o un margen EBITDA del 16,7 %, y el PER (17,6x nuestro BPA de 2027e) está cerca del mínimo de 2024.</w:t>
      </w:r>
    </w:p>
    <w:p>
      <w:pPr>
        <w:keepNext/>
        <w:spacing w:after="100"/>
      </w:pPr>
      <w:r>
        <w:rPr>
          <w:b/>
          <w:bCs/>
        </w:rPr>
        <w:t xml:space="preserve">Lo que creemos nosotros.</w:t>
      </w:r>
    </w:p>
    <w:p>
      <w:pPr>
        <w:spacing w:after="100"/>
      </w:pPr>
      <w:r>
        <w:t xml:space="preserve">El crecimiento en francos será bajo (0,8 % de media), pero el margen subyacente vuelve al 17 % en 2029 con el ahorro de 3.000 M y la salida de aguas y helados, de menor margen. El BPA subyacente crece un 4 % en 2028.</w:t>
      </w:r>
    </w:p>
    <w:p>
      <w:pPr>
        <w:keepNext/>
        <w:spacing w:after="100"/>
      </w:pPr>
      <w:r>
        <w:rPr>
          <w:b/>
          <w:bCs/>
        </w:rPr>
        <w:t xml:space="preserve">Por qué podemos tener razón.</w:t>
      </w:r>
    </w:p>
    <w:p>
      <w:pPr>
        <w:spacing w:after="100"/>
      </w:pPr>
      <w:r>
        <w:t xml:space="preserve">El margen del 1S26 (16,4 %) ya mejora sobre el de 2025, la caja libre crece (3.400 M frente a 2.300 M en el semestre) y el nuevo equipo ha cumplido la guía de 2025 [2]. Pero la diferencia con el mercado es pequeña y tardará en verse: por eso Mantener.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77,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Foso de marca</w:t>
      </w:r>
      <w:r>
        <w:t xml:space="preserve">: ROIC del 10,4 % frente a un WACC del 4,48 % [14].</w:t>
      </w:r>
    </w:p>
    <w:p>
      <w:pPr>
        <w:pStyle w:val="ListParagraph"/>
        <w:numPr>
          <w:ilvl w:val="0"/>
          <w:numId w:val="2"/>
        </w:numPr>
        <w:spacing w:after="60"/>
      </w:pPr>
      <w:r>
        <w:rPr>
          <w:b/>
        </w:rPr>
        <w:t xml:space="preserve">Volumen en recuperación</w:t>
      </w:r>
      <w:r>
        <w:t xml:space="preserve">: RIG del 1,8 % en el 2T26 frente al 0,8 % de 2025 [2].</w:t>
      </w:r>
    </w:p>
    <w:p>
      <w:pPr>
        <w:pStyle w:val="ListParagraph"/>
        <w:numPr>
          <w:ilvl w:val="0"/>
          <w:numId w:val="2"/>
        </w:numPr>
        <w:spacing w:after="60"/>
      </w:pPr>
      <w:r>
        <w:rPr>
          <w:b/>
        </w:rPr>
        <w:t xml:space="preserve">Valoración baja frente a su historia</w:t>
      </w:r>
      <w:r>
        <w:t xml:space="preserve">: 17,6 veces nuestro BPA de 2027e frente a una mediana de 19,1x [39].</w:t>
      </w:r>
    </w:p>
    <w:p>
      <w:pPr>
        <w:pStyle w:val="ListParagraph"/>
        <w:numPr>
          <w:ilvl w:val="0"/>
          <w:numId w:val="2"/>
        </w:numPr>
        <w:spacing w:after="60"/>
      </w:pPr>
      <w:r>
        <w:rPr>
          <w:b/>
        </w:rPr>
        <w:t xml:space="preserve">Dividendo del 4,0 %</w:t>
      </w:r>
      <w:r>
        <w:t xml:space="preserve"> con 29 años de subidas [17].</w:t>
      </w:r>
    </w:p>
    <w:p>
      <w:pPr>
        <w:pStyle w:val="ListParagraph"/>
        <w:numPr>
          <w:ilvl w:val="0"/>
          <w:numId w:val="2"/>
        </w:numPr>
        <w:spacing w:after="60"/>
      </w:pPr>
      <w:r>
        <w:rPr>
          <w:b/>
        </w:rPr>
        <w:t xml:space="preserve">L'Oréal</w:t>
      </w:r>
      <w:r>
        <w:t xml:space="preserve">: el 20,16 % vale ≈38.060 M CHF, un 19 % de la capitalización [27, 49].</w:t>
      </w:r>
    </w:p>
    <w:p>
      <w:pPr>
        <w:pStyle w:val="Heading2"/>
      </w:pPr>
      <w:r>
        <w:t xml:space="preserve">En contra</w:t>
      </w:r>
    </w:p>
    <w:p>
      <w:pPr>
        <w:pStyle w:val="ListParagraph"/>
        <w:numPr>
          <w:ilvl w:val="0"/>
          <w:numId w:val="2"/>
        </w:numPr>
        <w:spacing w:after="60"/>
      </w:pPr>
      <w:r>
        <w:rPr>
          <w:b/>
        </w:rPr>
        <w:t xml:space="preserve">BPA plano cinco años</w:t>
      </w:r>
      <w:r>
        <w:t xml:space="preserve">: 4,42 CHF en 2021 y en 2025 [1, 8].</w:t>
      </w:r>
    </w:p>
    <w:p>
      <w:pPr>
        <w:pStyle w:val="ListParagraph"/>
        <w:numPr>
          <w:ilvl w:val="0"/>
          <w:numId w:val="2"/>
        </w:numPr>
        <w:spacing w:after="60"/>
      </w:pPr>
      <w:r>
        <w:rPr>
          <w:b/>
        </w:rPr>
        <w:t xml:space="preserve">El franco resta cada año</w:t>
      </w:r>
      <w:r>
        <w:t xml:space="preserve">: ventas de 94.780 M en 2022 y 89.885 M en 2025 [3].</w:t>
      </w:r>
    </w:p>
    <w:p>
      <w:pPr>
        <w:pStyle w:val="ListParagraph"/>
        <w:numPr>
          <w:ilvl w:val="0"/>
          <w:numId w:val="2"/>
        </w:numPr>
        <w:spacing w:after="60"/>
      </w:pPr>
      <w:r>
        <w:rPr>
          <w:b/>
        </w:rPr>
        <w:t xml:space="preserve">Deuda neta de 56.300 M</w:t>
      </w:r>
      <w:r>
        <w:t xml:space="preserve"> (3,5 veces el EBITDA) con la caja libre comprometida en el dividendo [2].</w:t>
      </w:r>
    </w:p>
    <w:p>
      <w:pPr>
        <w:pStyle w:val="ListParagraph"/>
        <w:numPr>
          <w:ilvl w:val="0"/>
          <w:numId w:val="2"/>
        </w:numPr>
        <w:spacing w:after="60"/>
      </w:pPr>
      <w:r>
        <w:rPr>
          <w:b/>
        </w:rPr>
        <w:t xml:space="preserve">Gastos «no recurrentes» recurrentes</w:t>
      </w:r>
      <w:r>
        <w:t xml:space="preserve">: ≈2.100 M en 2025 fuera del resultado subyacente [1].</w:t>
      </w:r>
    </w:p>
    <w:p>
      <w:pPr>
        <w:pStyle w:val="ListParagraph"/>
        <w:numPr>
          <w:ilvl w:val="0"/>
          <w:numId w:val="2"/>
        </w:numPr>
        <w:spacing w:after="60"/>
      </w:pPr>
      <w:r>
        <w:rPr>
          <w:b/>
        </w:rPr>
        <w:t xml:space="preserve">Rusia intervenida</w:t>
      </w:r>
      <w:r>
        <w:t xml:space="preserve">: posible deterioro de ≈1.000 M [33].</w:t>
      </w:r>
    </w:p>
    <w:p>
      <w:pPr>
        <w:pStyle w:val="Heading2"/>
      </w:pPr>
      <w:r>
        <w:t xml:space="preserve">Qué tiene que pasar para que la tesis funcione</w:t>
      </w:r>
    </w:p>
    <w:p>
      <w:pPr>
        <w:spacing w:after="100"/>
      </w:pPr>
      <w:r>
        <w:t xml:space="preserve">La tesis depende de que el margen subyacente vuelva al 17 % sin sacrificar volumen. La señal de que no se cumple: un RIG por debajo del 1 % en las ventas de nueve meses (22-oct) o un margen del 2S26 por debajo del 16 %, que significaría que el ahorro se está gastando en precio.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interno real (RIG)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precio se ha agotado.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UTOP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16 %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es la vuelta al 17 %.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9.000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Cubre el dividendo.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para dividendo y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Efecto divisa en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−3 %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peor que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 crecimiento en francos.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13,7x / 12,6x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26,7x / 18,1x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 · 3,6x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Nestlé nace en 1866-1867 en Vevey (Suiza) con la harina lacteada de Henri Nestlé y se funde en 1905 con la Anglo-Swiss Condensed Milk. Construyó su escala con compras (Nescafé propio en 1938, L'Oréal como inversión desde 1974, Purina en 2001, Gerber en 2007, Wyeth Nutrition en 2012) y, desde 2017, con rotación de cartera: venta de la confitería de EE. UU., de Herta y de las aguas de Norteamérica, y compra de la licencia de Starbucks para el consumo en casa. En 2025 la dirección cambió dos veces: Laurent Freixe fue destituido en septiembre y Philipp Navratil asumió como consejero delegado; Paul Bulcke dejó la presidencia y Pablo Isla presidió desde el 1 de octubre de 2025 [25, 26]. La nueva etapa se centra en café, alimentos para mascotas, nutrición y alimentación y aperitivos, con 16.000 despidos y la salida de helados y de parte de aguas [16,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1866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Vevey; en 1905, fusión con Anglo-Swiss.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capital de L'Oréal; hoy 20,16 %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Ralston Purina: nace el negocio de mascotas.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6,06 CHF por la plusvalía de la venta parcial de L'Oréal; deterioro de Wyeth (margen operativo publicado del 14,0 %) [3,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Destitución de Laurent Freixe; Philipp Navratil, consejero delegado; Pablo Isla, presidente desde el 1 de octubre [25,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16.000 despidos y ahorro de 3.000 M CHF hasta 2027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los helados restantes a Froneri y sociedad conjunta 50:50 en aguas y bebidas premium (≈2.800 M de caja neta en el 1S27) [2,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17 de septiembre Rusia pone Nestlé Russia y Nestlé Kuban bajo administración temporal [28, 29].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Primer grupo mundial de alimentación y bebidas por ventas (89.490 M CHF en 2025) [1]. Vende café (Nescafé, Nespresso, Starbucks en casa), alimentos para mascotas (Purina), nutrición infantil y médica, confitería, culinarios, lácteos y aguas en más de 180 países, a través de supermercados, comercio electrónico, tiendas propias de Nespresso y farmacias. Desde 2026 reporta tres zonas geográficas (Américas, Europa y Asia-Oceanía-África) más Nespresso y aguas y bebidas premium; en el primer semestre de 2026 Américas aportó el 43 % de las ventas, Asia-Oceanía-África el 24 % y Europa el 21 % [19].</w:t>
      </w:r>
    </w:p>
    <w:p>
      <w:pPr>
        <w:pStyle w:val="Heading2"/>
      </w:pPr>
      <w:r>
        <w:t xml:space="preserve">Cómo gana dinero</w:t>
      </w:r>
    </w:p>
    <w:p>
      <w:pPr>
        <w:spacing w:after="100"/>
      </w:pPr>
      <w:r>
        <w:t xml:space="preserve">Margen bruto alto sostenido por marcas y escala de compra: el resultado operativo subyacente (UTOP) fue del 16,1 % de las ventas en 2025, frente al 17,1-17,4 % de 2021-2024 [1, 6, 7, 8]. El beneficio depende del precio frente al coste del café, el cacao y la leche: en 2025 el precio aportó 2,8 puntos y el volumen solo 0,8 [17]. Casi todo el ingreso es recurrente (consumo diario), con poca estacionalidad salvo helados y aguas, que ahora salen del perímetro. El franco suizo fuerte resta cada año entre 2 y 6 puntos al crecimiento publicado [1, 10].</w:t>
      </w:r>
    </w:p>
    <w:p>
      <w:pPr>
        <w:keepNext w:val="false"/>
        <w:spacing w:after="160" w:before="120"/>
        <w:jc w:val="center"/>
      </w:pPr>
      <w:r>
        <w:drawing>
          <wp:inline xmlns:wp="http://schemas.openxmlformats.org/drawingml/2006/wordprocessingDrawing" distT="0" distB="0" distL="0" distR="0">
            <wp:extent cx="5760000" cy="2160000"/>
            <wp:effectExtent l="0" t="0" r="0" b="0"/>
            <wp:docPr id="1002" name="Gráfico 2"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Clientes, recurrencia y poder de precios</w:t>
      </w:r>
    </w:p>
    <w:p>
      <w:pPr>
        <w:spacing w:after="100"/>
      </w:pPr>
      <w:r>
        <w:t xml:space="preserve">Clientes muy repartidos: grandes cadenas de distribución (Walmart, Carrefour, Tesco y similares) y el consumidor final directo en Nespresso y el comercio electrónico. Nestlé no publica la concentración en los extractos consultados. El poder de precios se vio en 2022-2023, cuando subió precios con la inflación y mantuvo el margen subyacente en el 17,1-17,3 % [7]; en 2024-2025 el volumen se resintió (RIG de 0,8 % en 2025) y el margen cayó 110 puntos básicos, señal de que el precio había llegado a su límite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3-4 %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interno real (volumen y mezcla, RIG)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(1S26; 1,8 % en el 2T)</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que pedía el mercado: más volumen y menos precio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pierde peso al moderarse el café y el cacao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UTOP (resultado operativo subyacente)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 (−0,1 p.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 17 % [2,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9.154 M CHF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 M CHF (1S26, frente a 2.300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en el semestre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más de 9.000 M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2,85x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Deuda neta de 56.300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+4.900 M en el semestre por el dividendo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Mercado mundial de alimentación y bebidas envasadas, el que corresponde a lo que vende Nestlé (sin restauración). Las estimaciones de tamaño varían mucho según el perímetro: entre 2,9 y 6,3 billones de USD en 2025. Usamos la de Research and Markets (2,9 billones) por ser la más estrecha (alimentos envasados) y la contrastamos con The Business Research Company (3,3 billones) [20, 21,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2,9-3,3 billones de USD en 2025 (Research and Markets; The Business Research Company) [20,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Tamaño del mercado (miles de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Población y renta en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es el 33 % del mercado y la región que más crece [23]; Asia-Oceanía-África creció un 4,3 % orgánico en el 1S26 frente al 2,7 % de Europa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las materias primas (café, cacao)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café y el cacao caros restaron margen en el 1S26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GLP-1 y rechazo a los ultraprocesados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Tema recurrente entre analistas e inversores [30]; sin cifras de efecto en ventas.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Marcas blancas y presión de la distribución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Nestlé apenas creció en 2025 (RIG 0,8 %)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Humanización de las mascotas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Purina siguió siendo el motor de crecimiento en 2025 [24].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Muchas multinacionales con marcas fuertes (Unilever, Danone, Mondelez, Mars) y competencia por espacio en el lineal.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gran distribución concentra la venta y empuja la marca blanca; el volumen de Nestlé se estancó tras las subidas de precio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Café, cacao y leche cotizan en mercados volátiles; el café y el cacao restaron margen en 2025-26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nuevas entran por internet pero escalar exige distribución mundial.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Marcas blancas, comida fresca y fármacos que reducen el apetito.</w:t>
            </w:r>
          </w:p>
        </w:tc>
      </w:tr>
    </w:tbl>
    <w:p>
      <w:pPr>
        <w:spacing w:after="160" w:before="0"/>
      </w:pPr>
    </w:p>
    <w:p>
      <w:pPr>
        <w:pStyle w:val="Heading2"/>
      </w:pPr>
      <w:r>
        <w:t xml:space="preserve">Ciclo</w:t>
      </w:r>
    </w:p>
    <w:p>
      <w:pPr>
        <w:spacing w:after="100"/>
      </w:pPr>
      <w:r>
        <w:t xml:space="preserve">La alimentación es defensiva: en 2020 Nestlé creció un 3,6 % orgánico y en 2022 subió precios con la inflación. Hoy el ciclo de precios ha terminado (precio del 1,9 % en el 2T26 frente al 2,8 % de 2025) y el crecimiento depende del volumen, que mejora poco a poco (RIG del 1,8 % en el 2T26) [2, 17].</w:t>
      </w:r>
    </w:p>
    <w:p>
      <w:pPr>
        <w:pStyle w:val="Heading2"/>
      </w:pPr>
      <w:r>
        <w:t xml:space="preserve">Regulación</w:t>
      </w:r>
    </w:p>
    <w:p>
      <w:pPr>
        <w:spacing w:after="100"/>
      </w:pPr>
      <w:r>
        <w:t xml:space="preserve">Aranceles de EE. UU. a los productos suizos y de otros orígenes, citados por la empresa como presión en el margen de 2025-26 [2]; etiquetado nutricional y restricciones a la publicidad de productos con mucho azúcar en varios países; normas de seguridad alimentaria (la retirada de leche infantil de 2025-26 costó 75 M en devoluciones y 110 M en existencias) [1].</w:t>
      </w:r>
    </w:p>
    <w:p>
      <w:pPr>
        <w:pStyle w:val="Heading2"/>
      </w:pPr>
      <w:r>
        <w:t xml:space="preserve">Tendencias y disrupción</w:t>
      </w:r>
    </w:p>
    <w:p>
      <w:pPr>
        <w:spacing w:after="100"/>
      </w:pPr>
      <w:r>
        <w:t xml:space="preserve">Comercio electrónico, salud y nutrición personalizada, café en cápsulas y listo para tomar, y alimentos para mascotas de gama alta. Nestlé concentra la cartera en café, mascotas, nutrición y alimentación y aperitivos, y sale de helados y de parte de aguas, de menor margen (aguas y bebidas premium: margen UTOP del 9,5 % en el 1S26) [2, 18].</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grupo mundial de alimentación y bebidas por ventas; líder mundial en café y en alimentos para mascotas junto a Mars (estimación cualitativa, sin cuota publicada en las fuentes consultadas).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Unilever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ULVR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Alimentación (en reducción), higiene y belleza.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Danone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Lácteos, nutrición infantil y médica, aguas: competidor directo en nutrición.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MDLZ</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Galletas y chocolate.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el gran rival en mascotas y chocolate.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Kraft Heinz</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KHC</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Culinarios y salsas en Norteamérica.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bienes de consumo.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salvo en los sistemas de cápsulas (Nespresso) y en la nutrición infantil y médica.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líderes (Nescafé, Nespresso, Purina, KitKat); ROIC del 10-13 % en 2021-2025 con fondo de comercio elevado [23].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 en café y cacao; programa de ahorro de 3.000 M CHF hasta 2027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en más de 180 países; difícil de replicar en emergentes.</w:t>
            </w:r>
          </w:p>
        </w:tc>
      </w:tr>
    </w:tbl>
    <w:p>
      <w:pPr>
        <w:spacing w:after="160" w:before="0"/>
      </w:pPr>
    </w:p>
    <w:p>
      <w:pPr>
        <w:pStyle w:val="Heading2"/>
      </w:pPr>
      <w:r>
        <w:t xml:space="preserve">Amenazas</w:t>
      </w:r>
    </w:p>
    <w:p>
      <w:pPr>
        <w:spacing w:after="100"/>
      </w:pPr>
      <w:r>
        <w:t xml:space="preserve">La marca blanca y el desgaste del volumen tras tres años de subidas de precio (RIG del 0,8 % en 2025) son la amenaza principal; los fármacos para adelgazar pueden reducir el consumo de confitería y aperitivos en EE. UU.; y la intervención del negocio en Rusia muestra el riesgo político de una presencia en 180 países [17, 28].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r>
    </w:tbl>
    <w:p>
      <w:pPr>
        <w:spacing w:after="160" w:before="0"/>
      </w:pPr>
    </w:p>
    <w:p>
      <w:pPr>
        <w:spacing w:after="100"/>
      </w:pPr>
      <w:r>
        <w:t xml:space="preserve">Crecimiento anual compuesto 2021-2025: ingresos </w:t>
      </w:r>
      <w:r>
        <w:rPr>
          <w:b/>
          <w:bCs/>
        </w:rPr>
        <w:t xml:space="preserve">0,7 %</w:t>
      </w:r>
      <w:r>
        <w:t xml:space="preserve">, EBITDA </w:t>
      </w:r>
      <w:r>
        <w:rPr>
          <w:b/>
          <w:bCs/>
        </w:rPr>
        <w:t xml:space="preserve">1,3 %</w:t>
      </w:r>
      <w:r>
        <w:t xml:space="preserve">, BPA </w:t>
      </w:r>
      <w:r>
        <w:rPr>
          <w:b/>
          <w:bCs/>
        </w:rPr>
        <w:t xml:space="preserve">-12,8 %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en francos han bajado de 94.780 M en 2022 a 89.885 M en 2025 aunque el crecimiento orgánico fue positivo todos los años (3,5 % en 2025, con un 0,8 % de volumen y un 2,8 % de precio) [3, 17]: el franco fuerte y las ventas de negocios restan entre 2 y 6 puntos al año. El margen operativo subyacente cayó del 17,2 % de 2024 al 16,1 % de 2025 por el café y el cacao caros, la publicidad, los aranceles y la retirada de leche infantil [1, 6]. El BPA subyacente bajó un 7,3 %, a 4,42 CHF, y el publicado un 16,3 %, a 3,51 CHF [1]. En el 1S26 el margen subió al 16,4 % (−10 puntos básicos interanuales) y el BPA subyacente fue de 2,22 CHF (−2,4 %, +3,4 % a tipos constantes) [2]. 2021 no es comparable: el beneficio de 16.905 M incluye la plusvalía de la venta parcial de L'Oréal y el resultado operativo, el deterioro de Wyeth [3, 8].</w:t>
      </w:r>
    </w:p>
    <w:p>
      <w:pPr>
        <w:pStyle w:val="Heading2"/>
      </w:pPr>
      <w:r>
        <w:t xml:space="preserve">Ajustes y partidas no recurrentes</w:t>
      </w:r>
    </w:p>
    <w:p>
      <w:pPr>
        <w:spacing w:after="100"/>
      </w:pPr>
      <w:r>
        <w:t xml:space="preserve">Nestlé publica un resultado operativo subyacente (UTOP) que excluye reestructuración, deterioros y litigios: 14.389 M en 2025 frente a 12.277 M de resultado operativo en la cuenta de Stock Analysis, una diferencia de ≈2.100 M [1, 3]. Esa diferencia se repite cada año (entre 1.000 y 3.900 M en 2021-2025), así que en el DCF la tratamos como coste recurrente (≈0,8 % de las ventas dentro del EBITDA) y no la sumamos. En el 1S26 hubo además ≈1.400 M de deterioro de los negocios en venta (helados restantes y parte de vitaminas), que sí es no recurrente y se excluye del LTM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Nestlé solo publica ventas trimestrales. En el 1T26 vendió 21.300 M CHF (−5,7 % publicado por la divisa) con un 3,5 % de crecimiento orgánico, por encima de lo esperado (21.100 M), y la acción subió un 7 % ese día [10, 53]. En el 2T26 el orgánico fue del 3,7 % y el volumen (RIG) subió al 1,8 %, desde el 1,2 % del 1T [11]. En la presentación del semestre (julio) la dirección insistió en el volumen y en el ahorro, confirmó la guía y avisó de que el margen del segundo semestre será parecido al del primero (16,4 %), lo que el mercado leyó como una mejora menor de la esperada: la acción fue la peor del SMI ese día [2, 9]. Las preguntas giraron en torno al café y el cacao, la retirada de leche infantil y el destino de aguas. No hay guía del efecto de Rusia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127.151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Helados restantes y parte de vitaminas y suplementos clasificados como mantenidos para la venta (deterioro de ≈1.400 M en el 1S26); aguas y bebidas premium pasarán a una sociedad conjunta 50:50 con ≈2.800 M de caja neta en el 1S27 [2, 18].). Los ratios de balance de ese año (días, circulante, deuda neta / EBITDA, ROIC) y los indicadores de calidad contable no son comparables con los anteriores.</w:t>
      </w:r>
    </w:p>
    <w:p>
      <w:pPr>
        <w:spacing w:after="100"/>
      </w:pPr>
      <w:r>
        <w:t xml:space="preserve">La deuda neta pasó de 32.600 M en 2021 a 51.670 M en 2025 (cálculo con la deuda bruta y la caja de Stock Analysis) mientras el EBITDA no crecía: 3,25 veces el EBITDA publicado en 2025 y 2,85 veces el ajustado de la empresa [1, 5]. La causa son las recompras de 2021-2024 financiadas con deuda y un dividendo que absorbe casi toda la caja libre. El margen de maniobra lo darán los ≈2.800 M de la sociedad conjunta de aguas en el 1S27 y la venta de los helados [2].</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48.437</w:t>
      </w:r>
      <w:r>
        <w:t xml:space="preserve">, conversión </w:t>
      </w:r>
      <w:r>
        <w:rPr>
          <w:b/>
          <w:bCs/>
        </w:rPr>
        <w:t xml:space="preserve">85 %</w:t>
      </w:r>
      <w:r>
        <w:t xml:space="preserve"> del beneficio neto; adquisiciones 0, dividendos 0, recompras 0.</w:t>
      </w:r>
    </w:p>
    <w:p>
      <w:pPr>
        <w:spacing w:after="100"/>
      </w:pPr>
      <w:r>
        <w:t xml:space="preserve">El flujo operativo fue de 15.904 M en 2025 y el capex de 4.527 M (5,0 % de los ingresos, frente al 6,1 % de 2023 y 2024): la empresa recorta inversión tras los años de ampliación de capacidad en café y mascotas [4]. La caja libre que publica Nestlé fue de 9.154 M en 2025 (−14,2 %) y de 3.400 M en el 1S26 (2.300 M un año antes), con más de 9.000 M de guía para 2026 [1, 2]. La conversión del beneficio en caja es alta (85 % acumulado en 2021-2025), pero la caja libre apenas cubre el dividendo de ≈8.000 M, por lo que no queda para recompras ni para bajar deuda sin vender negocios.</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subyacentes de Nestlé excluyen cada año entre 1.000 y 3.900 M de reestructuración y deterioros: el publicado y el subyacente divergen de forma sistemática (BPA de 3,51 frente a 4,42 CHF en 2025) [1]. Eso pide prudencia con el BPA subyacente, que tomamos para el PER porque es el que sigue el mercado. El Altman Z (2,29, zona gris) refleja el apalancamiento y el patrimonio reducido por las recompras, no un riesgo de solvencia en una empresa con caja libre de 9.000 M; el Piotroski (5) recoge la caída del margen y del ROA en 2025. El Beneish no se calcula por falta de líneas del balance. Los deterioros de Wyeth (2021) y de los negocios en venta (2026) muestran que se pagó caro por algunas compras.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«no recurrentes» que se repiten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1.000 y 3.900 M al año en 2021-2025; los tratamos como coste recurrente en el DCF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Deterioros de compras (Wyeth, vitaminas y suplementos)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 de Wyeth en 2021 y ≈1.400 M en el 1S26 por los negocios en venta [2, 8].</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4,5 %.</w:t>
      </w:r>
    </w:p>
    <w:p>
      <w:pPr>
        <w:spacing w:after="100"/>
      </w:pPr>
      <w:r>
        <w:t xml:space="preserve">El ROIC fue del 10,4 % en 2025 (10,2-15,0 % en 2021-2025), frente a un WACC del 4,48 %: Nestlé crea valor con un margen de unos 6 puntos, lo que confirma el foso de marca [14]. La caída de 2025 viene del margen (UTOP del 16,1 % frente al 17,2 %), no de la rotación. El ROE (25,9 %) está inflado por el apalancamiento y el patrimonio reducido por las recompras. El ROIC incremental no se puede calcular con sentido: los ingresos y el NOPAT han bajado desde 2022 mientras el capital invertido se mantenía. Stock Analysis da un ROIC algo distinto (10,5 % en 2025) [14].</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57.300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de 6.134 M CHF a 30-jun-26 (3.551 M de caja y 2.583 M de inversiones a corto); deuda a corto de 16.345 M, financiada habitualmente con papel comercial [5].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La deuda neta de Nestlé (56.300 M a junio de 2026) incluye los arrendamientos; subió 4.900 M en el semestre por el dividendo de ≈8.000 M [2]. La deuda a corto plazo es elevada (16.345 M), financiada con papel comercial [5]. El coste medio de la deuda neta fue del 2,6 % en 2024 [12]. No hemos podido leer las notas de pensiones, provisiones y litigios; el puente no incluye pensiones (hueco). La intervención de las filiales rusas podría obligar a un deterioro de ≈1.000 M [33], que restamos en el puente.</w:t>
      </w:r>
    </w:p>
    <w:p>
      <w:pPr>
        <w:pStyle w:val="Heading1"/>
      </w:pPr>
      <w:r>
        <w:t xml:space="preserve">12. Asignación de capital</w:t>
      </w:r>
    </w:p>
    <w:p>
      <w:pPr>
        <w:pStyle w:val="Confianza"/>
        <w:spacing w:after="100"/>
      </w:pPr>
      <w:r>
        <w:t xml:space="preserve">Confianza: Baja</w:t>
      </w:r>
    </w:p>
    <w:p>
      <w:pPr>
        <w:spacing w:after="100"/>
      </w:pPr>
      <w:r>
        <w:t xml:space="preserve">Dividendo progresivo: 3,10 CHF por 2025 (+5 céntimos), 29 años de subidas en francos según la empresa, ≈8.000 M al año [2, 17]. Las recompras están en pausa desde 2025 para bajar deuda [57]. Prioridades declaradas: invertir en café, mascotas, nutrición y alimentación y aperitivos, mantener el dividendo y reducir el apalancamiento con ventas de negocios (helados a Froneri, 50 % de aguas) [2,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9"/>
        <w:gridCol w:w="1126"/>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2.573,0</w:t>
            </w:r>
          </w:p>
        </w:tc>
      </w:tr>
    </w:tbl>
    <w:p>
      <w:pPr>
        <w:spacing w:after="160" w:before="0"/>
      </w:pP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los helados restantes a Froneri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en venta con deterioro en el 1S26 [2, 18].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Sociedad conjunta 50:50 de aguas y bebidas premium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neta para Nestlé en el 1S27</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cierre [2].</w:t>
            </w:r>
          </w:p>
        </w:tc>
      </w:tr>
    </w:tbl>
    <w:p>
      <w:pPr>
        <w:spacing w:after="160" w:before="0"/>
      </w:pPr>
    </w:p>
    <w:p>
      <w:pPr>
        <w:spacing w:after="100"/>
      </w:pPr>
      <w:r>
        <w:t xml:space="preserve">La asignación de capital de 2017-2024 no creó valor: la acción cayó y el BPA subyacente de 2025 (4,42 CHF) es el mismo que el de 2021 pese a las recompras financiadas con deuda [1, 8]. Los deterioros de Wyeth y de vitaminas apuntan a compras caras. El ROIC se ha mantenido entre el 10 % y el 15 % en 2021-2025, por encima del coste de capital, pero sin tendencia al alza. El nuevo equipo prioriza deuda y dividendo y vende lo de menor margen, que es lo razonable con 3,5 veces de deuda sobre EBITDA.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 Navratil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Venía de dirigir Nespresso. Nombrado en septiembre de 2025 tras la destitución de Laurent Freixe; en octubre de 2025 subió el objetivo de ahorro a 3.000 M CHF y anunció 16.000 despidos [16, 25]. No forma parte del consejo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Pablo Isla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presidente ejecutivo de Inditex. Presidente de Nestlé desde el 1 de octubre de 2025, adelantado tras la salida de Paul Bulcke [26, 32].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superior a 2024 y margen UTOP ≥ 16 %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3,5 % (2,2 % en 2024) y margen del 16,1 %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Inicialmente ≈ 4 % de crecimiento orgánico, rebajada durante el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 de crecimiento orgánico y margen del 17,2 %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del 3-4 %, margen UTOP mejor que en 2025, caja libre &gt; 9.000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3,6 % orgánico, margen 16,4 %, caja libre 3.400 M (en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es nuevo: consejero delegado y presidente llevan un año. La rotación (tres consejeros delegados entre 2024 y 2025: Schneider, Freixe y Navratil) fue el gran castigo de la acción en 2024-2025. Desde entonces la guía de 2025 se cumplió y la de 2026 va en camino (3,6 % orgánico en el semestre) [1, 2]. La credibilidad se juega en los resultados de nueve meses (22 de octubre) y en el margen del segundo semestre.</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Pablo Isla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Jordan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Fama Francisco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Operaciones vinculadas, estructura de control y defensas</w:t>
      </w:r>
    </w:p>
    <w:p>
      <w:pPr>
        <w:spacing w:after="100"/>
      </w:pPr>
      <w:r>
        <w:t xml:space="preserve">Capital disperso, sin accionista de control. Los estatutos de Nestlé limitan históricamente el derecho de voto y la inscripción de acciones nominativas al 5 % del capital por accionista (salvo excepciones del consejo), una defensa frente a tomas de control; no hemos podido confirmar en esta revisión si sigue vigente tras la junta de 2026, así que lo tratamos como no «una acción, un voto». El consejo pasa a 13 miembros y consolida comisiones desde la junta del 16 de abril de 2026 [31].</w:t>
      </w:r>
    </w:p>
    <w:p>
      <w:pPr>
        <w:pStyle w:val="Heading2"/>
      </w:pPr>
      <w:r>
        <w:t xml:space="preserve">Señales de alerta</w:t>
      </w:r>
    </w:p>
    <w:p>
      <w:pPr>
        <w:pStyle w:val="ListParagraph"/>
        <w:numPr>
          <w:ilvl w:val="0"/>
          <w:numId w:val="2"/>
        </w:numPr>
        <w:spacing w:after="60"/>
      </w:pPr>
      <w:r>
        <w:t xml:space="preserve">Tres cambios de consejero delegado y uno de presidente en dos años (2024-2025) [25, 26].</w:t>
      </w:r>
    </w:p>
    <w:p>
      <w:pPr>
        <w:pStyle w:val="ListParagraph"/>
        <w:numPr>
          <w:ilvl w:val="0"/>
          <w:numId w:val="2"/>
        </w:numPr>
        <w:spacing w:after="60"/>
      </w:pPr>
      <w:r>
        <w:t xml:space="preserve">Intervención de Nestlé Russia y Nestlé Kuban por decreto del 17-sep-26; posible deterioro de ≈1.000 M CHF [28, 29, 33].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(confirmada el 23 de julio y repetida en el documento del 28 de septiembre): crecimiento orgánico del 3-4 % con más volumen que en 2025, margen UTOP mejor que el 16,1 % de 2025 (el del segundo semestre, parecido al del primero, 16,4 %) y caja libre de más de 9.000 M CHF. A medio plazo, margen ≥ 17 % y ahorro de 3.000 M CHF hasta 2027. La guía no incluye el efecto de la intervención en Rusia. Efecto divisa esperado: ≈ −3 % en las ventas [2, 9,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95.000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95.000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10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69,00 – 102,00</w:t>
            </w:r>
          </w:p>
        </w:tc>
      </w:tr>
    </w:tbl>
    <w:p>
      <w:pPr>
        <w:spacing w:after="160" w:before="0"/>
      </w:pPr>
    </w:p>
    <w:p>
      <w:pPr>
        <w:pStyle w:val="Heading2"/>
      </w:pPr>
      <w:r>
        <w:t xml:space="preserve">Revisiones de estimaciones</w:t>
      </w:r>
    </w:p>
    <w:p>
      <w:pPr>
        <w:spacing w:after="100"/>
      </w:pPr>
      <w:r>
        <w:t xml:space="preserve">Los objetivos se mueven poco: el medio de Investing es 88,86 CHF (22 analistas) y el de MarketScreener 87,89 CHF; aktien.guide da 86,70 CHF con 27 analistas [35, 36, 38]. En julio Jefferies subió a comprar (99 CHF) y BofA bajó a mantener (89 CHF); Morgan Stanley sigue en vender (76 CHF) y Bernstein mantiene 74 CHF [35, 36]. El BPA de MarketScreener es el publicado, no el subyacente que usa la empresa: 4,03 CHF en 2026 frente a 3,51 de 2025 [37]. Solo hay una fuente gratuita con estimaciones completas.</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4" name="Gráfico 14"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60" w:before="0"/>
      </w:pPr>
    </w:p>
    <w:p>
      <w:pPr>
        <w:spacing w:after="100"/>
      </w:pPr>
      <w:r>
        <w:t xml:space="preserve">La acción ha caído de 127,44 CHF a cierre de 2021 a 77,30 CHF (−39 % de precio), con tres años seguidos de pérdidas (2022-2024) mientras el BPA subyacente se estancaba en 4,8 CHF y caía a 4,42 en 2025 [1, 39]. En 2026 tocó un máximo de 85,89 CHF a finales de julio y bajó después de los resultados del 1S (la acción fue la peor del SMI ese día) y tras la intervención en Rusia [40, 53]. Rentabilidades calculadas con los cierres de Traders Union; sin datos de índice, beta ni volatilidad desde la nube.</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spacing w:after="100"/>
      </w:pPr>
      <w:r>
        <w:t xml:space="preserve">Con el BPA publicado, el PER de los últimos 12 meses (26,7x) parece caro frente a su historia; con el BPA subyacente que sigue el mercado, la acción cotiza a 17,6 veces nuestro BPA de 2027e, cerca del mínimo de 2024 (15,7x) y por debajo de la mediana de 2022-2025 (19,1x) [1, 39]. Excluimos 2020-2021 (PER de 25-29x con tipos cero, que no van a volver). La rebaja del múltiplo es estructural en parte: los tipos ya no son cero y el crecimiento en francos es nulo desde 2019.</w:t>
      </w:r>
    </w:p>
    <w:p>
      <w:pPr>
        <w:pStyle w:val="Heading1"/>
      </w:pPr>
      <w:r>
        <w:t xml:space="preserve">18. Comparables cotizados</w:t>
      </w:r>
    </w:p>
    <w:p>
      <w:pPr>
        <w:pStyle w:val="Confianza"/>
        <w:spacing w:after="100"/>
      </w:pPr>
      <w:r>
        <w:t xml:space="preserve">Confianza: Baja</w:t>
      </w:r>
    </w:p>
    <w:p>
      <w:pPr>
        <w:spacing w:after="100"/>
      </w:pPr>
      <w:r>
        <w:t xml:space="preserve">Grandes grupos de alimentación de marca con presencia mundial: Danone y Unilever (Europa), Mondelez, General Mills y Kraft Heinz (EE. UU.). Excluimos L'Oréal (cosmética, participada de Nestlé) y Mars (no cotiza). Los múltiplos son de proveedores y fechas distintas (marzo-octubre de 2026), así que la comparación es orientativa [42, 43, 44, 45,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Nestlé</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Unilever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General Mills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Kraft Heinz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6"/>
        <w:gridCol w:w="1188"/>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 / 8,4x / 11,2x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 / 17,2x / 18,2x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Nestlé cotiza a 18,1 veces el BPA de los próximos 12 meses del consenso (base publicada), algo por encima de la mediana de los comparables (17,2x), y a 12,6 veces el EBITDA de los próximos 12 meses. Los europeos (Danone 17,2x, Unilever 18,2x) son el grupo relevante; los estadounidenses de culinarios (General Mills 11,6x y Kraft Heinz 11,8x) cotizan con descuento por volumen negativo y deuda alta, y arrastran el valor por EV/EBITDA hasta 48,95 CHF, una cifra que no tomamos como referencia. Con el BPA subyacente, Nestlé estaría en 17-18x, en línea con los europeos pese a un ROIC más alto (10,4 %).</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El crecimiento en francos es el orgánico menos la divisa y el perímetro. Orgánico del 3-4 % (guía 2026 y 3,5-3,6 % en 2025-1S26) [2, 9]; divisa de ≈ −3 % en 2026 según la empresa [9] y de −1 punto al año después (el franco ha restado de media unos 2-3 puntos desde 2019); perímetro de −4 a −5 puntos en 2026-27 por helados y la sociedad conjunta de aguas. Resultado: −1,0 % en 2026e, −2,0 % en 2027e y 2,0 % en 2028-2029, bajando al 0,7 % al final. Media de la proyección: 0,8 %.</w:t>
      </w:r>
    </w:p>
    <w:p>
      <w:pPr>
        <w:keepNext/>
        <w:spacing w:after="100"/>
      </w:pPr>
      <w:r>
        <w:rPr>
          <w:b/>
          <w:bCs/>
        </w:rPr>
        <w:t xml:space="preserve">Márgenes.</w:t>
      </w:r>
    </w:p>
    <w:p>
      <w:pPr>
        <w:spacing w:after="100"/>
      </w:pPr>
      <w:r>
        <w:t xml:space="preserve">Margen EBITDA publicado del 19,3 % en 2026e (UTOP de ≈16,4 % + amortización del 4,0 % − reestructuración recurrente del 0,8 %), 19,6 % en 2027e y 20,2 % desde 2029e, equivalente a un UTOP del 17 %, el objetivo a medio plazo de la dirección y el nivel de 2021-2024 [2, 6, 16]. El ahorro de 3.000 M hasta 2027 y la salida de aguas y helados (margen del 9,5 % en aguas) lo sostienen [2, 16].</w:t>
      </w:r>
    </w:p>
    <w:p>
      <w:pPr>
        <w:keepNext/>
        <w:spacing w:after="100"/>
      </w:pPr>
      <w:r>
        <w:rPr>
          <w:b/>
          <w:bCs/>
        </w:rPr>
        <w:t xml:space="preserve">Inversión y circulante.</w:t>
      </w:r>
    </w:p>
    <w:p>
      <w:pPr>
        <w:spacing w:after="100"/>
      </w:pPr>
      <w:r>
        <w:t xml:space="preserve">Capex del 4,8 % de las ventas en 2026-27 y del 4,6 % después, frente al 5,0 % de 2025 y el 5,4-6,1 % de 2021-2024 [4]; amortización del 4,0 % (3.633 M en 2025). Circulante comercial neutro: no tenemos el desglose del balance y Nestlé trabaja con circulante bajo; lo dejamos en cero.</w:t>
      </w:r>
    </w:p>
    <w:p>
      <w:pPr>
        <w:keepNext/>
        <w:spacing w:after="100"/>
      </w:pPr>
      <w:r>
        <w:rPr>
          <w:b/>
          <w:bCs/>
        </w:rPr>
        <w:t xml:space="preserve">Coste del capital.</w:t>
      </w:r>
    </w:p>
    <w:p>
      <w:pPr>
        <w:spacing w:after="100"/>
      </w:pPr>
      <w:r>
        <w:t xml:space="preserve">Tasa libre del 0,6 % (bono suizo a 10 años, 1-oct-26) [47]; beta de 0,65, estimación propia para una alimentaria de consumo básico sin dato de mercado accesible (hueco); prima de mercado del 5,5 % y prima adicional de 1 punto por la exposición a emergentes (≈40 % de las ventas en Asia-Oceanía-África y Latinoamérica) y por la divisa; coste de la deuda del 2,6 % (coste medio de la deuda neta de 2024) [12]; peso de la deuda del 22 % (deuda neta frente a capitalización). WACC del 4,48 %. Con la prima implícita del mercado (4,2 %) el WACC baja al 3,8 %.</w:t>
      </w:r>
    </w:p>
    <w:p>
      <w:pPr>
        <w:keepNext/>
        <w:spacing w:after="100"/>
      </w:pPr>
      <w:r>
        <w:rPr>
          <w:b/>
          <w:bCs/>
        </w:rPr>
        <w:t xml:space="preserve">Valor terminal.</w:t>
      </w:r>
    </w:p>
    <w:p>
      <w:pPr>
        <w:spacing w:after="100"/>
      </w:pPr>
      <w:r>
        <w:t xml:space="preserve">Crecimiento a perpetuidad del 0,5 % en francos: la regla pide un terminal entre la inflación suiza (≈1 %) y la tasa libre menos medio punto (0,1 %); el 0,5 % es el punto medio y coincide con la historia de ventas en francos, que no han crecido desde 2019. El múltiplo de salida implícito es elevado (≈20x el EBITDA) porque el WACC es muy bajo; por eso el valor terminal pesa un 70 %.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136,16</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5.914 M (5 % del NOPAT)</w:t>
            </w:r>
          </w:p>
        </w:tc>
      </w:tr>
    </w:tbl>
    <w:p>
      <w:pPr>
        <w:spacing w:after="160" w:before="0"/>
      </w:pPr>
    </w:p>
    <w:p>
      <w:pPr>
        <w:spacing w:after="100"/>
      </w:pPr>
      <w:r>
        <w:t xml:space="preserve">La proyección apenas necesita inversión neta de la amortización (reinversión acumulada de 5.914 M, el 5 % del NOPAT, con un capex bruto medio del 4,6 % de las ventas). En un negocio de activos ligeros, el crecimiento medio del 0,8 %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3,5 % (volumen 1,5 % y precio 2,0 %, en línea con el 1S26) y −4,5 puntos de divisa y negocios en venta [2,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3,5 % con algo más de volumen por el ahorro reinvertido en publicidad; −5,5 puntos por la salida de aguas a la sociedad conjunta y de helados [2,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3 % (volumen 1,5 % y precio 1,5 %) y −1 punto de divisa, la media del franco frente a la cesta de Nestlé.</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del 2,8 %, con el precio moderándose; −1 punto de divisa.</w:t>
            </w:r>
          </w:p>
        </w:tc>
      </w:tr>
    </w:tbl>
    <w:p>
      <w:pPr>
        <w:spacing w:after="160" w:before="0"/>
      </w:pPr>
    </w:p>
    <w:p>
      <w:pPr>
        <w:spacing w:after="100"/>
      </w:pPr>
      <w:r>
        <w:t xml:space="preserve">La proyección pide un crecimiento medio del 0,8 % en francos, por debajo de lo que la empresa ha conseguido a lo largo del ciclo una vez descontada la divisa, y casi sin inversión neta (reinversión del 7 % del NOPAT): no hace falta capital nuevo y las pruebas de reinversión y cuota no fallan, así que no rebajamos el caso base. El veredicto es «En parte» porque el orgánico del 3-4 % descansa en un volumen que solo empezó a recuperarse en 2026 (RIG del 0,8 % en 2025 y del 1,8 % en el 2T26) y en un poder de precios que se agotó en 2024-25, cuando subir precios costó volumen [1, 2, 17]. Medio punto menos de crecimiento cada año restaría ≈5 CHF por acción.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 (base: 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 (base: 20,2 %)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 (WACC: 4,5 %)</w:t>
            </w:r>
          </w:p>
        </w:tc>
      </w:tr>
    </w:tbl>
    <w:p>
      <w:pPr>
        <w:spacing w:after="160" w:before="0"/>
      </w:pPr>
    </w:p>
    <w:p>
      <w:pPr>
        <w:spacing w:after="100"/>
      </w:pPr>
      <w:r>
        <w:t xml:space="preserve">El DCF da 101,74 CHF por acción, un 31,6 % sobre el precio, con un valor terminal que pesa el 70 % y un WACC muy bajo (4,48 %) por la tasa libre suiza del 0,6 %. Es la principal debilidad del método: con un WACC del 5,5 % el valor bajaría a ≈75-80 CHF (tabla de sensibilidad). El DCF inverso dice que el precio de hoy descuenta que las ventas en francos caigan un 2,3 % al año en 2027-2035 con nuestro margen, o un margen EBITDA del 16,7 % con nuestro crecimiento, frente al 20,2 % que proyectamos; la rentabilidad implícita en el precio es del 5,6 %, más que nuestro WACC (4,5 %) y que lo que pide el mercado (3,8 %). Es una expectativa conservadora frente a la historia: el margen subyacente lleva diez años por encima del 16 %. El mercado no cree que Nestlé vuelva a crecer en francos; nosotros creemos que el margen vuelve al 17 % pero tampoco proyectamos crecimiento real en francos.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vuelve a estancarse cuando el ahorro se gasta en defender precios frente a la marca blanca, el café y el cacao siguen caros y el franco resta más de lo previsto: el margen UTOP se queda en el 15,8 % y las ventas caen un punto más al año. Es lo que pasó en 2024-2025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3-4 %, el ahorro de 3.000 M lleva el margen UTOP al 17 % en 2029 y las ventas en francos crecen un 2 % desde 2028 tras la salida de aguas y helados.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se acelera (RIG &gt; 2 %) con más publicidad y café en cápsulas y listo para tomar, el margen supera el 17 % y el franco deja de restar.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CHF) · precio actual 77,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98,81 CHF (+27,8 %).</w:t>
      </w:r>
    </w:p>
    <w:p>
      <w:pPr>
        <w:spacing w:after="100"/>
      </w:pPr>
      <w:r>
        <w:t xml:space="preserve">El intervalo es estrecho porque el negocio es defensivo: el bajista da 79,56 CHF y el alcista 112,20 CHF. Incluso el bajista queda por encima del precio (+2,9 %), lo que dice más del WACC bajo que de la solidez de la tesis: con la regla a 12 meses, que usa nuestro PER y nuestro BPA, el bajista pierde un 14 % (66,41 CHF). La asimetría a 12 meses (alcista +19 %, bajista −14 %) es pobre.</w:t>
      </w:r>
    </w:p>
    <w:p>
      <w:pPr>
        <w:pStyle w:val="Heading1"/>
      </w:pPr>
      <w:r>
        <w:t xml:space="preserve">22. Suma de partes</w:t>
      </w:r>
    </w:p>
    <w:p>
      <w:pPr>
        <w:pStyle w:val="Confianza"/>
        <w:spacing w:after="100"/>
      </w:pPr>
      <w:r>
        <w:t xml:space="preserve">Confianza: Baja</w:t>
      </w:r>
    </w:p>
    <w:p>
      <w:pPr>
        <w:spacing w:after="100"/>
      </w:pPr>
      <w:r>
        <w:t xml:space="preserve">No aplica: el negocio de alimentación se valora como un todo, y L'Oréal (20,16 %) entra en el puente a valor de mercado (≈38.060 M CHF, un 19 % de la capitalización) [27, 49].</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CHF) · precio actual 77,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92,60 CHF (+19,8 % sobre 77,30).</w:t>
      </w:r>
    </w:p>
    <w:p>
      <w:pPr>
        <w:spacing w:after="100"/>
      </w:pPr>
      <w:r>
        <w:t xml:space="preserve">El DCF pesa un 45 % y los escenarios un 35 % porque es una empresa estable con flujos predecibles; los comparables, un 20 %, porque mezclan fechas y modelos (los culinarios de EE. UU. cotizan con descuento por razones propias). El valor intrínseco ponderado es de 92,60 CHF (+19,8 %). La dispersión es grande: los comparables por EV/EBITDA dan 48,95 CHF y el DCF 101,74 CHF. La diferencia nace de la tasa de descuento: el DCF usa un WACC del 4,5 % en francos y los múltiplos de los comparables llevan implícito un coste de capital en dólares o euros. Por eso el valor intrínseco es una referencia de largo plazo y la decisión se toma con el objetivo a 12 meses. L'Oréal aporta ≈14,8 CHF por acción al puente.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(17.6x) × 1.1 (tope: la mediana de 5 años, 24.3x,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+66,8 %</w:t>
            </w:r>
          </w:p>
        </w:tc>
      </w:tr>
    </w:tbl>
    <w:p>
      <w:pPr>
        <w:spacing w:after="160" w:before="0"/>
      </w:pPr>
    </w:p>
    <w:p>
      <w:pPr>
        <w:spacing w:after="100"/>
      </w:pPr>
      <w:r>
        <w:rPr>
          <w:b/>
          <w:bCs/>
        </w:rPr>
        <w:t xml:space="preserve">Objetivo a 12 meses (ponderado):</w:t>
      </w:r>
      <w:r>
        <w:t xml:space="preserve"> 92,37 CHF · rentabilidad +23,5 % (base +19,2 %) · señal Comprar.</w:t>
      </w:r>
    </w:p>
    <w:p>
      <w:pPr>
        <w:spacing w:after="100"/>
      </w:pPr>
      <w:r>
        <w:t xml:space="preserve">Para comparar, con la regla v2 (historia al cierre, mismo precio): 15,7x / 17,6x / 19,1x, 7,5 % Mantener; con el tope anterior del base (×1,3, 14-oct mediodía): 29,8 % Comprar. Decide la regla vigente (v3 con tope ×1,1; METODO-VIGENTE.md).</w:t>
      </w:r>
    </w:p>
    <w:p>
      <w:pPr>
        <w:keepNext/>
        <w:spacing w:after="100"/>
      </w:pPr>
      <w:r>
        <w:rPr>
          <w:b/>
          <w:bCs/>
        </w:rPr>
        <w:t xml:space="preserve">Frente al consenso (solo contraste).</w:t>
      </w:r>
    </w:p>
    <w:p>
      <w:pPr>
        <w:spacing w:after="100"/>
      </w:pPr>
      <w:r>
        <w:t xml:space="preserve">Nuestro BPA subyacente de 2028e (4,59 CHF) no es comparable con el BPA publicado del consenso (4,68 CHF en 2028 según MarketScreener), que debería estar por debajo del subyacente; el consenso subyacente no es accesible gratis. Nuestro precio base (80,78 CHF) queda un 9 % por debajo del objetivo medio de los analistas (88,86 CHF): la diferencia está en el múltiplo (17,6x, el PER actual, frente a ≈19-20x implícito en los objetivos, la mediana de 2022-2025) y en que no contamos con recompras, en pausa [36, 37, 57].</w:t>
      </w:r>
    </w:p>
    <w:p>
      <w:pPr>
        <w:keepNext/>
        <w:spacing w:after="100"/>
      </w:pPr>
      <w:r>
        <w:rPr>
          <w:b/>
          <w:bCs/>
        </w:rPr>
        <w:t xml:space="preserve">Del valor intrínseco al objetivo a 12 meses.</w:t>
      </w:r>
    </w:p>
    <w:p>
      <w:pPr>
        <w:spacing w:after="100"/>
      </w:pPr>
      <w:r>
        <w:t xml:space="preserve">Entre el valor intrínseco (92,60 CHF) y el objetivo a 12 meses (80,01 CHF) hay 16 %: el mercado no pagará la diferencia hasta que vea crecer el BPA subyacente, que lleva cinco años plano. Lo que la cerraría: que los resultados de 2026 (febrero de 2027) confirmen un margen por encima del 16,1 % y el cobro de los 2.800 M de aguas en el 1S27, con una vuelta de las recompras.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nueve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(3-4 % orgánico) y primera cifra sobre Rusia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UTOP por encima del 16,1 % y caja libre &gt; 9.000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sociedad conjunta de aguas (≈2.800 M de caja neta)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la deuda y abre la puerta a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los helados restantes a Froneri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Mejora la mezcla de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de la intervención en Rusia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≈1.000 M o venta forzada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 dividendo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del dividendo por 30.º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volumen no se recupera y el precio deja de subir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a 12 meses (bajista: 66,41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 de 3.000 M para reinvertir en marcas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RIG por debajo del 1 % en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Café y cacao caros más tiempo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 −7 %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y subidas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2S26 por debajo del 16 %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franco sigue apreciándose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punto anual adicional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en cada mercado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peor que −3 % en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negocio en Rusia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−0,4 CHF por acción (≈1.000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pequeño en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Decreto de venta forzada o nacionalización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alta y dividendo que absorbe la caja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Recorte del múltiplo si se congela el dividendo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aguas y helados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neta/EBITDA ajustado &gt; 3x a fin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GLP-1 y regulación de ultraprocesados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 a largo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centrada en café, mascotas y nutrición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volumen en confitería de EE. UU.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Nueva rotación de la cúpula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Compresión del PER de 1-2 puntos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con historial (Inditex)</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directivos clave</w:t>
            </w:r>
          </w:p>
        </w:tc>
      </w:tr>
    </w:tbl>
    <w:p>
      <w:pPr>
        <w:spacing w:after="160" w:before="0"/>
      </w:pPr>
    </w:p>
    <w:p>
      <w:pPr>
        <w:pStyle w:val="Heading2"/>
      </w:pPr>
      <w:r>
        <w:t xml:space="preserve">Pre-mortem</w:t>
      </w:r>
    </w:p>
    <w:p>
      <w:pPr>
        <w:spacing w:after="100"/>
      </w:pPr>
      <w:r>
        <w:t xml:space="preserve">Octubre de 2029: la acción cotiza a 46 CHF. El ahorro de 3.000 M se fue en defender precios: la marca blanca ganó cuota en Europa y EE. UU. y el volumen siguió por debajo del 1 %. El café y el cacao no bajaron, y el margen se quedó en el 15,5 %. El franco siguió subiendo y las ventas en francos cayeron otros dos años. Con la deuda en 3,5 veces el EBITDA y el dividendo comiéndose la caja, la dirección congeló el dividendo en 2028, y el inversor de rentas, que es la base accionarial, vendió: el PER bajó a 14 veces un BPA de 4,0 CHF. Rusia acabó en una venta forzada y un deterioro. Los indicadores que lo anticipaban: el RIG trimestral por debajo del 1 %, el margen del 2S26 por debajo del 16 % y una deuda neta que no bajaba tras el cobro de aguas.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las cifras son el abastecimiento de café y cacao (precio y deforestación), el plástico de los envases y la seguridad de la nutrición infantil: la retirada de leche infantil de 2025-26 costó 75 M CHF en devoluciones y 110 M en existencias y pesó en el margen del 1S26 [1, 2].</w:t>
      </w:r>
    </w:p>
    <w:p>
      <w:pPr>
        <w:pStyle w:val="Heading2"/>
      </w:pPr>
      <w:r>
        <w:t xml:space="preserve">Controversias</w:t>
      </w:r>
    </w:p>
    <w:p>
      <w:pPr>
        <w:spacing w:after="100"/>
      </w:pPr>
      <w:r>
        <w:t xml:space="preserve">Retirada de leche infantil (2025-26) [1]; intervención de las filiales rusas (septiembre de 2026) [28]; destitución del consejero delegado en 2025 por una relación no declarada con una subordinada [25].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3.000 M de ahorro llegará al margen y qué parte se reinvierte en publicidad y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UTOP llega al 17 % (nuestro base) o se queda en el 16 %.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RIG espera la dirección en 2027 sin aguas ni helados?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puente de ingresos pide 1,5-1,8 % de volumen.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Rusia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valor contable y el resultado operativo de Nestlé Russia y Nestlé Kuban?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cuantificar el deterioro, que hoy estimamos con la prensa en ≈1.000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¿Volverán las recompras tras el cobro de aguas o se prioriza la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contamos recompras en el BPA de 2028e.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dejará de haber 1.000-2.000 M anuales de costes excluidos del UTOP?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BPA subyacente del publicado y pesa en la calidad contable.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L'Oréal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planes para la participación del 20,16 % en L'Oréal?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Vale ≈38.000 M CHF, el 19 % de la capitalización; su venta podría financiar recompras.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(artículos con comentarios de lectores y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Pese a unas cifras correctas, los inversores dudan: se repite la idea de la «trampa de valor», con un dividendo estable pero poco impulso [54].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de particulares dan valores razonables muy dispersos (de 65 a 143 CHF); preocupan el reparto de más del 100 % del beneficio publicado y la deuda [55,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de gestores y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fármacos para adelgazar y el rechazo a los ultraprocesados como viento en contra; algún lector compra por la rentabilidad por dividendo y el cambio de equipo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Biallo y Bilanz (prensa de inversión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1T, «acción de la semana»: se espera que Navratil recorte costes, venda negocios y baje deuda; las recompras están en pausa [53,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cash.ch (Rusia)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intervención de las filiales rusas abre la puerta a perder el negocio y a un deterioro de unos 1.000 M CHF; los analistas lo ven manejable en lo operativo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Trampa de valor: dividendo alto sin crecimiento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 medias: el BPA subyacente de 2025 (4,42 CHF) está por debajo del de 2021 (4,42) y la rentabilidad por dividendo es del 4,0 %, pero el volumen vuelve a crecer (RIG del 1,8 % en el 2T26) [1,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Sostenibilidad del dividendo y la deuda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 8.000 M) se paga con la caja libre (9.154 M en 2025), no con el beneficio publicado; la deuda neta subió a 56.300 M y la venta de aguas aportará 2.800 M [1,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equipo y plan de ahorro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del 1S26 (16,4 %) ya mejora sobre el de 2025 (16,1 %)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Rusia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7.000 empleados; el efecto en valor sería un deterioro de ≈ 1.000 M CHF, menos del 1 % de la capitalización [29, 33].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GLP-1 y alimentación saludable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cifras de efecto en las ventas de Nestlé; el crecimiento orgánico se mantiene en el 3-4 % [2].</w:t>
            </w:r>
          </w:p>
        </w:tc>
      </w:tr>
    </w:tbl>
    <w:p>
      <w:pPr>
        <w:spacing w:after="160" w:before="0"/>
      </w:pPr>
    </w:p>
    <w:p>
      <w:pPr>
        <w:spacing w:after="100"/>
      </w:pPr>
      <w:r>
        <w:t xml:space="preserve">El particular está dividido y algo cansado: valora el dividendo del 4 % pero no se fía de que el beneficio vuelva a crecer después de cinco años perdidos. No hay euforia ni capitulación: la acción cotiza cerca de su mínimo de 52 semanas (70,29 CHF) sin ventas forzadas. El sentimiento coincide con nuestra lectura (Mantener) y con el consenso de analistas, más optimista en el objetivo (88,86 CHF) que el particular. El único riesgo que aporta y que no estaba en las cifras es Rusia, que pesa más en el ánimo que en el valor.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Fuentes: 57 (12 primarias); citas distintas en el texto: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0,2 %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13, 15, 34, 41, 48, 50, 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generales, resultado financiero, BAI, impuestos, minoritarios y acciones diluidas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anuales 2021-2025 buscados: la búsqueda solo devuelve cifras de cabecera; 2) Stock Analysis y TipRanks: solo ingresos, resultado operativo, beneficio y BPA en los extractos; 3) informe financiero de Nestlé Finance International y prensa: sin las líneas del grupo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(zonas y unidades) con 5 ejercicios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1S26: ventas por zona del semestre; 2) comunicados anuales: sin tablas en los extractos; 3) prensa sectorial (Purina, confitería): cifras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el peso por zona del 1S26 en geografías)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(existencias, clientes, proveedores), reservas, minoritarios y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Balance de Stock Analysis: solo activo total, caja, fondo de comercio y deuda en los extractos; 2) Stockopedia y AlphaQuery: en USD o sin las líneas; 3) comunicado anual: no da el balance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trimestres de 2024-2025 y BPA y EBITDA trimestrales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Nestlé solo publica ventas trimestrales y resultados semestrales; 2) comunicados del 1T y del 1S26; 3) Quartr y Newsquawk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años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accesible; 2) búsqueda de prensa; 3) cupo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Unilever, Danone y Mondelez: no accesibles desde la nube; 2) búsqueda de clasificaciones por ventas: sin cifras; 3) Stock Analysis de cada competidor: solo múltiplos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no accesible; 2) búsqueda no realizada por el cupo compartido;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votos de remuneración, remuneración del consejero delegado, accionistas significativos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y de gobierno 2025 de Nestlé: no accesibles desde la nube; 2) búsqueda del resultado de la junta de 2026: sin votaciones en los extractos; 3) API de participaciones de la SIX: no accesible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Nestlé (helados a Froneri, sociedad conjunta de aguas): sin múltiplo en los extractos; 2) prensa: sin valor empresa; 3) búsqueda de operaciones del sector (Kellanova-Mars): no realizada por el cupo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caída máxima, rentabilidad total e índices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y SIX: no accesibles; 3) búsqueda: solo cierres anuales y precios sueltos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beta del WACC estimada (ver dcf)</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capitalización, crecimiento, margen, ROIC y deuda de los comparables; mismas fechas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de cada uno: no devuelto por la búsqueda; 2) MarketScreener, Yahoo, Seeking Alpha y AllInvestView: solo PER y EV/EBITDA, de fechas distintas; 3) TipRanks: cifras pasadas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múltiplos)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foros suizos (finanzen.ch, cash.ch Forum)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en Reddit (r/eupersonalfinance, r/dividends): sin hilos indexados; 2) Stocktwits: sin resultados; 3) foros suizos: solo artículos con comentarios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usan prensa con comentarios y narrativas de comunidad</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pensiones y minoritarios del puente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del informe anual 2025: no accesibles; 2) comunicado del 1S26: solo la deuda neta; 3) Stock Analysis: sin la línea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(0 en el puente)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de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Yahoo y TipRanks: no devuelven la beta en la búsqueda; 3) Damodaran por sector: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(0,65)</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Nestlé: Full-Year Results 2025 and Strategic Update (comunicado, reproducción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Nestlé / Reuters RNS vía 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https://www.stockopedia.com/share-prices/nestle-sa-SWX%3ANESN/news/reg-nestle-sa-nestle-full-year-results-2025-and-strategic-update-urn%3Anewsml%3Areuters.com%3A20260219%3AnRSS6523Ta/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Half-year results 2026: execution driving RIG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Nestlé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https://mfn.se/all/a/nestle/half-year-results-2026-execution-driving-rig-cd1bd6cd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 (NSRGY): cuenta de resultados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https://stockanalysis.com/quote/otc/NSRGY/financials/income-statement/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 (NSRGY): estado de flujos de efectivo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https://stockanalysis.com/quote/otc/NSRGY/financials/cash-flow-statement/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 (NSRGY): balance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https://stockanalysis.com/quote/otc/NSRGY/financials/balance-sheet/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Solid 2024 performance; executing on plan to accelerate growth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https://www.nasdaq.com/press-release/solid-2024-performance-executing-plan-accelerate-growth-2025-02-13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reports full-year results for 2023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https://www.nasdaq.com/press-release/nestle-reports-full-year-results-for-2023-2024-02-22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reports full-year results 2021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https://www.nestle-mena.com/en/media/pr/nestl%C3%A9-reports-full-year-results-2021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Nine-month sales 2026: aide-mémoire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https://www.nestle.com/sites/default/files/2026-09/nine-month-sales-aide-memoire-2026.pdf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Q1 2026: ventas de 21.300 M CHF, crecimiento orgánico del 3,5 %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Newsquawk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https://www.newsquawk.com/headlines/nestle-nesn-sw-q1-2026-chf-sales-213bln-exp-211bln-organic-growth-35-maintains-guidance-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gains momentum in sales volume and reaffirms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(Keystone-SDA)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https://www.bluewin.ch/en/news/nestle-gains-momentum-in-sales-volume-and-reaffirms-outlook-li.3538627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Nestlé solid 2024 performance (gastos financieros y coste de la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vía finanzen.ch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https://finanzen.ch/nachrichten/aktien/press-release-nestle-solid-2024-performance-3-1034354026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Nestle SA ADR: balance (patrimonio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https://kalkine.com.au/company/us-nsrgy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 (NSRGF): ratios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https://stockanalysis.com/quote/otc/NSRGF/financials/ratios/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Q2 2025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https://www.insidermonkey.com/blog/nestle-s-a-otcnsrgy-q2-2025-earnings-call-transcript-1575429/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cutting 16,000 jobs to quicken turnaround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https://www.fooddive.com/news/nestle-cutting-16000-jobs-to-quicken-turnaround-as-cpg-giant/802941/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reports 3.5% organic growth in 2025, accelerates focused strategy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NuFFooDS Spectrum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https://nuffoodsspectrum.asia/2026/02/20/nestle-reports-3-5-organic-growth-in-2025-accelerates-focused-strategy.html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ganó un 17 % menos en 2025 y ultima la venta del negocio de helados a Froneri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https://www.bolsamania.com/noticias_amp/empresas/economiaempresas--amp-nestle-gano-un-17-menos-en-2025-y-ultima-la-venta-del-negocio-de-helados-a-froneri--21761984.html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H1 2026 results (zonas y unidades)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finanznachrichten.de (comunicado)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https://www.finanznachrichten.de/nachrichten-2026-07/69100371-nestle-s-a-half-year-results-2026-execution-driving-rig-399.htm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Packaged Food Market Size, Share &amp; Trends (2,9 billones USD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 and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https://www.researchandmarkets.com/reports/5801864/packaged-food-market-size-share-trends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Packaged Food Global Market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Business Research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https://www.thebusinessresearchcompany.com/report/packaged-food-market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Packaged Food Market to surpass US$ 5,080 Billion by 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Maximize Market Research vía 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https://www.bolsamania.com/nota-de-prensa/mercados/global-packaged-food-market-to-surpass-us-5080-billion-by-2032-shows-new-market-analysis-maximize-market-research--21572935.html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APAC leads global packaged food market with 33% share (Mordor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https://www.bolsamania.com/nota-de-prensa/mercados/apac-leads-global-packaged-food-market-with-33-share-as-worldwide-value-set-to-exceed-usd-8-trillion-by-2031-says-mordor-intelligence--21784524.html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Purina PetCare remained growth engine for Nestlé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Petfood Industry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https://www.petfoodindustry.com/global-commerce/news/15817641/purina-petcare-remained-growth-engine-for-nestl-in-2025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chairman Paul Bulcke steps 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(Keystone-SDA)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https://www.bluewin.ch/en/news/nestle-chairman-paul-bulcke-steps-down-li.2874894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Nestlé-Aktie: Machtwechsel besiegelt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https://www.boerse-express.com/news/articles/nestl-aktie-machtwechsel-besiegelt-892146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2025 Universal Registration Document: accionariado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https://www.loreal-finance.com/eng/2025-universal-registration-document/en/article/9/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on Nestlé's operations in Russia (comunicado ad hoc)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vía 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https://www.stockopedia.com/share-prices/nestle-sa-PNK:NSRGY/news/nestle-sa-update-on-nestle-s-operations-in-russia-01a0b31a-ff3f-74d6-89a1-d834c8c3f512/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Russland entzieht Nestlé vorerst die Kontrolle über wichtige Töchter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ms-aktuell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https://ms-aktuell.de/welt/nestle-russland-fremdverwaltung-18-09-2026/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(NSRGY): opiniones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https://stockchase.com/NSRGY-OTC/page/4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Nestlé-Präsident kennt auch beim Verwaltungsrat keine Tabus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https://www.cash.ch/news/top-news/nestle-prasident-kennt-auch-beim-verwaltungsrat-keine-tabus-918486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Nestlé-Präsident Bulcke wirft das Handtuch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Börsen-Zeitung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https://www.boersen-zeitung.de/personen/nestle-praesident-bulcke-wirft-das-handtuch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drohen nach Zwangsmassnahmen der Verlust des Russland-Geschäftes und eine Wertberichtigung von 1 Milliarde Franken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https://www.cash.ch/news/top-news/nestle-drohen-nach-zwangsmassnahmen-der-verlust-des-russland-geschaftes-und-wertberichtigung-von-1-milliarde-franken-969635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Nestlé's leadership and portfolio face critical April tests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https://www.ad-hoc-news.de/boerse/news/ueberblick/nestle-s-leadership-and-portfolio-face-critical-april-tests/69126567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 cotización (cierre del 13-oct-26: 77,30 CHF)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https://www.marketscreener.com/quote/stock/NESTLE-S-A-9365334/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Nestle SA (NESN):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https://www.investing.com/equities/nestle-ag-consensus-estimates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 valoración y dividendo (estimaciones de BPA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https://uk.marketscreener.com/quote/stock/NESTLE-S-A-9365334/valuation-dividend/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Kursziel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https://aktien.guide/kursziel/Nestle-CH0038863350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Nestle (NESN/CHF) Historical Price Data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https://tradersunion.com/currencies/price-history/nesn-chf/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Nestle Stock Price Hits 12-month High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https://tradingeconomics.com/nesn:vx/news/564888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SMI-Titel Nestlé-Aktie: Verlust eines Investments von vor 3 Jahren (cierre del 13-oct-26)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https://www.finanzen.at/nachrichten/aktien/smi-titel-nestle-aktie-so-viel-verlust-hatte-ein-nestle-investment-von-vor-3-jahren-eingefahren-1036624575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Danone: valoración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https://uk.marketscreener.com/quote/stock/DANONE-4000511/valuation/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Danone: estadísticas (EV/EBITDA)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https://www.tipranks.com/stocks/fr:bn/statistics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PLC (UL): estadísticas (PER adelantado y EV/EBITDA)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https://sg.finance.yahoo.com/quote/UL/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Valuation Grade &amp; Metrics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https://seekingalpha.com/symbol/MDLZ/valuation/metrics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Mills vs Kraft Heinz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AllInvestView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https://www.allinvestview.com/compare/GIS-vs-KHC/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Bond Yield Climbs Amid Bond Selloff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https://tradingeconomics.com/switzerland/government-bond-yield/news/588736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EUR/CHF currency converter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CurrencyConvert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https://currencyconvert.online/eur/chf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usurps LVMH as most valuable listed company (capitalización ≈ 203.000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Cosmetics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https://cosmeticsbusiness.com/l-or%C3%A9al-usurps-lvmh-most-valuable-listed-company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2025 Universal Registration Document: beneficio neto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https://www.loreal-finance.com/eng/2025-universal-registration-document/en/article/290/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Aktie News: Nestlé schiebt sich am Montagvormittag vor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https://www.finanzen.ch/nachrichten/aktien/nestle-aktie-kursbewegung-12-10-2026-1031805292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Aktie der Woche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Biallo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https://www.biallo.de/geldanlage/news/Nestle-aktie-der-woche/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Trotz guter Zahlen: Warum Investoren bei der Nestlé-Aktie zögern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https://www.cash.ch/news/top-news/trotz-guter-zahlen-warum-investoren-bei-der-nestle-aktie-zogern-934387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narrativas de la comunidad (valores razonables)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https://simplywall.st/community/narratives/ch/food-beverage-tobacco/vtx-nesn/nestle-shares/lznhgsx6-nesn-recent-leadership-changes-will-likely-restore-stability-and-reverse-share-slide/updates/14-nestles-analyst-price-target-has-edged-up-from-chf-8775-to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bull case for Nestlé could change following...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https://simplywall.st/stocks/ch/food-beverage-tobacco/vtx-nesn/nestle-shares/news/the-bull-case-for-nestl-swxnesn-could-change-following-blue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Schweizer Börse 2026: Chancen trotz KI-Korrektur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Bilanz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https://www.bilanz.ch/invest/aktien/schweizer-boerse-2026-chancen-trotz-ki-korrektur/8dqhfl9</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74,0 %</w:t>
      </w:r>
      <w:r>
        <w:t xml:space="preserve"> · Secciones con menos del 60 % de campos cubiertos: </w:t>
      </w:r>
      <w:r>
        <w:rPr>
          <w:b/>
          <w:bCs/>
        </w:rPr>
        <w:t xml:space="preserve">gobierno, transacciones, calidad, bolsa</w:t>
      </w:r>
      <w:r>
        <w:t xml:space="preserve"> · Generado el 14 oct 2026.</w:t>
      </w:r>
    </w:p>
    <w:p>
      <w:pPr>
        <w:pStyle w:val="Nota"/>
        <w:spacing w:after="100"/>
      </w:pPr>
      <w:r>
        <w:t xml:space="preserve">Análisis hecho desde la nube con la red limitada a la búsqueda web: la web de Nestlé, la SIX, Yahoo y los proveedores de datos no se pudieron abrir, así que las cifras salen de los extractos de búsqueda de los comunicados de resultados, de Stock Analysis y de la prensa financiera, cruzadas cuando fue posible; la confianza es menor que en un análisis normal y lo que no cuadró está en null y en los huecos. Cuentas en CHF con NIIF; ejercicio natural. La cuenta anual (ingresos totales, resultado operativo, amortizaciones, beneficio y BPA) es la de Stock Analysis, cuyos ingresos incluyen otros ingresos y superan en ≈0,4 % a las ventas que publica Nestlé (89.885 frente a 89.490 M en 2025). La deuda del puente es la deuda neta que publica Nestlé a 30-jun-26 (56.300 M), que incluye los arrendamientos. L'Oréal (20,16 %) se valora a precio de mercado con un tipo EUR/CHF de 0,93 de julio. El BPA del objetivo a 12 meses y el PER histórico están en base subyacente (la que publica Nestlé, sin reestructuración ni deterioros). Precio: cierre del 13-oct-26, porque la sesión del 14 no había cerrado.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Nestlé S.A. (NESN)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77,30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(70,29 – 87,09)</c:v>
                </c:pt>
                <c:pt idx="1">
                  <c:v>Precio objetivo de los analistas (69,00 – 102,00)</c:v>
                </c:pt>
                <c:pt idx="2">
                  <c:v>Comparables: EV/EBITDA NTM (42,90 – 67,75)</c:v>
                </c:pt>
                <c:pt idx="3">
                  <c:v>Comparables: PER NTM (50,34 – 77,64)</c:v>
                </c:pt>
                <c:pt idx="4">
                  <c:v>DCF (WACC y g ± 0,5) (82,73 – 133,33)</c:v>
                </c:pt>
                <c:pt idx="5">
                  <c:v>Escenarios (bajista – alcista) (79,56 – 112,20)</c:v>
                </c:pt>
                <c:pt idx="6">
                  <c:v>DCF con la prima implícita del mercado (4,2 %)</c:v>
                </c:pt>
                <c:pt idx="7">
                  <c:v>Precio actual (77,30)</c:v>
                </c:pt>
              </c:strCache>
            </c:strRef>
          </c:cat>
          <c:val>
            <c:numRef>
              <c:f>Hoja1!$B$2:$B$9</c:f>
              <c:numCache>
                <c:formatCode>#,##0</c:formatCode>
                <c:ptCount val="8"/>
                <c:pt idx="0">
                  <c:v>70.29</c:v>
                </c:pt>
                <c:pt idx="1">
                  <c:v>69</c:v>
                </c:pt>
                <c:pt idx="2">
                  <c:v>42.9</c:v>
                </c:pt>
                <c:pt idx="3">
                  <c:v>50.34</c:v>
                </c:pt>
                <c:pt idx="4">
                  <c:v>82.73</c:v>
                </c:pt>
                <c:pt idx="5">
                  <c:v>79.56</c:v>
                </c:pt>
                <c:pt idx="6">
                  <c:v>106.28</c:v>
                </c:pt>
                <c:pt idx="7">
                  <c:v>76.91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(70,29 – 87,09)</c:v>
                </c:pt>
                <c:pt idx="1">
                  <c:v>Precio objetivo de los analistas (69,00 – 102,00)</c:v>
                </c:pt>
                <c:pt idx="2">
                  <c:v>Comparables: EV/EBITDA NTM (42,90 – 67,75)</c:v>
                </c:pt>
                <c:pt idx="3">
                  <c:v>Comparables: PER NTM (50,34 – 77,64)</c:v>
                </c:pt>
                <c:pt idx="4">
                  <c:v>DCF (WACC y g ± 0,5) (82,73 – 133,33)</c:v>
                </c:pt>
                <c:pt idx="5">
                  <c:v>Escenarios (bajista – alcista) (79,56 – 112,20)</c:v>
                </c:pt>
                <c:pt idx="6">
                  <c:v>DCF con la prima implícita del mercado (4,2 %)</c:v>
                </c:pt>
                <c:pt idx="7">
                  <c:v>Precio actual (77,30)</c:v>
                </c:pt>
              </c:strCache>
            </c:strRef>
          </c:cat>
          <c:val>
            <c:numRef>
              <c:f>Hoja1!$C$2:$C$9</c:f>
              <c:numCache>
                <c:formatCode>#,##0</c:formatCode>
                <c:ptCount val="8"/>
                <c:pt idx="0">
                  <c:v>16.799999999999997</c:v>
                </c:pt>
                <c:pt idx="1">
                  <c:v>33</c:v>
                </c:pt>
                <c:pt idx="2">
                  <c:v>24.85</c:v>
                </c:pt>
                <c:pt idx="3">
                  <c:v>27.299999999999997</c:v>
                </c:pt>
                <c:pt idx="4">
                  <c:v>50.60000000000001</c:v>
                </c:pt>
                <c:pt idx="5">
                  <c:v>32.64</c:v>
                </c:pt>
                <c:pt idx="6">
                  <c:v>40.33000000000001</c:v>
                </c:pt>
                <c:pt idx="7">
                  <c:v>0.7800000000000011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Américas (zona AMS, 1S26)</c:v>
                </c:pt>
                <c:pt idx="1">
                  <c:v>Asia, Oceanía y África (1S26)</c:v>
                </c:pt>
                <c:pt idx="2">
                  <c:v>Europa (1S26)</c:v>
                </c:pt>
                <c:pt idx="3">
                  <c:v>Nespresso, aguas y otros negocios (1S26)</c:v>
                </c:pt>
              </c:strCache>
            </c:strRef>
          </c:cat>
          <c:val>
            <c:numRef>
              <c:f>Hoja1!$B$2:$B$5</c:f>
              <c:numCache>
                <c:formatCode>0"%"</c:formatCode>
                <c:ptCount val="4"/>
                <c:pt idx="0">
                  <c:v>43.3</c:v>
                </c:pt>
                <c:pt idx="1">
                  <c:v>24.1</c:v>
                </c:pt>
                <c:pt idx="2">
                  <c:v>21</c:v>
                </c:pt>
                <c:pt idx="3">
                  <c:v>11.6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3282</c:v>
                </c:pt>
                <c:pt idx="1">
                  <c:v>4475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Nestlé</c:v>
                </c:pt>
                <c:pt idx="1">
                  <c:v>Unilever</c:v>
                </c:pt>
                <c:pt idx="2">
                  <c:v>Danone</c:v>
                </c:pt>
                <c:pt idx="3">
                  <c:v>Mondelez</c:v>
                </c:pt>
                <c:pt idx="4">
                  <c:v>Mars</c:v>
                </c:pt>
                <c:pt idx="5">
                  <c:v>Kraft Heinz</c:v>
                </c:pt>
              </c:strCache>
            </c:strRef>
          </c:cat>
          <c:val>
            <c:numRef>
              <c:f>Hoja1!$B$2:$B$7</c:f>
              <c:numCache>
                <c:formatCode>0.0"%"</c:formatCode>
                <c:ptCount val="6"/>
                <c:pt idx="0">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87470</c:v>
                </c:pt>
                <c:pt idx="1">
                  <c:v>94780</c:v>
                </c:pt>
                <c:pt idx="2">
                  <c:v>93351</c:v>
                </c:pt>
                <c:pt idx="3">
                  <c:v>91720</c:v>
                </c:pt>
                <c:pt idx="4">
                  <c:v>89885</c:v>
                </c:pt>
                <c:pt idx="5">
                  <c:v>88986</c:v>
                </c:pt>
                <c:pt idx="6">
                  <c:v>87206</c:v>
                </c:pt>
                <c:pt idx="7">
                  <c:v>88951</c:v>
                </c:pt>
                <c:pt idx="8">
                  <c:v>90730</c:v>
                </c:pt>
                <c:pt idx="9">
                  <c:v>92363</c:v>
                </c:pt>
                <c:pt idx="10">
                  <c:v>93748</c:v>
                </c:pt>
                <c:pt idx="11">
                  <c:v>94967</c:v>
                </c:pt>
                <c:pt idx="12">
                  <c:v>95917</c:v>
                </c:pt>
                <c:pt idx="13">
                  <c:v>96684</c:v>
                </c:pt>
                <c:pt idx="14">
                  <c:v>97361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15119</c:v>
                </c:pt>
                <c:pt idx="1">
                  <c:v>15867</c:v>
                </c:pt>
                <c:pt idx="2">
                  <c:v>17521</c:v>
                </c:pt>
                <c:pt idx="3">
                  <c:v>18306</c:v>
                </c:pt>
                <c:pt idx="4">
                  <c:v>15910</c:v>
                </c:pt>
                <c:pt idx="5">
                  <c:v>17174</c:v>
                </c:pt>
                <c:pt idx="6">
                  <c:v>17092</c:v>
                </c:pt>
                <c:pt idx="7">
                  <c:v>17790</c:v>
                </c:pt>
                <c:pt idx="8">
                  <c:v>18327</c:v>
                </c:pt>
                <c:pt idx="9">
                  <c:v>18657</c:v>
                </c:pt>
                <c:pt idx="10">
                  <c:v>18937</c:v>
                </c:pt>
                <c:pt idx="11">
                  <c:v>19183</c:v>
                </c:pt>
                <c:pt idx="12">
                  <c:v>19375</c:v>
                </c:pt>
                <c:pt idx="13">
                  <c:v>19530</c:v>
                </c:pt>
                <c:pt idx="14">
                  <c:v>19667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17.3</c:v>
                </c:pt>
                <c:pt idx="1">
                  <c:v>16.7</c:v>
                </c:pt>
                <c:pt idx="2">
                  <c:v>18.8</c:v>
                </c:pt>
                <c:pt idx="3">
                  <c:v>20</c:v>
                </c:pt>
                <c:pt idx="4">
                  <c:v>17.7</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13.4</c:v>
                </c:pt>
                <c:pt idx="1">
                  <c:v>13</c:v>
                </c:pt>
                <c:pt idx="2">
                  <c:v>15.1</c:v>
                </c:pt>
                <c:pt idx="3">
                  <c:v>16.1</c:v>
                </c:pt>
                <c:pt idx="4">
                  <c:v>13.7</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19.3</c:v>
                </c:pt>
                <c:pt idx="1">
                  <c:v>9.8</c:v>
                </c:pt>
                <c:pt idx="2">
                  <c:v>12</c:v>
                </c:pt>
                <c:pt idx="3">
                  <c:v>11.9</c:v>
                </c:pt>
                <c:pt idx="4">
                  <c:v>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Hoja1!$A$2:$A$3</c:f>
              <c:strCache>
                <c:ptCount val="2"/>
                <c:pt idx="0">
                  <c:v>1T26</c:v>
                </c:pt>
                <c:pt idx="1">
                  <c:v>2T26</c:v>
                </c:pt>
              </c:strCache>
            </c:strRef>
          </c:cat>
          <c:val>
            <c:numRef>
              <c:f>Hoja1!$B$2:$B$3</c:f>
              <c:numCache>
                <c:formatCode>0.0"%"</c:formatCode>
                <c:ptCount val="2"/>
                <c:pt idx="0">
                  <c:v>-5.7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Hoja1!$A$2:$A$3</c:f>
              <c:strCache>
                <c:ptCount val="2"/>
                <c:pt idx="0">
                  <c:v>1T26</c:v>
                </c:pt>
                <c:pt idx="1">
                  <c:v>2T26</c:v>
                </c:pt>
              </c:strCache>
            </c:strRef>
          </c:cat>
          <c:val>
            <c:numRef>
              <c:f>Hoja1!$C$2:$C$3</c:f>
              <c:numCache>
                <c:formatCode>0.0"%"</c:formatCode>
                <c:ptCount val="2"/>
                <c:pt idx="0">
                  <c:v>3.5</c:v>
                </c:pt>
                <c:pt idx="1">
                  <c:v>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8984</c:v>
                </c:pt>
                <c:pt idx="1">
                  <c:v>6812</c:v>
                </c:pt>
                <c:pt idx="2">
                  <c:v>10227</c:v>
                </c:pt>
                <c:pt idx="3">
                  <c:v>11037</c:v>
                </c:pt>
                <c:pt idx="4">
                  <c:v>11377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16905</c:v>
                </c:pt>
                <c:pt idx="1">
                  <c:v>9270</c:v>
                </c:pt>
                <c:pt idx="2">
                  <c:v>11209</c:v>
                </c:pt>
                <c:pt idx="3">
                  <c:v>10884</c:v>
                </c:pt>
                <c:pt idx="4">
                  <c:v>9033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10.2</c:v>
                </c:pt>
                <c:pt idx="1">
                  <c:v>14.5</c:v>
                </c:pt>
                <c:pt idx="2">
                  <c:v>50.2</c:v>
                </c:pt>
                <c:pt idx="3">
                  <c:v>23.9</c:v>
                </c:pt>
                <c:pt idx="4">
                  <c:v>10.4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4.5</c:v>
                </c:pt>
                <c:pt idx="1">
                  <c:v>4.5</c:v>
                </c:pt>
                <c:pt idx="2">
                  <c:v>4.5</c:v>
                </c:pt>
                <c:pt idx="3">
                  <c:v>4.5</c:v>
                </c:pt>
                <c:pt idx="4">
                  <c:v>4.5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31.8</c:v>
                </c:pt>
                <c:pt idx="1">
                  <c:v>19.5</c:v>
                </c:pt>
                <c:pt idx="2">
                  <c:v>53.4</c:v>
                </c:pt>
                <c:pt idx="3">
                  <c:v>59.3</c:v>
                </c:pt>
                <c:pt idx="4">
                  <c:v>25.9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2.16</c:v>
                </c:pt>
                <c:pt idx="1">
                  <c:v>0</c:v>
                </c:pt>
                <c:pt idx="2">
                  <c:v>0</c:v>
                </c:pt>
                <c:pt idx="3">
                  <c:v>3.04</c:v>
                </c:pt>
                <c:pt idx="4">
                  <c:v>3.25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-15.9</c:v>
                </c:pt>
                <c:pt idx="1">
                  <c:v>-9</c:v>
                </c:pt>
                <c:pt idx="2">
                  <c:v>-23.2</c:v>
                </c:pt>
                <c:pt idx="3">
                  <c:v>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Nestlé</c:v>
                </c:pt>
                <c:pt idx="1">
                  <c:v>Danone</c:v>
                </c:pt>
                <c:pt idx="2">
                  <c:v>Unilever</c:v>
                </c:pt>
                <c:pt idx="3">
                  <c:v>Mondelez</c:v>
                </c:pt>
                <c:pt idx="4">
                  <c:v>General Mills</c:v>
                </c:pt>
                <c:pt idx="5">
                  <c:v>Kraft Heinz</c:v>
                </c:pt>
              </c:strCache>
            </c:strRef>
          </c:cat>
          <c:val>
            <c:numRef>
              <c:f>Hoja1!$B$2:$B$7</c:f>
              <c:numCache>
                <c:formatCode>0.0"x"</c:formatCode>
                <c:ptCount val="6"/>
                <c:pt idx="0">
                  <c:v>12.6</c:v>
                </c:pt>
                <c:pt idx="3">
                  <c:v>14</c:v>
                </c:pt>
                <c:pt idx="4">
                  <c:v>6.6</c:v>
                </c:pt>
                <c:pt idx="5">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9908</c:v>
                </c:pt>
                <c:pt idx="1">
                  <c:v>9914</c:v>
                </c:pt>
                <c:pt idx="2">
                  <c:v>10567</c:v>
                </c:pt>
                <c:pt idx="3">
                  <c:v>10920</c:v>
                </c:pt>
                <c:pt idx="4">
                  <c:v>11117</c:v>
                </c:pt>
                <c:pt idx="5">
                  <c:v>11284</c:v>
                </c:pt>
                <c:pt idx="6">
                  <c:v>11430</c:v>
                </c:pt>
                <c:pt idx="7">
                  <c:v>11545</c:v>
                </c:pt>
                <c:pt idx="8">
                  <c:v>11637</c:v>
                </c:pt>
                <c:pt idx="9">
                  <c:v>11718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83581</c:v>
                </c:pt>
                <c:pt idx="1">
                  <c:v>197427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77,30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79.56</c:v>
                </c:pt>
                <c:pt idx="1">
                  <c:v>101.74</c:v>
                </c:pt>
                <c:pt idx="2">
                  <c:v>112.2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77,30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(70,29 – 87,09)</c:v>
                </c:pt>
                <c:pt idx="1">
                  <c:v>Precio objetivo de los analistas (69,00 – 102,00)</c:v>
                </c:pt>
                <c:pt idx="2">
                  <c:v>Comparables: EV/EBITDA NTM (42,90 – 67,75)</c:v>
                </c:pt>
                <c:pt idx="3">
                  <c:v>Comparables: PER NTM (50,34 – 77,64)</c:v>
                </c:pt>
                <c:pt idx="4">
                  <c:v>DCF (WACC y g ± 0,5) (82,73 – 133,33)</c:v>
                </c:pt>
                <c:pt idx="5">
                  <c:v>Escenarios (bajista – alcista) (79,56 – 112,20)</c:v>
                </c:pt>
                <c:pt idx="6">
                  <c:v>DCF con la prima implícita del mercado (4,2 %)</c:v>
                </c:pt>
                <c:pt idx="7">
                  <c:v>Precio actual (77,30)</c:v>
                </c:pt>
              </c:strCache>
            </c:strRef>
          </c:cat>
          <c:val>
            <c:numRef>
              <c:f>Hoja1!$B$2:$B$9</c:f>
              <c:numCache>
                <c:formatCode>#,##0</c:formatCode>
                <c:ptCount val="8"/>
                <c:pt idx="0">
                  <c:v>70.29</c:v>
                </c:pt>
                <c:pt idx="1">
                  <c:v>69</c:v>
                </c:pt>
                <c:pt idx="2">
                  <c:v>42.9</c:v>
                </c:pt>
                <c:pt idx="3">
                  <c:v>50.34</c:v>
                </c:pt>
                <c:pt idx="4">
                  <c:v>82.73</c:v>
                </c:pt>
                <c:pt idx="5">
                  <c:v>79.56</c:v>
                </c:pt>
                <c:pt idx="6">
                  <c:v>106.28</c:v>
                </c:pt>
                <c:pt idx="7">
                  <c:v>76.91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(70,29 – 87,09)</c:v>
                </c:pt>
                <c:pt idx="1">
                  <c:v>Precio objetivo de los analistas (69,00 – 102,00)</c:v>
                </c:pt>
                <c:pt idx="2">
                  <c:v>Comparables: EV/EBITDA NTM (42,90 – 67,75)</c:v>
                </c:pt>
                <c:pt idx="3">
                  <c:v>Comparables: PER NTM (50,34 – 77,64)</c:v>
                </c:pt>
                <c:pt idx="4">
                  <c:v>DCF (WACC y g ± 0,5) (82,73 – 133,33)</c:v>
                </c:pt>
                <c:pt idx="5">
                  <c:v>Escenarios (bajista – alcista) (79,56 – 112,20)</c:v>
                </c:pt>
                <c:pt idx="6">
                  <c:v>DCF con la prima implícita del mercado (4,2 %)</c:v>
                </c:pt>
                <c:pt idx="7">
                  <c:v>Precio actual (77,30)</c:v>
                </c:pt>
              </c:strCache>
            </c:strRef>
          </c:cat>
          <c:val>
            <c:numRef>
              <c:f>Hoja1!$C$2:$C$9</c:f>
              <c:numCache>
                <c:formatCode>#,##0</c:formatCode>
                <c:ptCount val="8"/>
                <c:pt idx="0">
                  <c:v>16.799999999999997</c:v>
                </c:pt>
                <c:pt idx="1">
                  <c:v>33</c:v>
                </c:pt>
                <c:pt idx="2">
                  <c:v>24.85</c:v>
                </c:pt>
                <c:pt idx="3">
                  <c:v>27.299999999999997</c:v>
                </c:pt>
                <c:pt idx="4">
                  <c:v>50.60000000000001</c:v>
                </c:pt>
                <c:pt idx="5">
                  <c:v>32.64</c:v>
                </c:pt>
                <c:pt idx="6">
                  <c:v>40.33000000000001</c:v>
                </c:pt>
                <c:pt idx="7">
                  <c:v>0.7800000000000011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