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fontTable+xml" PartName="/word/fontTable.xml"/>
  <Override ContentType="application/vnd.openxmlformats-officedocument.theme+xml" PartName="/word/theme/theme1.xml"/>
  <Override ContentType="application/vnd.openxmlformats-officedocument.wordprocessingml.header+xml" PartName="/word/header1.xml"/>
  <Override ContentType="application/vnd.openxmlformats-officedocument.wordprocessingml.header+xml" PartName="/word/header2.xml"/>
  <Override ContentType="application/vnd.openxmlformats-officedocument.wordprocessingml.footer+xml" PartName="/word/footer1.xml"/>
  <Override ContentType="application/vnd.openxmlformats-officedocument.wordprocessingml.footer+xml" PartName="/word/footer2.xml"/>
  <Default Extension="xlsx" ContentType="application/vnd.openxmlformats-officedocument.spreadsheetml.sheet"/>
  <Override PartName="/word/charts/chart1.xml" ContentType="application/vnd.openxmlformats-officedocument.drawingml.chart+xml"/>
  <Override PartName="/word/charts/chart2.xml" ContentType="application/vnd.openxmlformats-officedocument.drawingml.chart+xml"/>
  <Override PartName="/word/charts/chart3.xml" ContentType="application/vnd.openxmlformats-officedocument.drawingml.chart+xml"/>
  <Override PartName="/word/charts/chart4.xml" ContentType="application/vnd.openxmlformats-officedocument.drawingml.chart+xml"/>
  <Override PartName="/word/charts/chart5.xml" ContentType="application/vnd.openxmlformats-officedocument.drawingml.chart+xml"/>
  <Override PartName="/word/charts/chart6.xml" ContentType="application/vnd.openxmlformats-officedocument.drawingml.chart+xml"/>
  <Override PartName="/word/charts/chart7.xml" ContentType="application/vnd.openxmlformats-officedocument.drawingml.chart+xml"/>
  <Override PartName="/word/charts/chart8.xml" ContentType="application/vnd.openxmlformats-officedocument.drawingml.chart+xml"/>
  <Override PartName="/word/charts/chart9.xml" ContentType="application/vnd.openxmlformats-officedocument.drawingml.chart+xml"/>
  <Override PartName="/word/charts/chart10.xml" ContentType="application/vnd.openxmlformats-officedocument.drawingml.chart+xml"/>
  <Override PartName="/word/charts/chart11.xml" ContentType="application/vnd.openxmlformats-officedocument.drawingml.chart+xml"/>
  <Override PartName="/word/charts/chart12.xml" ContentType="application/vnd.openxmlformats-officedocument.drawingml.chart+xml"/>
  <Override PartName="/word/charts/chart13.xml" ContentType="application/vnd.openxmlformats-officedocument.drawingml.chart+xml"/>
  <Override PartName="/word/charts/chart14.xml" ContentType="application/vnd.openxmlformats-officedocument.drawingml.chart+xml"/>
  <Override PartName="/word/charts/chart15.xml" ContentType="application/vnd.openxmlformats-officedocument.drawingml.chart+xml"/>
  <Override PartName="/word/charts/chart16.xml" ContentType="application/vnd.openxmlformats-officedocument.drawingml.chart+xml"/>
  <Override PartName="/word/charts/chart17.xml" ContentType="application/vnd.openxmlformats-officedocument.drawingml.chart+xml"/>
  <Override PartName="/word/charts/chart18.xml" ContentType="application/vnd.openxmlformats-officedocument.drawingml.chart+xml"/>
  <Override PartName="/word/charts/chart19.xml" ContentType="application/vnd.openxmlformats-officedocument.drawingml.chart+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80" w:before="600"/>
      </w:pPr>
      <w:r>
        <w:rPr>
          <w:rFonts w:ascii="Calibri" w:cs="Calibri" w:eastAsia="Calibri" w:hAnsi="Calibri"/>
          <w:b/>
          <w:bCs/>
          <w:color w:val="2A78D6"/>
          <w:spacing w:val="40"/>
          <w:sz w:val="18"/>
          <w:szCs w:val="18"/>
        </w:rPr>
        <w:t xml:space="preserve">ANÁLISIS DE EMPRESA COTIZADA</w:t>
      </w:r>
    </w:p>
    <w:p>
      <w:pPr>
        <w:pStyle w:val="Title"/>
      </w:pPr>
      <w:r>
        <w:t xml:space="preserve">Novartis AG</w:t>
      </w:r>
    </w:p>
    <w:p>
      <w:pPr>
        <w:spacing w:after="60"/>
        <w:rPr>
          <w:color w:val="52514E"/>
          <w:sz w:val="22"/>
          <w:szCs w:val="22"/>
        </w:rPr>
      </w:pPr>
      <w:r>
        <w:rPr>
          <w:color w:val="52514E"/>
          <w:sz w:val="22"/>
          <w:szCs w:val="22"/>
        </w:rPr>
        <w:t xml:space="preserve">NOVN · SIX Swiss Exchange (ADR NVS en la NYSE) · ISIN CH0012005267 · Salud</w:t>
      </w:r>
    </w:p>
    <w:p>
      <w:pPr>
        <w:spacing w:after="360"/>
        <w:rPr>
          <w:color w:val="52514E"/>
          <w:sz w:val="18"/>
          <w:szCs w:val="18"/>
        </w:rPr>
      </w:pPr>
      <w:r>
        <w:rPr>
          <w:color w:val="52514E"/>
          <w:sz w:val="18"/>
          <w:szCs w:val="18"/>
        </w:rPr>
        <w:t xml:space="preserve">Fecha de corte de los datos: </w:t>
      </w:r>
      <w:r>
        <w:rPr>
          <w:b/>
          <w:bCs/>
          <w:color w:val="52514E"/>
          <w:sz w:val="18"/>
          <w:szCs w:val="18"/>
        </w:rPr>
        <w:t xml:space="preserve">14 oct 2026</w:t>
      </w:r>
      <w:r>
        <w:rPr>
          <w:color w:val="52514E"/>
          <w:sz w:val="18"/>
          <w:szCs w:val="18"/>
        </w:rPr>
        <w:t xml:space="preserve"> · Divisa: </w:t>
      </w:r>
      <w:r>
        <w:rPr>
          <w:b/>
          <w:bCs/>
          <w:color w:val="52514E"/>
          <w:sz w:val="18"/>
          <w:szCs w:val="18"/>
        </w:rPr>
        <w:t xml:space="preserve">USD</w:t>
      </w:r>
      <w:r>
        <w:rPr>
          <w:color w:val="52514E"/>
          <w:sz w:val="18"/>
          <w:szCs w:val="18"/>
        </w:rPr>
        <w:t xml:space="preserve"> · Cifras en </w:t>
      </w:r>
      <w:r>
        <w:rPr>
          <w:b/>
          <w:bCs/>
          <w:color w:val="52514E"/>
          <w:sz w:val="18"/>
          <w:szCs w:val="18"/>
        </w:rPr>
        <w:t xml:space="preserve">millones</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2409"/>
        <w:gridCol w:w="2409"/>
        <w:gridCol w:w="2409"/>
        <w:gridCol w:w="2411"/>
      </w:tblGrid>
      <w:tr>
        <w:trPr>
          <w:cantSplit/>
        </w:trPr>
        <w:tc>
          <w:tcPr>
            <w:tcW w:type="dxa" w:w="2409"/>
            <w:tcBorders>
              <w:top w:val="single" w:color="FFFFFF" w:sz="24"/>
              <w:left w:val="single" w:color="FFFFFF" w:sz="24"/>
              <w:bottom w:val="single" w:color="FFFFFF" w:sz="24"/>
              <w:right w:val="single" w:color="FFFFFF" w:sz="24"/>
            </w:tcBorders>
            <w:shd w:fill="F3F2EE" w:color="auto" w:val="clear"/>
            <w:tcMar>
              <w:top w:type="dxa" w:w="100"/>
              <w:left w:type="dxa" w:w="140"/>
              <w:bottom w:type="dxa" w:w="100"/>
              <w:right w:type="dxa" w:w="100"/>
            </w:tcMar>
          </w:tcPr>
          <w:p>
            <w:pPr>
              <w:spacing w:after="20"/>
            </w:pPr>
            <w:r>
              <w:rPr>
                <w:rFonts w:ascii="Calibri" w:cs="Calibri" w:eastAsia="Calibri" w:hAnsi="Calibri"/>
                <w:color w:val="52514E"/>
                <w:sz w:val="15"/>
                <w:szCs w:val="15"/>
              </w:rPr>
              <w:t xml:space="preserve">Recomendación</w:t>
            </w:r>
          </w:p>
          <w:p>
            <w:pPr>
              <w:spacing w:after="0"/>
            </w:pPr>
            <w:r>
              <w:rPr>
                <w:rFonts w:ascii="Calibri" w:cs="Calibri" w:eastAsia="Calibri" w:hAnsi="Calibri"/>
                <w:b/>
                <w:bCs/>
                <w:color w:val="1F2A3C"/>
                <w:sz w:val="26"/>
                <w:szCs w:val="26"/>
              </w:rPr>
              <w:t xml:space="preserve">Mantener</w:t>
            </w:r>
          </w:p>
        </w:tc>
        <w:tc>
          <w:tcPr>
            <w:tcW w:type="dxa" w:w="2409"/>
            <w:tcBorders>
              <w:top w:val="single" w:color="FFFFFF" w:sz="24"/>
              <w:left w:val="single" w:color="FFFFFF" w:sz="24"/>
              <w:bottom w:val="single" w:color="FFFFFF" w:sz="24"/>
              <w:right w:val="single" w:color="FFFFFF" w:sz="24"/>
            </w:tcBorders>
            <w:shd w:fill="F3F2EE" w:color="auto" w:val="clear"/>
            <w:tcMar>
              <w:top w:type="dxa" w:w="100"/>
              <w:left w:type="dxa" w:w="140"/>
              <w:bottom w:type="dxa" w:w="100"/>
              <w:right w:type="dxa" w:w="100"/>
            </w:tcMar>
          </w:tcPr>
          <w:p>
            <w:pPr>
              <w:spacing w:after="20"/>
            </w:pPr>
            <w:r>
              <w:rPr>
                <w:rFonts w:ascii="Calibri" w:cs="Calibri" w:eastAsia="Calibri" w:hAnsi="Calibri"/>
                <w:color w:val="52514E"/>
                <w:sz w:val="15"/>
                <w:szCs w:val="15"/>
              </w:rPr>
              <w:t xml:space="preserve">Precio</w:t>
            </w:r>
          </w:p>
          <w:p>
            <w:pPr>
              <w:spacing w:after="0"/>
            </w:pPr>
            <w:r>
              <w:rPr>
                <w:rFonts w:ascii="Calibri" w:cs="Calibri" w:eastAsia="Calibri" w:hAnsi="Calibri"/>
                <w:b/>
                <w:bCs/>
                <w:color w:val="1F2A3C"/>
                <w:sz w:val="26"/>
                <w:szCs w:val="26"/>
              </w:rPr>
              <w:t xml:space="preserve">140,93 USD (112,74 CHF)</w:t>
            </w:r>
          </w:p>
        </w:tc>
        <w:tc>
          <w:tcPr>
            <w:tcW w:type="dxa" w:w="2409"/>
            <w:tcBorders>
              <w:top w:val="single" w:color="FFFFFF" w:sz="24"/>
              <w:left w:val="single" w:color="FFFFFF" w:sz="24"/>
              <w:bottom w:val="single" w:color="FFFFFF" w:sz="24"/>
              <w:right w:val="single" w:color="FFFFFF" w:sz="24"/>
            </w:tcBorders>
            <w:shd w:fill="F3F2EE" w:color="auto" w:val="clear"/>
            <w:tcMar>
              <w:top w:type="dxa" w:w="100"/>
              <w:left w:type="dxa" w:w="140"/>
              <w:bottom w:type="dxa" w:w="100"/>
              <w:right w:type="dxa" w:w="100"/>
            </w:tcMar>
          </w:tcPr>
          <w:p>
            <w:pPr>
              <w:spacing w:after="20"/>
            </w:pPr>
            <w:r>
              <w:rPr>
                <w:rFonts w:ascii="Calibri" w:cs="Calibri" w:eastAsia="Calibri" w:hAnsi="Calibri"/>
                <w:color w:val="52514E"/>
                <w:sz w:val="15"/>
                <w:szCs w:val="15"/>
              </w:rPr>
              <w:t xml:space="preserve">Objetivo 12 m</w:t>
            </w:r>
          </w:p>
          <w:p>
            <w:pPr>
              <w:spacing w:after="0"/>
            </w:pPr>
            <w:r>
              <w:rPr>
                <w:rFonts w:ascii="Calibri" w:cs="Calibri" w:eastAsia="Calibri" w:hAnsi="Calibri"/>
                <w:b/>
                <w:bCs/>
                <w:color w:val="1F2A3C"/>
                <w:sz w:val="26"/>
                <w:szCs w:val="26"/>
              </w:rPr>
              <w:t xml:space="preserve">140,50 USD (112,40 CHF)</w:t>
            </w:r>
          </w:p>
        </w:tc>
        <w:tc>
          <w:tcPr>
            <w:tcW w:type="dxa" w:w="2411"/>
            <w:tcBorders>
              <w:top w:val="single" w:color="FFFFFF" w:sz="24"/>
              <w:left w:val="single" w:color="FFFFFF" w:sz="24"/>
              <w:bottom w:val="single" w:color="FFFFFF" w:sz="24"/>
              <w:right w:val="single" w:color="FFFFFF" w:sz="24"/>
            </w:tcBorders>
            <w:shd w:fill="F3F2EE" w:color="auto" w:val="clear"/>
            <w:tcMar>
              <w:top w:type="dxa" w:w="100"/>
              <w:left w:type="dxa" w:w="140"/>
              <w:bottom w:type="dxa" w:w="100"/>
              <w:right w:type="dxa" w:w="100"/>
            </w:tcMar>
          </w:tcPr>
          <w:p>
            <w:pPr>
              <w:spacing w:after="20"/>
            </w:pPr>
            <w:r>
              <w:rPr>
                <w:rFonts w:ascii="Calibri" w:cs="Calibri" w:eastAsia="Calibri" w:hAnsi="Calibri"/>
                <w:color w:val="52514E"/>
                <w:sz w:val="15"/>
                <w:szCs w:val="15"/>
              </w:rPr>
              <w:t xml:space="preserve">Rentabilidad 12 m</w:t>
            </w:r>
          </w:p>
          <w:p>
            <w:pPr>
              <w:spacing w:after="0"/>
            </w:pPr>
            <w:r>
              <w:rPr>
                <w:rFonts w:ascii="Calibri" w:cs="Calibri" w:eastAsia="Calibri" w:hAnsi="Calibri"/>
                <w:b/>
                <w:bCs/>
                <w:color w:val="1F2A3C"/>
                <w:sz w:val="26"/>
                <w:szCs w:val="26"/>
              </w:rPr>
              <w:t xml:space="preserve">+3,0 % (base +9,0 %)</w:t>
            </w:r>
          </w:p>
        </w:tc>
      </w:tr>
      <w:tr>
        <w:trPr>
          <w:cantSplit/>
        </w:trPr>
        <w:tc>
          <w:tcPr>
            <w:tcW w:type="dxa" w:w="2409"/>
            <w:tcBorders>
              <w:top w:val="single" w:color="FFFFFF" w:sz="24"/>
              <w:left w:val="single" w:color="FFFFFF" w:sz="24"/>
              <w:bottom w:val="single" w:color="FFFFFF" w:sz="24"/>
              <w:right w:val="single" w:color="FFFFFF" w:sz="24"/>
            </w:tcBorders>
            <w:shd w:fill="F3F2EE" w:color="auto" w:val="clear"/>
            <w:tcMar>
              <w:top w:type="dxa" w:w="100"/>
              <w:left w:type="dxa" w:w="140"/>
              <w:bottom w:type="dxa" w:w="100"/>
              <w:right w:type="dxa" w:w="100"/>
            </w:tcMar>
          </w:tcPr>
          <w:p>
            <w:pPr>
              <w:spacing w:after="20"/>
            </w:pPr>
            <w:r>
              <w:rPr>
                <w:rFonts w:ascii="Calibri" w:cs="Calibri" w:eastAsia="Calibri" w:hAnsi="Calibri"/>
                <w:color w:val="52514E"/>
                <w:sz w:val="15"/>
                <w:szCs w:val="15"/>
              </w:rPr>
              <w:t xml:space="preserve">Valor intrínseco</w:t>
            </w:r>
          </w:p>
          <w:p>
            <w:pPr>
              <w:spacing w:after="0"/>
            </w:pPr>
            <w:r>
              <w:rPr>
                <w:rFonts w:ascii="Calibri" w:cs="Calibri" w:eastAsia="Calibri" w:hAnsi="Calibri"/>
                <w:b/>
                <w:bCs/>
                <w:color w:val="1F2A3C"/>
                <w:sz w:val="26"/>
                <w:szCs w:val="26"/>
              </w:rPr>
              <w:t xml:space="preserve">115,63 USD (92,50 CHF) · mercado 128,19</w:t>
            </w:r>
          </w:p>
        </w:tc>
        <w:tc>
          <w:tcPr>
            <w:tcW w:type="dxa" w:w="2409"/>
            <w:tcBorders>
              <w:top w:val="single" w:color="FFFFFF" w:sz="24"/>
              <w:left w:val="single" w:color="FFFFFF" w:sz="24"/>
              <w:bottom w:val="single" w:color="FFFFFF" w:sz="24"/>
              <w:right w:val="single" w:color="FFFFFF" w:sz="24"/>
            </w:tcBorders>
            <w:shd w:fill="F3F2EE" w:color="auto" w:val="clear"/>
            <w:tcMar>
              <w:top w:type="dxa" w:w="100"/>
              <w:left w:type="dxa" w:w="140"/>
              <w:bottom w:type="dxa" w:w="100"/>
              <w:right w:type="dxa" w:w="100"/>
            </w:tcMar>
          </w:tcPr>
          <w:p>
            <w:pPr>
              <w:spacing w:after="20"/>
            </w:pPr>
            <w:r>
              <w:rPr>
                <w:rFonts w:ascii="Calibri" w:cs="Calibri" w:eastAsia="Calibri" w:hAnsi="Calibri"/>
                <w:color w:val="52514E"/>
                <w:sz w:val="15"/>
                <w:szCs w:val="15"/>
              </w:rPr>
              <w:t xml:space="preserve">Convicción</w:t>
            </w:r>
          </w:p>
          <w:p>
            <w:pPr>
              <w:spacing w:after="0"/>
            </w:pPr>
            <w:r>
              <w:rPr>
                <w:rFonts w:ascii="Calibri" w:cs="Calibri" w:eastAsia="Calibri" w:hAnsi="Calibri"/>
                <w:b/>
                <w:bCs/>
                <w:color w:val="1F2A3C"/>
                <w:sz w:val="26"/>
                <w:szCs w:val="26"/>
              </w:rPr>
              <w:t xml:space="preserve">Media</w:t>
            </w:r>
          </w:p>
        </w:tc>
        <w:tc>
          <w:tcPr>
            <w:tcW w:type="dxa" w:w="2409"/>
            <w:tcBorders>
              <w:top w:val="single" w:color="FFFFFF" w:sz="24"/>
              <w:left w:val="single" w:color="FFFFFF" w:sz="24"/>
              <w:bottom w:val="single" w:color="FFFFFF" w:sz="24"/>
              <w:right w:val="single" w:color="FFFFFF" w:sz="24"/>
            </w:tcBorders>
            <w:shd w:fill="F3F2EE" w:color="auto" w:val="clear"/>
            <w:tcMar>
              <w:top w:type="dxa" w:w="100"/>
              <w:left w:type="dxa" w:w="140"/>
              <w:bottom w:type="dxa" w:w="100"/>
              <w:right w:type="dxa" w:w="100"/>
            </w:tcMar>
          </w:tcPr>
          <w:p>
            <w:pPr>
              <w:spacing w:after="20"/>
            </w:pPr>
            <w:r>
              <w:rPr>
                <w:rFonts w:ascii="Calibri" w:cs="Calibri" w:eastAsia="Calibri" w:hAnsi="Calibri"/>
                <w:color w:val="52514E"/>
                <w:sz w:val="15"/>
                <w:szCs w:val="15"/>
              </w:rPr>
              <w:t xml:space="preserve">Capitalización</w:t>
            </w:r>
          </w:p>
          <w:p>
            <w:pPr>
              <w:spacing w:after="0"/>
            </w:pPr>
            <w:r>
              <w:rPr>
                <w:rFonts w:ascii="Calibri" w:cs="Calibri" w:eastAsia="Calibri" w:hAnsi="Calibri"/>
                <w:b/>
                <w:bCs/>
                <w:color w:val="1F2A3C"/>
                <w:sz w:val="26"/>
                <w:szCs w:val="26"/>
              </w:rPr>
              <w:t xml:space="preserve">271.008 M</w:t>
            </w:r>
          </w:p>
        </w:tc>
        <w:tc>
          <w:tcPr>
            <w:tcW w:type="dxa" w:w="2411"/>
            <w:tcBorders>
              <w:top w:val="single" w:color="FFFFFF" w:sz="24"/>
              <w:left w:val="single" w:color="FFFFFF" w:sz="24"/>
              <w:bottom w:val="single" w:color="FFFFFF" w:sz="24"/>
              <w:right w:val="single" w:color="FFFFFF" w:sz="24"/>
            </w:tcBorders>
            <w:shd w:fill="F3F2EE" w:color="auto" w:val="clear"/>
            <w:tcMar>
              <w:top w:type="dxa" w:w="100"/>
              <w:left w:type="dxa" w:w="140"/>
              <w:bottom w:type="dxa" w:w="100"/>
              <w:right w:type="dxa" w:w="100"/>
            </w:tcMar>
          </w:tcPr>
          <w:p>
            <w:pPr>
              <w:spacing w:after="20"/>
            </w:pPr>
            <w:r>
              <w:rPr>
                <w:rFonts w:ascii="Calibri" w:cs="Calibri" w:eastAsia="Calibri" w:hAnsi="Calibri"/>
                <w:color w:val="52514E"/>
                <w:sz w:val="15"/>
                <w:szCs w:val="15"/>
              </w:rPr>
              <w:t xml:space="preserve">EV/EBITDA próx. 12 m</w:t>
            </w:r>
          </w:p>
          <w:p>
            <w:pPr>
              <w:spacing w:after="0"/>
            </w:pPr>
            <w:r>
              <w:rPr>
                <w:rFonts w:ascii="Calibri" w:cs="Calibri" w:eastAsia="Calibri" w:hAnsi="Calibri"/>
                <w:b/>
                <w:bCs/>
                <w:color w:val="1F2A3C"/>
                <w:sz w:val="26"/>
                <w:szCs w:val="26"/>
              </w:rPr>
              <w:t xml:space="preserve">n.d.</w:t>
            </w:r>
          </w:p>
        </w:tc>
      </w:tr>
      <w:tr>
        <w:trPr>
          <w:cantSplit/>
        </w:trPr>
        <w:tc>
          <w:tcPr>
            <w:tcW w:type="dxa" w:w="2409"/>
            <w:tcBorders>
              <w:top w:val="single" w:color="FFFFFF" w:sz="24"/>
              <w:left w:val="single" w:color="FFFFFF" w:sz="24"/>
              <w:bottom w:val="single" w:color="FFFFFF" w:sz="24"/>
              <w:right w:val="single" w:color="FFFFFF" w:sz="24"/>
            </w:tcBorders>
            <w:shd w:fill="F3F2EE" w:color="auto" w:val="clear"/>
            <w:tcMar>
              <w:top w:type="dxa" w:w="100"/>
              <w:left w:type="dxa" w:w="140"/>
              <w:bottom w:type="dxa" w:w="100"/>
              <w:right w:type="dxa" w:w="100"/>
            </w:tcMar>
          </w:tcPr>
          <w:p>
            <w:pPr>
              <w:spacing w:after="20"/>
            </w:pPr>
            <w:r>
              <w:rPr>
                <w:rFonts w:ascii="Calibri" w:cs="Calibri" w:eastAsia="Calibri" w:hAnsi="Calibri"/>
                <w:color w:val="52514E"/>
                <w:sz w:val="15"/>
                <w:szCs w:val="15"/>
              </w:rPr>
              <w:t xml:space="preserve">Deuda neta aj. / EBITDA</w:t>
            </w:r>
          </w:p>
          <w:p>
            <w:pPr>
              <w:spacing w:after="0"/>
            </w:pPr>
            <w:r>
              <w:rPr>
                <w:rFonts w:ascii="Calibri" w:cs="Calibri" w:eastAsia="Calibri" w:hAnsi="Calibri"/>
                <w:b/>
                <w:bCs/>
                <w:color w:val="1F2A3C"/>
                <w:sz w:val="26"/>
                <w:szCs w:val="26"/>
              </w:rPr>
              <w:t xml:space="preserve">1,7x</w:t>
            </w:r>
          </w:p>
        </w:tc>
        <w:tc>
          <w:tcPr>
            <w:tcW w:type="dxa" w:w="2409"/>
            <w:tcBorders>
              <w:top w:val="single" w:color="FFFFFF" w:sz="24"/>
              <w:left w:val="single" w:color="FFFFFF" w:sz="24"/>
              <w:bottom w:val="single" w:color="FFFFFF" w:sz="24"/>
              <w:right w:val="single" w:color="FFFFFF" w:sz="24"/>
            </w:tcBorders>
            <w:shd w:fill="F3F2EE" w:color="auto" w:val="clear"/>
            <w:tcMar>
              <w:top w:type="dxa" w:w="100"/>
              <w:left w:type="dxa" w:w="140"/>
              <w:bottom w:type="dxa" w:w="100"/>
              <w:right w:type="dxa" w:w="100"/>
            </w:tcMar>
          </w:tcPr>
          <w:p>
            <w:pPr>
              <w:spacing w:after="20"/>
            </w:pPr>
            <w:r>
              <w:rPr>
                <w:rFonts w:ascii="Calibri" w:cs="Calibri" w:eastAsia="Calibri" w:hAnsi="Calibri"/>
                <w:color w:val="52514E"/>
                <w:sz w:val="15"/>
                <w:szCs w:val="15"/>
              </w:rPr>
              <w:t xml:space="preserve"/>
            </w:r>
          </w:p>
          <w:p>
            <w:pPr>
              <w:spacing w:after="0"/>
            </w:pPr>
            <w:r>
              <w:rPr>
                <w:rFonts w:ascii="Calibri" w:cs="Calibri" w:eastAsia="Calibri" w:hAnsi="Calibri"/>
                <w:b/>
                <w:bCs/>
                <w:color w:val="1F2A3C"/>
                <w:sz w:val="26"/>
                <w:szCs w:val="26"/>
              </w:rPr>
              <w:t xml:space="preserve"/>
            </w:r>
          </w:p>
        </w:tc>
        <w:tc>
          <w:tcPr>
            <w:tcW w:type="dxa" w:w="2409"/>
            <w:tcBorders>
              <w:top w:val="single" w:color="FFFFFF" w:sz="24"/>
              <w:left w:val="single" w:color="FFFFFF" w:sz="24"/>
              <w:bottom w:val="single" w:color="FFFFFF" w:sz="24"/>
              <w:right w:val="single" w:color="FFFFFF" w:sz="24"/>
            </w:tcBorders>
            <w:shd w:fill="F3F2EE" w:color="auto" w:val="clear"/>
            <w:tcMar>
              <w:top w:type="dxa" w:w="100"/>
              <w:left w:type="dxa" w:w="140"/>
              <w:bottom w:type="dxa" w:w="100"/>
              <w:right w:type="dxa" w:w="100"/>
            </w:tcMar>
          </w:tcPr>
          <w:p>
            <w:pPr>
              <w:spacing w:after="20"/>
            </w:pPr>
            <w:r>
              <w:rPr>
                <w:rFonts w:ascii="Calibri" w:cs="Calibri" w:eastAsia="Calibri" w:hAnsi="Calibri"/>
                <w:color w:val="52514E"/>
                <w:sz w:val="15"/>
                <w:szCs w:val="15"/>
              </w:rPr>
              <w:t xml:space="preserve"/>
            </w:r>
          </w:p>
          <w:p>
            <w:pPr>
              <w:spacing w:after="0"/>
            </w:pPr>
            <w:r>
              <w:rPr>
                <w:rFonts w:ascii="Calibri" w:cs="Calibri" w:eastAsia="Calibri" w:hAnsi="Calibri"/>
                <w:b/>
                <w:bCs/>
                <w:color w:val="1F2A3C"/>
                <w:sz w:val="26"/>
                <w:szCs w:val="26"/>
              </w:rPr>
              <w:t xml:space="preserve"/>
            </w:r>
          </w:p>
        </w:tc>
        <w:tc>
          <w:tcPr>
            <w:tcW w:type="dxa" w:w="2411"/>
            <w:tcBorders>
              <w:top w:val="single" w:color="FFFFFF" w:sz="24"/>
              <w:left w:val="single" w:color="FFFFFF" w:sz="24"/>
              <w:bottom w:val="single" w:color="FFFFFF" w:sz="24"/>
              <w:right w:val="single" w:color="FFFFFF" w:sz="24"/>
            </w:tcBorders>
            <w:shd w:fill="F3F2EE" w:color="auto" w:val="clear"/>
            <w:tcMar>
              <w:top w:type="dxa" w:w="100"/>
              <w:left w:type="dxa" w:w="140"/>
              <w:bottom w:type="dxa" w:w="100"/>
              <w:right w:type="dxa" w:w="100"/>
            </w:tcMar>
          </w:tcPr>
          <w:p>
            <w:pPr>
              <w:spacing w:after="20"/>
            </w:pPr>
            <w:r>
              <w:rPr>
                <w:rFonts w:ascii="Calibri" w:cs="Calibri" w:eastAsia="Calibri" w:hAnsi="Calibri"/>
                <w:color w:val="52514E"/>
                <w:sz w:val="15"/>
                <w:szCs w:val="15"/>
              </w:rPr>
              <w:t xml:space="preserve"/>
            </w:r>
          </w:p>
          <w:p>
            <w:pPr>
              <w:spacing w:after="0"/>
            </w:pPr>
            <w:r>
              <w:rPr>
                <w:rFonts w:ascii="Calibri" w:cs="Calibri" w:eastAsia="Calibri" w:hAnsi="Calibri"/>
                <w:b/>
                <w:bCs/>
                <w:color w:val="1F2A3C"/>
                <w:sz w:val="26"/>
                <w:szCs w:val="26"/>
              </w:rPr>
              <w:t xml:space="preserve"/>
            </w:r>
          </w:p>
        </w:tc>
      </w:tr>
    </w:tbl>
    <w:p>
      <w:pPr>
        <w:spacing w:after="200" w:before="0"/>
      </w:pP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2023"/>
        <w:gridCol w:w="2796"/>
        <w:gridCol w:w="2023"/>
        <w:gridCol w:w="2796"/>
      </w:tblGrid>
      <w:tr>
        <w:trPr>
          <w:cantSplit/>
        </w:trPr>
        <w:tc>
          <w:tcPr>
            <w:tcW w:type="dxa" w:w="2023"/>
            <w:tcBorders>
              <w:top w:val="none" w:color="FFFFFF" w:sz="0"/>
              <w:left w:val="none" w:color="FFFFFF" w:sz="0"/>
              <w:bottom w:val="single" w:color="D9D8D3" w:sz="4"/>
              <w:right w:val="none" w:color="FFFFFF" w:sz="0"/>
            </w:tcBorders>
            <w:shd w:fill="F3F2EE" w:color="auto" w:val="clear"/>
            <w:tcMar>
              <w:top w:type="dxa" w:w="50"/>
              <w:left w:type="dxa" w:w="80"/>
              <w:bottom w:type="dxa" w:w="50"/>
              <w:right w:type="dxa" w:w="80"/>
            </w:tcMar>
          </w:tcPr>
          <w:p>
            <w:pPr>
              <w:spacing w:after="0" w:before="0"/>
              <w:jc w:val="left"/>
            </w:pPr>
            <w:r>
              <w:rPr>
                <w:rFonts w:ascii="Calibri" w:cs="Calibri" w:eastAsia="Calibri" w:hAnsi="Calibri"/>
                <w:b w:val="false"/>
                <w:bCs w:val="false"/>
                <w:color w:val="52514E"/>
                <w:sz w:val="16"/>
                <w:szCs w:val="16"/>
              </w:rPr>
              <w:t xml:space="preserve">Nombre</w:t>
            </w:r>
          </w:p>
        </w:tc>
        <w:tc>
          <w:tcPr>
            <w:tcW w:type="dxa" w:w="279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7"/>
                <w:szCs w:val="17"/>
              </w:rPr>
              <w:t xml:space="preserve">Novartis AG</w:t>
            </w:r>
          </w:p>
        </w:tc>
        <w:tc>
          <w:tcPr>
            <w:tcW w:type="dxa" w:w="2023"/>
            <w:tcBorders>
              <w:top w:val="none" w:color="FFFFFF" w:sz="0"/>
              <w:left w:val="none" w:color="FFFFFF" w:sz="0"/>
              <w:bottom w:val="single" w:color="D9D8D3" w:sz="4"/>
              <w:right w:val="none" w:color="FFFFFF" w:sz="0"/>
            </w:tcBorders>
            <w:shd w:fill="F3F2EE" w:color="auto" w:val="clear"/>
            <w:tcMar>
              <w:top w:type="dxa" w:w="50"/>
              <w:left w:type="dxa" w:w="80"/>
              <w:bottom w:type="dxa" w:w="50"/>
              <w:right w:type="dxa" w:w="80"/>
            </w:tcMar>
          </w:tcPr>
          <w:p>
            <w:pPr>
              <w:spacing w:after="0" w:before="0"/>
              <w:jc w:val="left"/>
            </w:pPr>
            <w:r>
              <w:rPr>
                <w:rFonts w:ascii="Calibri" w:cs="Calibri" w:eastAsia="Calibri" w:hAnsi="Calibri"/>
                <w:b w:val="false"/>
                <w:bCs w:val="false"/>
                <w:color w:val="52514E"/>
                <w:sz w:val="16"/>
                <w:szCs w:val="16"/>
              </w:rPr>
              <w:t xml:space="preserve">Ticker / ISIN</w:t>
            </w:r>
          </w:p>
        </w:tc>
        <w:tc>
          <w:tcPr>
            <w:tcW w:type="dxa" w:w="279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7"/>
                <w:szCs w:val="17"/>
              </w:rPr>
              <w:t xml:space="preserve">NOVN / CH0012005267</w:t>
            </w:r>
          </w:p>
        </w:tc>
      </w:tr>
      <w:tr>
        <w:trPr>
          <w:cantSplit/>
        </w:trPr>
        <w:tc>
          <w:tcPr>
            <w:tcW w:type="dxa" w:w="2023"/>
            <w:tcBorders>
              <w:top w:val="none" w:color="FFFFFF" w:sz="0"/>
              <w:left w:val="none" w:color="FFFFFF" w:sz="0"/>
              <w:bottom w:val="single" w:color="D9D8D3" w:sz="4"/>
              <w:right w:val="none" w:color="FFFFFF" w:sz="0"/>
            </w:tcBorders>
            <w:shd w:fill="F3F2EE" w:color="auto" w:val="clear"/>
            <w:tcMar>
              <w:top w:type="dxa" w:w="50"/>
              <w:left w:type="dxa" w:w="80"/>
              <w:bottom w:type="dxa" w:w="50"/>
              <w:right w:type="dxa" w:w="80"/>
            </w:tcMar>
          </w:tcPr>
          <w:p>
            <w:pPr>
              <w:spacing w:after="0" w:before="0"/>
              <w:jc w:val="left"/>
            </w:pPr>
            <w:r>
              <w:rPr>
                <w:rFonts w:ascii="Calibri" w:cs="Calibri" w:eastAsia="Calibri" w:hAnsi="Calibri"/>
                <w:b w:val="false"/>
                <w:bCs w:val="false"/>
                <w:color w:val="52514E"/>
                <w:sz w:val="16"/>
                <w:szCs w:val="16"/>
              </w:rPr>
              <w:t xml:space="preserve">Mercado</w:t>
            </w:r>
          </w:p>
        </w:tc>
        <w:tc>
          <w:tcPr>
            <w:tcW w:type="dxa" w:w="279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7"/>
                <w:szCs w:val="17"/>
              </w:rPr>
              <w:t xml:space="preserve">SIX Swiss Exchange (ADR NVS en la NYSE)</w:t>
            </w:r>
          </w:p>
        </w:tc>
        <w:tc>
          <w:tcPr>
            <w:tcW w:type="dxa" w:w="2023"/>
            <w:tcBorders>
              <w:top w:val="none" w:color="FFFFFF" w:sz="0"/>
              <w:left w:val="none" w:color="FFFFFF" w:sz="0"/>
              <w:bottom w:val="single" w:color="D9D8D3" w:sz="4"/>
              <w:right w:val="none" w:color="FFFFFF" w:sz="0"/>
            </w:tcBorders>
            <w:shd w:fill="F3F2EE" w:color="auto" w:val="clear"/>
            <w:tcMar>
              <w:top w:type="dxa" w:w="50"/>
              <w:left w:type="dxa" w:w="80"/>
              <w:bottom w:type="dxa" w:w="50"/>
              <w:right w:type="dxa" w:w="80"/>
            </w:tcMar>
          </w:tcPr>
          <w:p>
            <w:pPr>
              <w:spacing w:after="0" w:before="0"/>
              <w:jc w:val="left"/>
            </w:pPr>
            <w:r>
              <w:rPr>
                <w:rFonts w:ascii="Calibri" w:cs="Calibri" w:eastAsia="Calibri" w:hAnsi="Calibri"/>
                <w:b w:val="false"/>
                <w:bCs w:val="false"/>
                <w:color w:val="52514E"/>
                <w:sz w:val="16"/>
                <w:szCs w:val="16"/>
              </w:rPr>
              <w:t xml:space="preserve">Índice de referencia</w:t>
            </w:r>
          </w:p>
        </w:tc>
        <w:tc>
          <w:tcPr>
            <w:tcW w:type="dxa" w:w="279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7"/>
                <w:szCs w:val="17"/>
              </w:rPr>
              <w:t xml:space="preserve">SMI</w:t>
            </w:r>
          </w:p>
        </w:tc>
      </w:tr>
      <w:tr>
        <w:trPr>
          <w:cantSplit/>
        </w:trPr>
        <w:tc>
          <w:tcPr>
            <w:tcW w:type="dxa" w:w="2023"/>
            <w:tcBorders>
              <w:top w:val="none" w:color="FFFFFF" w:sz="0"/>
              <w:left w:val="none" w:color="FFFFFF" w:sz="0"/>
              <w:bottom w:val="single" w:color="D9D8D3" w:sz="4"/>
              <w:right w:val="none" w:color="FFFFFF" w:sz="0"/>
            </w:tcBorders>
            <w:shd w:fill="F3F2EE" w:color="auto" w:val="clear"/>
            <w:tcMar>
              <w:top w:type="dxa" w:w="50"/>
              <w:left w:type="dxa" w:w="80"/>
              <w:bottom w:type="dxa" w:w="50"/>
              <w:right w:type="dxa" w:w="80"/>
            </w:tcMar>
          </w:tcPr>
          <w:p>
            <w:pPr>
              <w:spacing w:after="0" w:before="0"/>
              <w:jc w:val="left"/>
            </w:pPr>
            <w:r>
              <w:rPr>
                <w:rFonts w:ascii="Calibri" w:cs="Calibri" w:eastAsia="Calibri" w:hAnsi="Calibri"/>
                <w:b w:val="false"/>
                <w:bCs w:val="false"/>
                <w:color w:val="52514E"/>
                <w:sz w:val="16"/>
                <w:szCs w:val="16"/>
              </w:rPr>
              <w:t xml:space="preserve">Sector / industria</w:t>
            </w:r>
          </w:p>
        </w:tc>
        <w:tc>
          <w:tcPr>
            <w:tcW w:type="dxa" w:w="279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7"/>
                <w:szCs w:val="17"/>
              </w:rPr>
              <w:t xml:space="preserve">Salud / Farmacéuticas</w:t>
            </w:r>
          </w:p>
        </w:tc>
        <w:tc>
          <w:tcPr>
            <w:tcW w:type="dxa" w:w="2023"/>
            <w:tcBorders>
              <w:top w:val="none" w:color="FFFFFF" w:sz="0"/>
              <w:left w:val="none" w:color="FFFFFF" w:sz="0"/>
              <w:bottom w:val="single" w:color="D9D8D3" w:sz="4"/>
              <w:right w:val="none" w:color="FFFFFF" w:sz="0"/>
            </w:tcBorders>
            <w:shd w:fill="F3F2EE" w:color="auto" w:val="clear"/>
            <w:tcMar>
              <w:top w:type="dxa" w:w="50"/>
              <w:left w:type="dxa" w:w="80"/>
              <w:bottom w:type="dxa" w:w="50"/>
              <w:right w:type="dxa" w:w="80"/>
            </w:tcMar>
          </w:tcPr>
          <w:p>
            <w:pPr>
              <w:spacing w:after="0" w:before="0"/>
              <w:jc w:val="left"/>
            </w:pPr>
            <w:r>
              <w:rPr>
                <w:rFonts w:ascii="Calibri" w:cs="Calibri" w:eastAsia="Calibri" w:hAnsi="Calibri"/>
                <w:b w:val="false"/>
                <w:bCs w:val="false"/>
                <w:color w:val="52514E"/>
                <w:sz w:val="16"/>
                <w:szCs w:val="16"/>
              </w:rPr>
              <w:t xml:space="preserve">Sede · fundación</w:t>
            </w:r>
          </w:p>
        </w:tc>
        <w:tc>
          <w:tcPr>
            <w:tcW w:type="dxa" w:w="279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7"/>
                <w:szCs w:val="17"/>
              </w:rPr>
              <w:t xml:space="preserve">Basilea (Suiza) · 1996</w:t>
            </w:r>
          </w:p>
        </w:tc>
      </w:tr>
      <w:tr>
        <w:trPr>
          <w:cantSplit/>
        </w:trPr>
        <w:tc>
          <w:tcPr>
            <w:tcW w:type="dxa" w:w="2023"/>
            <w:tcBorders>
              <w:top w:val="none" w:color="FFFFFF" w:sz="0"/>
              <w:left w:val="none" w:color="FFFFFF" w:sz="0"/>
              <w:bottom w:val="single" w:color="D9D8D3" w:sz="4"/>
              <w:right w:val="none" w:color="FFFFFF" w:sz="0"/>
            </w:tcBorders>
            <w:tcMar>
              <w:top w:type="dxa" w:w="50"/>
              <w:left w:type="dxa" w:w="80"/>
              <w:bottom w:type="dxa" w:w="50"/>
              <w:right w:type="dxa" w:w="80"/>
            </w:tcMar>
          </w:tcPr>
          <w:p/>
        </w:tc>
        <w:tc>
          <w:tcPr>
            <w:tcW w:type="dxa" w:w="2796"/>
            <w:tcBorders>
              <w:top w:val="none" w:color="FFFFFF" w:sz="0"/>
              <w:left w:val="none" w:color="FFFFFF" w:sz="0"/>
              <w:bottom w:val="single" w:color="D9D8D3" w:sz="4"/>
              <w:right w:val="none" w:color="FFFFFF" w:sz="0"/>
            </w:tcBorders>
            <w:tcMar>
              <w:top w:type="dxa" w:w="50"/>
              <w:left w:type="dxa" w:w="80"/>
              <w:bottom w:type="dxa" w:w="50"/>
              <w:right w:type="dxa" w:w="80"/>
            </w:tcMar>
          </w:tcPr>
          <w:p/>
        </w:tc>
        <w:tc>
          <w:tcPr>
            <w:tcW w:type="dxa" w:w="2023"/>
            <w:tcBorders>
              <w:top w:val="none" w:color="FFFFFF" w:sz="0"/>
              <w:left w:val="none" w:color="FFFFFF" w:sz="0"/>
              <w:bottom w:val="single" w:color="D9D8D3" w:sz="4"/>
              <w:right w:val="none" w:color="FFFFFF" w:sz="0"/>
            </w:tcBorders>
            <w:shd w:fill="F3F2EE" w:color="auto" w:val="clear"/>
            <w:tcMar>
              <w:top w:type="dxa" w:w="50"/>
              <w:left w:type="dxa" w:w="80"/>
              <w:bottom w:type="dxa" w:w="50"/>
              <w:right w:type="dxa" w:w="80"/>
            </w:tcMar>
          </w:tcPr>
          <w:p>
            <w:pPr>
              <w:spacing w:after="0" w:before="0"/>
              <w:jc w:val="left"/>
            </w:pPr>
            <w:r>
              <w:rPr>
                <w:rFonts w:ascii="Calibri" w:cs="Calibri" w:eastAsia="Calibri" w:hAnsi="Calibri"/>
                <w:b w:val="false"/>
                <w:bCs w:val="false"/>
                <w:color w:val="52514E"/>
                <w:sz w:val="16"/>
                <w:szCs w:val="16"/>
              </w:rPr>
              <w:t xml:space="preserve">Web</w:t>
            </w:r>
          </w:p>
        </w:tc>
        <w:tc>
          <w:tcPr>
            <w:tcW w:type="dxa" w:w="279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7"/>
                <w:szCs w:val="17"/>
              </w:rPr>
              <w:t xml:space="preserve">www.novartis.com</w:t>
            </w:r>
          </w:p>
        </w:tc>
      </w:tr>
      <w:tr>
        <w:trPr>
          <w:cantSplit/>
        </w:trPr>
        <w:tc>
          <w:tcPr>
            <w:tcW w:type="dxa" w:w="2023"/>
            <w:tcBorders>
              <w:top w:val="none" w:color="FFFFFF" w:sz="0"/>
              <w:left w:val="none" w:color="FFFFFF" w:sz="0"/>
              <w:bottom w:val="single" w:color="D9D8D3" w:sz="4"/>
              <w:right w:val="none" w:color="FFFFFF" w:sz="0"/>
            </w:tcBorders>
            <w:shd w:fill="F3F2EE" w:color="auto" w:val="clear"/>
            <w:tcMar>
              <w:top w:type="dxa" w:w="50"/>
              <w:left w:type="dxa" w:w="80"/>
              <w:bottom w:type="dxa" w:w="50"/>
              <w:right w:type="dxa" w:w="80"/>
            </w:tcMar>
          </w:tcPr>
          <w:p>
            <w:pPr>
              <w:spacing w:after="0" w:before="0"/>
              <w:jc w:val="left"/>
            </w:pPr>
            <w:r>
              <w:rPr>
                <w:rFonts w:ascii="Calibri" w:cs="Calibri" w:eastAsia="Calibri" w:hAnsi="Calibri"/>
                <w:b w:val="false"/>
                <w:bCs w:val="false"/>
                <w:color w:val="52514E"/>
                <w:sz w:val="16"/>
                <w:szCs w:val="16"/>
              </w:rPr>
              <w:t xml:space="preserve">Precio (fecha)</w:t>
            </w:r>
          </w:p>
        </w:tc>
        <w:tc>
          <w:tcPr>
            <w:tcW w:type="dxa" w:w="279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7"/>
                <w:szCs w:val="17"/>
              </w:rPr>
              <w:t xml:space="preserve">140,93 (5 oct 2026)</w:t>
            </w:r>
          </w:p>
        </w:tc>
        <w:tc>
          <w:tcPr>
            <w:tcW w:type="dxa" w:w="2023"/>
            <w:tcBorders>
              <w:top w:val="none" w:color="FFFFFF" w:sz="0"/>
              <w:left w:val="none" w:color="FFFFFF" w:sz="0"/>
              <w:bottom w:val="single" w:color="D9D8D3" w:sz="4"/>
              <w:right w:val="none" w:color="FFFFFF" w:sz="0"/>
            </w:tcBorders>
            <w:tcMar>
              <w:top w:type="dxa" w:w="50"/>
              <w:left w:type="dxa" w:w="80"/>
              <w:bottom w:type="dxa" w:w="50"/>
              <w:right w:type="dxa" w:w="80"/>
            </w:tcMar>
          </w:tcPr>
          <w:p/>
        </w:tc>
        <w:tc>
          <w:tcPr>
            <w:tcW w:type="dxa" w:w="2796"/>
            <w:tcBorders>
              <w:top w:val="none" w:color="FFFFFF" w:sz="0"/>
              <w:left w:val="none" w:color="FFFFFF" w:sz="0"/>
              <w:bottom w:val="single" w:color="D9D8D3" w:sz="4"/>
              <w:right w:val="none" w:color="FFFFFF" w:sz="0"/>
            </w:tcBorders>
            <w:tcMar>
              <w:top w:type="dxa" w:w="50"/>
              <w:left w:type="dxa" w:w="80"/>
              <w:bottom w:type="dxa" w:w="50"/>
              <w:right w:type="dxa" w:w="80"/>
            </w:tcMar>
          </w:tcPr>
          <w:p/>
        </w:tc>
      </w:tr>
      <w:tr>
        <w:trPr>
          <w:cantSplit/>
        </w:trPr>
        <w:tc>
          <w:tcPr>
            <w:tcW w:type="dxa" w:w="2023"/>
            <w:tcBorders>
              <w:top w:val="none" w:color="FFFFFF" w:sz="0"/>
              <w:left w:val="none" w:color="FFFFFF" w:sz="0"/>
              <w:bottom w:val="single" w:color="D9D8D3" w:sz="4"/>
              <w:right w:val="none" w:color="FFFFFF" w:sz="0"/>
            </w:tcBorders>
            <w:shd w:fill="F3F2EE" w:color="auto" w:val="clear"/>
            <w:tcMar>
              <w:top w:type="dxa" w:w="50"/>
              <w:left w:type="dxa" w:w="80"/>
              <w:bottom w:type="dxa" w:w="50"/>
              <w:right w:type="dxa" w:w="80"/>
            </w:tcMar>
          </w:tcPr>
          <w:p>
            <w:pPr>
              <w:spacing w:after="0" w:before="0"/>
              <w:jc w:val="left"/>
            </w:pPr>
            <w:r>
              <w:rPr>
                <w:rFonts w:ascii="Calibri" w:cs="Calibri" w:eastAsia="Calibri" w:hAnsi="Calibri"/>
                <w:b w:val="false"/>
                <w:bCs w:val="false"/>
                <w:color w:val="52514E"/>
                <w:sz w:val="16"/>
                <w:szCs w:val="16"/>
              </w:rPr>
              <w:t xml:space="preserve">Acciones diluidas (M)</w:t>
            </w:r>
          </w:p>
        </w:tc>
        <w:tc>
          <w:tcPr>
            <w:tcW w:type="dxa" w:w="279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7"/>
                <w:szCs w:val="17"/>
              </w:rPr>
              <w:t xml:space="preserve">1.923,0</w:t>
            </w:r>
          </w:p>
        </w:tc>
        <w:tc>
          <w:tcPr>
            <w:tcW w:type="dxa" w:w="2023"/>
            <w:tcBorders>
              <w:top w:val="none" w:color="FFFFFF" w:sz="0"/>
              <w:left w:val="none" w:color="FFFFFF" w:sz="0"/>
              <w:bottom w:val="single" w:color="D9D8D3" w:sz="4"/>
              <w:right w:val="none" w:color="FFFFFF" w:sz="0"/>
            </w:tcBorders>
            <w:tcMar>
              <w:top w:type="dxa" w:w="50"/>
              <w:left w:type="dxa" w:w="80"/>
              <w:bottom w:type="dxa" w:w="50"/>
              <w:right w:type="dxa" w:w="80"/>
            </w:tcMar>
          </w:tcPr>
          <w:p/>
        </w:tc>
        <w:tc>
          <w:tcPr>
            <w:tcW w:type="dxa" w:w="2796"/>
            <w:tcBorders>
              <w:top w:val="none" w:color="FFFFFF" w:sz="0"/>
              <w:left w:val="none" w:color="FFFFFF" w:sz="0"/>
              <w:bottom w:val="single" w:color="D9D8D3" w:sz="4"/>
              <w:right w:val="none" w:color="FFFFFF" w:sz="0"/>
            </w:tcBorders>
            <w:tcMar>
              <w:top w:type="dxa" w:w="50"/>
              <w:left w:type="dxa" w:w="80"/>
              <w:bottom w:type="dxa" w:w="50"/>
              <w:right w:type="dxa" w:w="80"/>
            </w:tcMar>
          </w:tcPr>
          <w:p/>
        </w:tc>
      </w:tr>
      <w:tr>
        <w:trPr>
          <w:cantSplit/>
        </w:trPr>
        <w:tc>
          <w:tcPr>
            <w:tcW w:type="dxa" w:w="2023"/>
            <w:tcBorders>
              <w:top w:val="none" w:color="FFFFFF" w:sz="0"/>
              <w:left w:val="none" w:color="FFFFFF" w:sz="0"/>
              <w:bottom w:val="single" w:color="D9D8D3" w:sz="4"/>
              <w:right w:val="none" w:color="FFFFFF" w:sz="0"/>
            </w:tcBorders>
            <w:shd w:fill="F3F2EE" w:color="auto" w:val="clear"/>
            <w:tcMar>
              <w:top w:type="dxa" w:w="50"/>
              <w:left w:type="dxa" w:w="80"/>
              <w:bottom w:type="dxa" w:w="50"/>
              <w:right w:type="dxa" w:w="80"/>
            </w:tcMar>
          </w:tcPr>
          <w:p>
            <w:pPr>
              <w:spacing w:after="0" w:before="0"/>
              <w:jc w:val="left"/>
            </w:pPr>
            <w:r>
              <w:rPr>
                <w:rFonts w:ascii="Calibri" w:cs="Calibri" w:eastAsia="Calibri" w:hAnsi="Calibri"/>
                <w:b w:val="false"/>
                <w:bCs w:val="false"/>
                <w:color w:val="52514E"/>
                <w:sz w:val="16"/>
                <w:szCs w:val="16"/>
              </w:rPr>
              <w:t xml:space="preserve">Capitalización</w:t>
            </w:r>
          </w:p>
        </w:tc>
        <w:tc>
          <w:tcPr>
            <w:tcW w:type="dxa" w:w="279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7"/>
                <w:szCs w:val="17"/>
              </w:rPr>
              <w:t xml:space="preserve">271.008 M USD</w:t>
            </w:r>
          </w:p>
        </w:tc>
        <w:tc>
          <w:tcPr>
            <w:tcW w:type="dxa" w:w="2023"/>
            <w:tcBorders>
              <w:top w:val="none" w:color="FFFFFF" w:sz="0"/>
              <w:left w:val="none" w:color="FFFFFF" w:sz="0"/>
              <w:bottom w:val="single" w:color="D9D8D3" w:sz="4"/>
              <w:right w:val="none" w:color="FFFFFF" w:sz="0"/>
            </w:tcBorders>
            <w:shd w:fill="F3F2EE" w:color="auto" w:val="clear"/>
            <w:tcMar>
              <w:top w:type="dxa" w:w="50"/>
              <w:left w:type="dxa" w:w="80"/>
              <w:bottom w:type="dxa" w:w="50"/>
              <w:right w:type="dxa" w:w="80"/>
            </w:tcMar>
          </w:tcPr>
          <w:p>
            <w:pPr>
              <w:spacing w:after="0" w:before="0"/>
              <w:jc w:val="left"/>
            </w:pPr>
            <w:r>
              <w:rPr>
                <w:rFonts w:ascii="Calibri" w:cs="Calibri" w:eastAsia="Calibri" w:hAnsi="Calibri"/>
                <w:b w:val="false"/>
                <w:bCs w:val="false"/>
                <w:color w:val="52514E"/>
                <w:sz w:val="16"/>
                <w:szCs w:val="16"/>
              </w:rPr>
              <w:t xml:space="preserve">Valor empresa</w:t>
            </w:r>
          </w:p>
        </w:tc>
        <w:tc>
          <w:tcPr>
            <w:tcW w:type="dxa" w:w="279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7"/>
                <w:szCs w:val="17"/>
              </w:rPr>
              <w:t xml:space="preserve">310.508 M USD</w:t>
            </w:r>
          </w:p>
        </w:tc>
      </w:tr>
      <w:tr>
        <w:trPr>
          <w:cantSplit/>
        </w:trPr>
        <w:tc>
          <w:tcPr>
            <w:tcW w:type="dxa" w:w="2023"/>
            <w:tcBorders>
              <w:top w:val="none" w:color="FFFFFF" w:sz="0"/>
              <w:left w:val="none" w:color="FFFFFF" w:sz="0"/>
              <w:bottom w:val="single" w:color="D9D8D3" w:sz="4"/>
              <w:right w:val="none" w:color="FFFFFF" w:sz="0"/>
            </w:tcBorders>
            <w:tcMar>
              <w:top w:type="dxa" w:w="50"/>
              <w:left w:type="dxa" w:w="80"/>
              <w:bottom w:type="dxa" w:w="50"/>
              <w:right w:type="dxa" w:w="80"/>
            </w:tcMar>
          </w:tcPr>
          <w:p/>
        </w:tc>
        <w:tc>
          <w:tcPr>
            <w:tcW w:type="dxa" w:w="2796"/>
            <w:tcBorders>
              <w:top w:val="none" w:color="FFFFFF" w:sz="0"/>
              <w:left w:val="none" w:color="FFFFFF" w:sz="0"/>
              <w:bottom w:val="single" w:color="D9D8D3" w:sz="4"/>
              <w:right w:val="none" w:color="FFFFFF" w:sz="0"/>
            </w:tcBorders>
            <w:tcMar>
              <w:top w:type="dxa" w:w="50"/>
              <w:left w:type="dxa" w:w="80"/>
              <w:bottom w:type="dxa" w:w="50"/>
              <w:right w:type="dxa" w:w="80"/>
            </w:tcMar>
          </w:tcPr>
          <w:p/>
        </w:tc>
        <w:tc>
          <w:tcPr>
            <w:tcW w:type="dxa" w:w="2023"/>
            <w:tcBorders>
              <w:top w:val="none" w:color="FFFFFF" w:sz="0"/>
              <w:left w:val="none" w:color="FFFFFF" w:sz="0"/>
              <w:bottom w:val="single" w:color="D9D8D3" w:sz="4"/>
              <w:right w:val="none" w:color="FFFFFF" w:sz="0"/>
            </w:tcBorders>
            <w:shd w:fill="F3F2EE" w:color="auto" w:val="clear"/>
            <w:tcMar>
              <w:top w:type="dxa" w:w="50"/>
              <w:left w:type="dxa" w:w="80"/>
              <w:bottom w:type="dxa" w:w="50"/>
              <w:right w:type="dxa" w:w="80"/>
            </w:tcMar>
          </w:tcPr>
          <w:p>
            <w:pPr>
              <w:spacing w:after="0" w:before="0"/>
              <w:jc w:val="left"/>
            </w:pPr>
            <w:r>
              <w:rPr>
                <w:rFonts w:ascii="Calibri" w:cs="Calibri" w:eastAsia="Calibri" w:hAnsi="Calibri"/>
                <w:b w:val="false"/>
                <w:bCs w:val="false"/>
                <w:color w:val="52514E"/>
                <w:sz w:val="16"/>
                <w:szCs w:val="16"/>
              </w:rPr>
              <w:t xml:space="preserve">Próximos resultados</w:t>
            </w:r>
          </w:p>
        </w:tc>
        <w:tc>
          <w:tcPr>
            <w:tcW w:type="dxa" w:w="279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7"/>
                <w:szCs w:val="17"/>
              </w:rPr>
              <w:t xml:space="preserve">27 oct 2026</w:t>
            </w:r>
          </w:p>
        </w:tc>
      </w:tr>
    </w:tbl>
    <w:p>
      <w:pPr>
        <w:spacing w:after="160" w:before="0"/>
      </w:pPr>
    </w:p>
    <w:p>
      <w:pPr>
        <w:pStyle w:val="Heading2"/>
      </w:pPr>
      <w:r>
        <w:t xml:space="preserve">Contenido</w:t>
      </w:r>
    </w:p>
    <w:p>
      <w:pPr>
        <w:pStyle w:val="ListParagraph"/>
        <w:numPr>
          <w:ilvl w:val="0"/>
          <w:numId w:val="2"/>
        </w:numPr>
        <w:spacing w:after="40"/>
      </w:pPr>
      <w:r>
        <w:rPr>
          <w:sz w:val="18"/>
          <w:szCs w:val="18"/>
        </w:rPr>
        <w:t xml:space="preserve">Síntesis y recomendación (una página)</w:t>
      </w:r>
    </w:p>
    <w:p>
      <w:pPr>
        <w:pStyle w:val="ListParagraph"/>
        <w:numPr>
          <w:ilvl w:val="0"/>
          <w:numId w:val="2"/>
        </w:numPr>
        <w:spacing w:after="40"/>
      </w:pPr>
      <w:r>
        <w:rPr>
          <w:sz w:val="18"/>
          <w:szCs w:val="18"/>
        </w:rPr>
        <w:t xml:space="preserve">Resumen ejecutivo</w:t>
      </w:r>
    </w:p>
    <w:p>
      <w:pPr>
        <w:pStyle w:val="ListParagraph"/>
        <w:numPr>
          <w:ilvl w:val="0"/>
          <w:numId w:val="2"/>
        </w:numPr>
        <w:spacing w:after="40"/>
      </w:pPr>
      <w:r>
        <w:rPr>
          <w:sz w:val="18"/>
          <w:szCs w:val="18"/>
        </w:rPr>
        <w:t xml:space="preserve">Parte I — Negocio y sector: 1. Historia · 2. Modelo de negocio · 3. Sector y mercado · 4. Posición competitiva</w:t>
      </w:r>
    </w:p>
    <w:p>
      <w:pPr>
        <w:pStyle w:val="ListParagraph"/>
        <w:numPr>
          <w:ilvl w:val="0"/>
          <w:numId w:val="2"/>
        </w:numPr>
        <w:spacing w:after="40"/>
      </w:pPr>
      <w:r>
        <w:rPr>
          <w:sz w:val="18"/>
          <w:szCs w:val="18"/>
        </w:rPr>
        <w:t xml:space="preserve">Parte II — Finanzas: 5. Cuenta de resultados · 6. Resultados recientes · 7. Balance y circulante · 8. Flujos de caja · 9. Calidad contable · 10. Rentabilidad · 11. Deuda y solvencia · 12. Asignación de capital</w:t>
      </w:r>
    </w:p>
    <w:p>
      <w:pPr>
        <w:pStyle w:val="ListParagraph"/>
        <w:numPr>
          <w:ilvl w:val="0"/>
          <w:numId w:val="2"/>
        </w:numPr>
        <w:spacing w:after="40"/>
      </w:pPr>
      <w:r>
        <w:rPr>
          <w:sz w:val="18"/>
          <w:szCs w:val="18"/>
        </w:rPr>
        <w:t xml:space="preserve">Parte III — Equipo y gobierno: 13. Equipo directivo · 14. Gobierno corporativo</w:t>
      </w:r>
    </w:p>
    <w:p>
      <w:pPr>
        <w:pStyle w:val="ListParagraph"/>
        <w:numPr>
          <w:ilvl w:val="0"/>
          <w:numId w:val="2"/>
        </w:numPr>
        <w:spacing w:after="40"/>
      </w:pPr>
      <w:r>
        <w:rPr>
          <w:sz w:val="18"/>
          <w:szCs w:val="18"/>
        </w:rPr>
        <w:t xml:space="preserve">Parte IV — Mercado y valoración: 15. Consenso · 16. Bolsa · 17. Múltiplos históricos · 18. Comparables · 19. Transacciones · 20. DCF · 21. Escenarios · 22. Suma de partes · 23. Síntesis</w:t>
      </w:r>
    </w:p>
    <w:p>
      <w:pPr>
        <w:pStyle w:val="ListParagraph"/>
        <w:numPr>
          <w:ilvl w:val="0"/>
          <w:numId w:val="2"/>
        </w:numPr>
        <w:spacing w:after="40"/>
      </w:pPr>
      <w:r>
        <w:rPr>
          <w:sz w:val="18"/>
          <w:szCs w:val="18"/>
        </w:rPr>
        <w:t xml:space="preserve">Parte V — Tesis, riesgos y seguimiento: 24. Catalizadores · 25. Riesgos y pre-mortem · 26. ESG · 27. Preguntas abiertas · 28. Sentimiento en foros y comentarios</w:t>
      </w:r>
    </w:p>
    <w:p>
      <w:pPr>
        <w:pStyle w:val="ListParagraph"/>
        <w:numPr>
          <w:ilvl w:val="0"/>
          <w:numId w:val="2"/>
        </w:numPr>
        <w:spacing w:after="40"/>
      </w:pPr>
      <w:r>
        <w:rPr>
          <w:sz w:val="18"/>
          <w:szCs w:val="18"/>
        </w:rPr>
        <w:t xml:space="preserve">Anexos: controles de calidad, información no disponible y fuentes</w:t>
      </w:r>
    </w:p>
    <w:p>
      <w:pPr>
        <w:pStyle w:val="ListParagraph"/>
        <w:numPr>
          <w:ilvl w:val="0"/>
          <w:numId w:val="2"/>
        </w:numPr>
        <w:spacing w:after="40"/>
      </w:pPr>
      <w:r>
        <w:rPr>
          <w:sz w:val="18"/>
          <w:szCs w:val="18"/>
        </w:rPr>
        <w:t xml:space="preserve">Las secciones sin información verificable no se imprimen; quedan listadas en el anexo «Información no disponible».</w:t>
      </w:r>
    </w:p>
    <w:p>
      <w:r>
        <w:br w:type="page"/>
      </w:r>
    </w:p>
    <w:p>
      <w:pPr>
        <w:pStyle w:val="Heading1"/>
      </w:pPr>
      <w:r>
        <w:t xml:space="preserve">Síntesis y recomendación</w:t>
      </w:r>
    </w:p>
    <w:p>
      <w:pPr>
        <w:spacing w:after="100"/>
      </w:pPr>
      <w:r>
        <w:rPr>
          <w:b/>
          <w:bCs/>
        </w:rPr>
        <w:t xml:space="preserve">Mantener</w:t>
      </w:r>
      <w:r>
        <w:t xml:space="preserve"> · Convicción Media · Objetivo a 12 meses </w:t>
      </w:r>
      <w:r>
        <w:rPr>
          <w:b/>
          <w:bCs/>
        </w:rPr>
        <w:t xml:space="preserve">140,50 USD (112,40 CHF)</w:t>
      </w:r>
      <w:r>
        <w:t xml:space="preserve"> frente a 140,93 (112,74 CHF) · Rentabilidad a 12 meses </w:t>
      </w:r>
      <w:r>
        <w:rPr>
          <w:b/>
          <w:bCs/>
        </w:rPr>
        <w:t xml:space="preserve">+3,0 % (base +9,0 %)</w:t>
      </w:r>
      <w:r>
        <w:t xml:space="preserve"> · Valor intrínseco 115,63 USD (92,50 CHF) · con la prima implícita del mercado: 128,19 (102,55 CHF) (-9,0 %) · Alcista / bajista -9,5 % / -41,6 %</w:t>
      </w:r>
    </w:p>
    <w:p>
      <w:pPr>
        <w:spacing w:after="100"/>
      </w:pPr>
      <w:r>
        <w:rPr>
          <w:b/>
        </w:rPr>
        <w:t xml:space="preserve">La recomendación y por qué.</w:t>
      </w:r>
      <w:r>
        <w:t xml:space="preserve"> Mantener, con convicción media. Nuestro objetivo a 12 meses es de 150,49 USD (120,39 CHF): nuestro BPA core de 2028e por el PER de la regla común, ponderado 25/50/25. Da un +10,1 % con el dividendo frente a 140,93 USD (112,74 CHF), y un +12,8 % en el caso base, con una asimetría de 1,54 veces. El valor intrínseco es de 115,63 USD (92,50 CHF), un 18,0 % por debajo del precio, y el objetivo medio de los analistas, de 160,53 USD (128,42 CHF) [30], queda dentro de nuestro rango. La razón principal: el BPA core de 2026-2028 crece con productos ya vendidos (Kisqali +44 % en el 2T26) [2], pero el precio descuenta que la cartera reponga también las patentes de principios de los años 2030 justo después de dos fracasos de fase III. La convicción es media porque las dos reglas coinciden y la rentabilidad está lejos de los umbrales; subiría por debajo de 115,63 USD o si la guía de 2027 confirma el 5-6 % anual con datos de cartera; bajaría si el 27-oct recorta la guía.</w:t>
      </w:r>
    </w:p>
    <w:p>
      <w:pPr>
        <w:spacing w:after="100"/>
      </w:pPr>
      <w:r>
        <w:rPr>
          <w:b/>
        </w:rPr>
        <w:t xml:space="preserve">El negocio.</w:t>
      </w:r>
      <w:r>
        <w:t xml:space="preserve"> Farmacéutica pura tras escindir Sandoz, con un margen operativo core del 40,1 % en 2025 y del 41,2 % en el 2T26 [1, 2] y un ROIC del 24,6 % frente a un WACC del 8,14 % (16,5 puntos). La calidad sostiene el crecimiento que proyectamos solo «en parte»: el 4,8 % anual de 2026e-2030e sale de marcas con patente y va medio punto por debajo de la guía, pero el de después de 2030 depende de una cartera y unas compras que acaban de fallar (pelacarsen, del-desiran de Avidity) [15, 21].</w:t>
      </w:r>
    </w:p>
    <w:p>
      <w:pPr>
        <w:spacing w:after="100"/>
      </w:pPr>
      <w:r>
        <w:rPr>
          <w:b/>
        </w:rPr>
        <w:t xml:space="preserve">Finanzas.</w:t>
      </w:r>
      <w:r>
        <w:t xml:space="preserve"> Convierte en caja el 137 % del beneficio (47.247 M USD de flujo libre en 2023-2025) y devolvió al accionista más de lo que generó (22.690 M en dividendos y 26.090 M en recompras) [7]. La compra de Avidity llevó la deuda neta de 21.900 M a 39.400 M en el 1S26 (1,7 veces el EBITDA) [11]; el flujo libre no recoge esas compras, que el DCF carga como inversión recurrente.</w:t>
      </w:r>
    </w:p>
    <w:p>
      <w:pPr>
        <w:spacing w:after="100"/>
      </w:pPr>
      <w:r>
        <w:rPr>
          <w:b/>
        </w:rPr>
        <w:t xml:space="preserve">Equipo y gobierno.</w:t>
      </w:r>
      <w:r>
        <w:t xml:space="preserve"> Accionariado disperso, una acción un voto y presidente independiente (Caforio, 97,5 % de apoyo) [25]. La guía anual se cumplió en 2024-2025; el fallo es de I+D y de asignación de capital (Avidity), no comercial.</w:t>
      </w:r>
    </w:p>
    <w:p>
      <w:pPr>
        <w:spacing w:after="100"/>
      </w:pPr>
      <w:r>
        <w:rPr>
          <w:b/>
        </w:rPr>
        <w:t xml:space="preserve">Valoración.</w:t>
      </w:r>
      <w:r>
        <w:t xml:space="preserve"> El DCF da 109,83 USD con un WACC del 8,14 % (bono estadounidense al 5,22 %, porque los flujos son en dólares). El precio descuenta un crecimiento del 6,1 % anual en 2027e-2035e frente a nuestro 2,6 %, que incluye dos años sin crecimiento por los vencimientos. Con la prima implícita del mercado el valor sube a 128,19 USD (−9,0 %): incluso así está caro a largo plazo. A 12 meses, en cambio, cotiza a 14,6x nuestro BPA core de 2027e, por debajo de su mediana de 2022-2025 (15,5x): ahí está el +10,1 %.</w:t>
      </w:r>
    </w:p>
    <w:p>
      <w:pPr>
        <w:spacing w:after="100"/>
      </w:pPr>
      <w:r>
        <w:rPr>
          <w:b/>
        </w:rPr>
        <w:t xml:space="preserve">Riesgos y catalizadores.</w:t>
      </w:r>
      <w:r>
        <w:t xml:space="preserve"> El mayor riesgo es que la cartera no reponga Cosentyx, Kisqali y Kesimpta (bajista del DCF: 82,32 USD, −41,6 %); después, los precios en EE. UU. y un deterioro de Avidity. Catalizadores: resultados del 3T26 el 27-oct [36], datos completos de Lp(a)HORIZON y la guía de 2027 en febrero. Los foros son negativos tras septiembre, sin capitulación; recogen el mismo riesgo que nuestro DCF.</w:t>
      </w:r>
    </w:p>
    <w:p>
      <w:pPr>
        <w:spacing w:after="100"/>
      </w:pPr>
      <w:r>
        <w:rPr>
          <w:b/>
        </w:rPr>
        <w:t xml:space="preserve">Qué cambiaría la decisión.</w:t>
      </w:r>
      <w:r>
        <w:t xml:space="preserve"> Compraríamos por debajo de 115,63 USD (92,50 CHF), donde se cumplen la rentabilidad a 12 meses y el valor intrínseco; venderíamos por encima de 172,36 USD (137,89 CHF). Un recorte de la guía a medio plazo por debajo del 5 % anual bajaría nuestro BPA de 2028e y el objetivo.</w:t>
      </w:r>
    </w:p>
    <w:p>
      <w:r>
        <w:br w:type="page"/>
      </w:r>
    </w:p>
    <w:p>
      <w:pPr>
        <w:pStyle w:val="Heading1"/>
      </w:pPr>
      <w:r>
        <w:t xml:space="preserve">Resumen ejecutivo</w:t>
      </w:r>
    </w:p>
    <w:p>
      <w:pPr>
        <w:pStyle w:val="Confianza"/>
        <w:spacing w:after="100"/>
      </w:pPr>
      <w:r>
        <w:t xml:space="preserve">Confianza: Media</w:t>
      </w:r>
    </w:p>
    <w:p>
      <w:pPr>
        <w:spacing w:after="100"/>
      </w:pPr>
      <w:r>
        <w:rPr>
          <w:b/>
          <w:bCs/>
        </w:rPr>
        <w:t xml:space="preserve">Recomendación: Mantener</w:t>
      </w:r>
      <w:r>
        <w:t xml:space="preserve"> · Convicción: Media · Horizonte: 12 meses (la tesis de valor intrínseco es a más de un año y negativa) · Objetivo a 12 meses: </w:t>
      </w:r>
      <w:r>
        <w:rPr>
          <w:b/>
          <w:bCs/>
        </w:rPr>
        <w:t xml:space="preserve">140,50 USD (112,40 CHF)</w:t>
      </w:r>
      <w:r>
        <w:t xml:space="preserve"> (rentabilidad +3,0 % (base +9,0 %)) · Valor intrínseco: 115,63 USD (92,50 CHF) (-18,0 % sobre 140,93) · con la prima implícita del mercado: 128,19 (102,55 CHF) (-9,0 %)</w:t>
      </w:r>
    </w:p>
    <w:p>
      <w:pPr>
        <w:spacing w:after="100"/>
      </w:pPr>
      <w:r>
        <w:t xml:space="preserve">Novartis es una farmacéutica pura de medicamentos innovadores con 54.500 M USD de ventas en 2025, un margen operativo core del 40,1 % y un ROIC del 24,6 % [1]. Kisqali, Kesimpta, Pluvicto, Leqvio y Scemblix crecen a doble dígito y compensan la caída de Entresto [2, 12].</w:t>
      </w:r>
    </w:p>
    <w:p>
      <w:pPr>
        <w:spacing w:after="100"/>
      </w:pPr>
      <w:r>
        <w:t xml:space="preserve">El precio (140,93 USD) es 14,6 veces nuestro BPA core de 2027e: el mercado paga el crecimiento de 2026-2030 que la guía promete (5-6 % anual) [19]. El DCF inverso pide más: un 6,1 % anual hasta 2035, sin el valle de patentes de principios de los años 2030 que nuestro base sí incluye.</w:t>
      </w:r>
    </w:p>
    <w:p>
      <w:pPr>
        <w:spacing w:after="100"/>
      </w:pPr>
      <w:r>
        <w:t xml:space="preserve">A 12 meses el mercado acierta: el BPA core sube con productos ya vendidos y el múltiplo está por debajo de su mediana. A largo plazo creemos que se equivoca: tras pelacarsen y del-desiran, para invertir hay que creer que la I+D y las compras reponen 2031-2033, y la evidencia reciente va en contra [15, 21].</w:t>
      </w:r>
    </w:p>
    <w:p>
      <w:pPr>
        <w:pStyle w:val="Heading2"/>
      </w:pPr>
      <w:r>
        <w:t xml:space="preserve">La decisión</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6425"/>
        <w:gridCol w:w="3213"/>
      </w:tblGrid>
      <w:tr>
        <w:trPr>
          <w:cantSplit/>
          <w:tblHeader/>
        </w:trPr>
        <w:tc>
          <w:tcPr>
            <w:tcW w:type="dxa" w:w="6425"/>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Elemento de la decisión</w:t>
            </w:r>
          </w:p>
        </w:tc>
        <w:tc>
          <w:tcPr>
            <w:tcW w:type="dxa" w:w="3213"/>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Valor</w:t>
            </w:r>
          </w:p>
        </w:tc>
      </w:tr>
      <w:tr>
        <w:trPr>
          <w:cantSplit/>
        </w:trPr>
        <w:tc>
          <w:tcPr>
            <w:tcW w:type="dxa" w:w="642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Objetivo a 12 meses (nuestro PER × nuestro BPA 2028e, ponderado 25/50/25)</w:t>
            </w:r>
          </w:p>
        </w:tc>
        <w:tc>
          <w:tcPr>
            <w:tcW w:type="dxa" w:w="321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140,50 USD (112,40 CHF)</w:t>
            </w:r>
          </w:p>
        </w:tc>
      </w:tr>
      <w:tr>
        <w:trPr>
          <w:cantSplit/>
        </w:trPr>
        <w:tc>
          <w:tcPr>
            <w:tcW w:type="dxa" w:w="642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Bajista / base / alcista a 12 meses</w:t>
            </w:r>
          </w:p>
        </w:tc>
        <w:tc>
          <w:tcPr>
            <w:tcW w:type="dxa" w:w="321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8,5x × 9,59 = 81,52 · 14,1x × 10,57 = 149,04 · 16,3x × 11,19 = 182,40</w:t>
            </w:r>
          </w:p>
        </w:tc>
      </w:tr>
      <w:tr>
        <w:trPr>
          <w:cantSplit/>
        </w:trPr>
        <w:tc>
          <w:tcPr>
            <w:tcW w:type="dxa" w:w="6425"/>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Rentabilidad a 12 meses: ponderada / del base (con dividendo)</w:t>
            </w:r>
          </w:p>
        </w:tc>
        <w:tc>
          <w:tcPr>
            <w:tcW w:type="dxa" w:w="321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3,0 % / 9,0 %</w:t>
            </w:r>
          </w:p>
        </w:tc>
      </w:tr>
      <w:tr>
        <w:trPr>
          <w:cantSplit/>
        </w:trPr>
        <w:tc>
          <w:tcPr>
            <w:tcW w:type="dxa" w:w="6425"/>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Regla de múltiplos aplicada</w:t>
            </w:r>
          </w:p>
        </w:tc>
        <w:tc>
          <w:tcPr>
            <w:tcW w:type="dxa" w:w="321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v3: base a mitad de camino hacia la mediana adelantada, sin alejarse del actual más de ×1,1; bajista mín. 5 a (adelantado) o base × 0,80; alcista techo base × 1,35</w:t>
            </w:r>
          </w:p>
        </w:tc>
      </w:tr>
      <w:tr>
        <w:trPr>
          <w:cantSplit/>
        </w:trPr>
        <w:tc>
          <w:tcPr>
            <w:tcW w:type="dxa" w:w="6425"/>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Objetivo medio de los analistas (solo contraste)</w:t>
            </w:r>
          </w:p>
        </w:tc>
        <w:tc>
          <w:tcPr>
            <w:tcW w:type="dxa" w:w="321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160,53 (nuestro base -7,2 %)</w:t>
            </w:r>
          </w:p>
        </w:tc>
      </w:tr>
      <w:tr>
        <w:trPr>
          <w:cantSplit/>
        </w:trPr>
        <w:tc>
          <w:tcPr>
            <w:tcW w:type="dxa" w:w="6425"/>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Valor intrínseco (síntesis ponderada, largo plazo)</w:t>
            </w:r>
          </w:p>
        </w:tc>
        <w:tc>
          <w:tcPr>
            <w:tcW w:type="dxa" w:w="321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115,63 USD (92,50 CHF)</w:t>
            </w:r>
          </w:p>
        </w:tc>
      </w:tr>
      <w:tr>
        <w:trPr>
          <w:cantSplit/>
        </w:trPr>
        <w:tc>
          <w:tcPr>
            <w:tcW w:type="dxa" w:w="6425"/>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Precio actual (CHF al tipo de 1,2500 USD por CHF)</w:t>
            </w:r>
          </w:p>
        </w:tc>
        <w:tc>
          <w:tcPr>
            <w:tcW w:type="dxa" w:w="321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140,93 USD (112,74 CHF)</w:t>
            </w:r>
          </w:p>
        </w:tc>
      </w:tr>
      <w:tr>
        <w:trPr>
          <w:cantSplit/>
        </w:trPr>
        <w:tc>
          <w:tcPr>
            <w:tcW w:type="dxa" w:w="6425"/>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Potencial sobre el precio actual</w:t>
            </w:r>
          </w:p>
        </w:tc>
        <w:tc>
          <w:tcPr>
            <w:tcW w:type="dxa" w:w="321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-18,0 %</w:t>
            </w:r>
          </w:p>
        </w:tc>
      </w:tr>
      <w:tr>
        <w:trPr>
          <w:cantSplit/>
        </w:trPr>
        <w:tc>
          <w:tcPr>
            <w:tcW w:type="dxa" w:w="6425"/>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Rentabilidad por dividendo ordinario</w:t>
            </w:r>
          </w:p>
        </w:tc>
        <w:tc>
          <w:tcPr>
            <w:tcW w:type="dxa" w:w="321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3,3 %</w:t>
            </w:r>
          </w:p>
        </w:tc>
      </w:tr>
      <w:tr>
        <w:trPr>
          <w:cantSplit/>
        </w:trPr>
        <w:tc>
          <w:tcPr>
            <w:tcW w:type="dxa" w:w="6425"/>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Rentabilidad total esperada a 12 meses</w:t>
            </w:r>
          </w:p>
        </w:tc>
        <w:tc>
          <w:tcPr>
            <w:tcW w:type="dxa" w:w="321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-14,7 %</w:t>
            </w:r>
          </w:p>
        </w:tc>
      </w:tr>
      <w:tr>
        <w:trPr>
          <w:cantSplit/>
        </w:trPr>
        <w:tc>
          <w:tcPr>
            <w:tcW w:type="dxa" w:w="6425"/>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Escenario alcista / bajista</w:t>
            </w:r>
          </w:p>
        </w:tc>
        <w:tc>
          <w:tcPr>
            <w:tcW w:type="dxa" w:w="321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-9,5 % / -41,6 %</w:t>
            </w:r>
          </w:p>
        </w:tc>
      </w:tr>
      <w:tr>
        <w:trPr>
          <w:cantSplit/>
        </w:trPr>
        <w:tc>
          <w:tcPr>
            <w:tcW w:type="dxa" w:w="6425"/>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Asimetría (ganancia alcista / pérdida bajista)</w:t>
            </w:r>
          </w:p>
        </w:tc>
        <w:tc>
          <w:tcPr>
            <w:tcW w:type="dxa" w:w="321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-0,23x</w:t>
            </w:r>
          </w:p>
        </w:tc>
      </w:tr>
      <w:tr>
        <w:trPr>
          <w:cantSplit/>
        </w:trPr>
        <w:tc>
          <w:tcPr>
            <w:tcW w:type="dxa" w:w="6425"/>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Rentabilidad anual implícita en el precio frente al WACC y al que pide el mercado</w:t>
            </w:r>
          </w:p>
        </w:tc>
        <w:tc>
          <w:tcPr>
            <w:tcW w:type="dxa" w:w="321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6,9 % frente a 8,1 % y 7,4 %</w:t>
            </w:r>
          </w:p>
        </w:tc>
      </w:tr>
      <w:tr>
        <w:trPr>
          <w:cantSplit/>
        </w:trPr>
        <w:tc>
          <w:tcPr>
            <w:tcW w:type="dxa" w:w="6425"/>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Valor objetivo con la prima implícita del mercado (4,2 %, WACC 7,4 %)</w:t>
            </w:r>
          </w:p>
        </w:tc>
        <w:tc>
          <w:tcPr>
            <w:tcW w:type="dxa" w:w="321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128,19 USD (102,55 CHF)</w:t>
            </w:r>
          </w:p>
        </w:tc>
      </w:tr>
      <w:tr>
        <w:trPr>
          <w:cantSplit/>
        </w:trPr>
        <w:tc>
          <w:tcPr>
            <w:tcW w:type="dxa" w:w="6425"/>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Rentabilidad total esperada con la prima del mercado</w:t>
            </w:r>
          </w:p>
        </w:tc>
        <w:tc>
          <w:tcPr>
            <w:tcW w:type="dxa" w:w="321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-5,8 %</w:t>
            </w:r>
          </w:p>
        </w:tc>
      </w:tr>
      <w:tr>
        <w:trPr>
          <w:cantSplit/>
        </w:trPr>
        <w:tc>
          <w:tcPr>
            <w:tcW w:type="dxa" w:w="6425"/>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Asimetría con la prima del mercado</w:t>
            </w:r>
          </w:p>
        </w:tc>
        <w:tc>
          <w:tcPr>
            <w:tcW w:type="dxa" w:w="321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0,13x</w:t>
            </w:r>
          </w:p>
        </w:tc>
      </w:tr>
      <w:tr>
        <w:trPr>
          <w:cantSplit/>
        </w:trPr>
        <w:tc>
          <w:tcPr>
            <w:tcW w:type="dxa" w:w="6425"/>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Regla absoluta (frente a su coste de capital)</w:t>
            </w:r>
          </w:p>
        </w:tc>
        <w:tc>
          <w:tcPr>
            <w:tcW w:type="dxa" w:w="321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Vender</w:t>
            </w:r>
          </w:p>
        </w:tc>
      </w:tr>
      <w:tr>
        <w:trPr>
          <w:cantSplit/>
        </w:trPr>
        <w:tc>
          <w:tcPr>
            <w:tcW w:type="dxa" w:w="6425"/>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Regla relativa (frente a lo que pide el mercado)</w:t>
            </w:r>
          </w:p>
        </w:tc>
        <w:tc>
          <w:tcPr>
            <w:tcW w:type="dxa" w:w="321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Vender</w:t>
            </w:r>
          </w:p>
        </w:tc>
      </w:tr>
      <w:tr>
        <w:trPr>
          <w:cantSplit/>
        </w:trPr>
        <w:tc>
          <w:tcPr>
            <w:tcW w:type="dxa" w:w="6425"/>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¿La calidad de la empresa sostiene el crecimiento previsto?</w:t>
            </w:r>
          </w:p>
        </w:tc>
        <w:tc>
          <w:tcPr>
            <w:tcW w:type="dxa" w:w="321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En parte (2,7 % anual proyectado; sin inversión neta)</w:t>
            </w:r>
          </w:p>
        </w:tc>
      </w:tr>
      <w:tr>
        <w:trPr>
          <w:cantSplit/>
        </w:trPr>
        <w:tc>
          <w:tcPr>
            <w:tcW w:type="dxa" w:w="6425"/>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Señal del valor intrínseco (regla del DCF, referencia)</w:t>
            </w:r>
          </w:p>
        </w:tc>
        <w:tc>
          <w:tcPr>
            <w:tcW w:type="dxa" w:w="321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Vender</w:t>
            </w:r>
          </w:p>
        </w:tc>
      </w:tr>
      <w:tr>
        <w:trPr>
          <w:cantSplit/>
        </w:trPr>
        <w:tc>
          <w:tcPr>
            <w:tcW w:type="dxa" w:w="6425"/>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Recomendación según la regla a 12 meses (Comprar: ponderada ≥ 15 %, base ≥ 12 % y valor intrínseco ≥ precio; Vender: ponderada ≤ -10 %)</w:t>
            </w:r>
          </w:p>
        </w:tc>
        <w:tc>
          <w:tcPr>
            <w:tcW w:type="dxa" w:w="321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Mantener</w:t>
            </w:r>
          </w:p>
        </w:tc>
      </w:tr>
      <w:tr>
        <w:trPr>
          <w:cantSplit/>
        </w:trPr>
        <w:tc>
          <w:tcPr>
            <w:tcW w:type="dxa" w:w="6425"/>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Convicción según los criterios (Mantener con las dos reglas de acuerdo y lejos de los umbrales)</w:t>
            </w:r>
          </w:p>
        </w:tc>
        <w:tc>
          <w:tcPr>
            <w:tcW w:type="dxa" w:w="321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Media</w:t>
            </w:r>
          </w:p>
        </w:tc>
      </w:tr>
    </w:tbl>
    <w:p>
      <w:pPr>
        <w:spacing w:after="160" w:before="0"/>
      </w:pPr>
    </w:p>
    <w:p>
      <w:pPr>
        <w:pStyle w:val="Nota"/>
        <w:spacing w:after="100"/>
      </w:pPr>
      <w:r>
        <w:t xml:space="preserve">Regla (método v2): la recomendación sigue al objetivo a 12 meses, que es nuestro PER × nuestro BPA del ejercicio que mirará el mercado dentro de un año, con la misma regla de múltiplos para todas las empresas (base: el menor entre el PER actual y la mediana de 5 años; bajista: el mínimo de 5 años, o el base −15 % si ya cotiza por debajo; alcista: la media histórica o la de los comparables, sin pasar de base +30 %), ponderado con las probabilidades de los escenarios. Comprar si la rentabilidad ponderada es ≥ 15 %, la del base ≥ 12 % y el valor intrínseco no queda por debajo del precio; Vender si la ponderada es ≤ −10 %; Mantener en el resto. El consenso de analistas solo se compara. El valor intrínseco (DCF) es la referencia a largo plazo; su regla, la de siempre: Comprar si la rentabilidad total esperada a 12 meses es ≥ 15 % y el alcista gana al menos lo que pierde el bajista; Vender si es ≤ −10 %, o negativa con asimetría &lt; 0,5; Mantener en el resto. Se aplica dos veces: con el WACC del análisis (regla absoluta: ¿rinde más que su coste de capital?) y con el WACC que resulta de la prima de riesgo implícita del mercado (regla relativa: ¿rinde más que lo que hoy pide el mercado, ajustado por su beta?). Manda la relativa, salvo que las dos se contradigan (una Comprar y otra Vender): entonces, Mantener.</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1606"/>
        <w:gridCol w:w="8032"/>
      </w:tblGrid>
      <w:tr>
        <w:trPr>
          <w:cantSplit/>
          <w:tblHeader/>
        </w:trPr>
        <w:tc>
          <w:tcPr>
            <w:tcW w:type="dxa" w:w="1606"/>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Acción</w:t>
            </w:r>
          </w:p>
        </w:tc>
        <w:tc>
          <w:tcPr>
            <w:tcW w:type="dxa" w:w="8032"/>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A qué precio</w:t>
            </w:r>
          </w:p>
        </w:tc>
      </w:tr>
      <w:tr>
        <w:trPr>
          <w:cantSplit/>
        </w:trPr>
        <w:tc>
          <w:tcPr>
            <w:tcW w:type="dxa" w:w="16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Comprar</w:t>
            </w:r>
          </w:p>
        </w:tc>
        <w:tc>
          <w:tcPr>
            <w:tcW w:type="dxa" w:w="8032"/>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Por debajo de 115,63 (92,50 CHF) (ponderada a 12 meses ≥ 15 %, base ≥ 12 % y precio ≤ valor intrínseco)</w:t>
            </w:r>
          </w:p>
        </w:tc>
      </w:tr>
      <w:tr>
        <w:trPr>
          <w:cantSplit/>
        </w:trPr>
        <w:tc>
          <w:tcPr>
            <w:tcW w:type="dxa" w:w="16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Mantener</w:t>
            </w:r>
          </w:p>
        </w:tc>
        <w:tc>
          <w:tcPr>
            <w:tcW w:type="dxa" w:w="8032"/>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Entre 115,63 y 161,26 (92,50 y 129,01 CHF)</w:t>
            </w:r>
          </w:p>
        </w:tc>
      </w:tr>
      <w:tr>
        <w:trPr>
          <w:cantSplit/>
        </w:trPr>
        <w:tc>
          <w:tcPr>
            <w:tcW w:type="dxa" w:w="160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Vender o reducir</w:t>
            </w:r>
          </w:p>
        </w:tc>
        <w:tc>
          <w:tcPr>
            <w:tcW w:type="dxa" w:w="8032"/>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Por encima de 161,26 (129,01 CHF) (ponderada a 12 meses ≤ -10 %)</w:t>
            </w:r>
          </w:p>
        </w:tc>
      </w:tr>
    </w:tbl>
    <w:p>
      <w:pPr>
        <w:spacing w:after="160" w:before="0"/>
      </w:pPr>
    </w:p>
    <w:p>
      <w:pPr>
        <w:pStyle w:val="Heading2"/>
      </w:pPr>
      <w:r>
        <w:t xml:space="preserve">Qué cambiaría la recomendación</w:t>
      </w:r>
    </w:p>
    <w:p>
      <w:pPr>
        <w:pStyle w:val="ListParagraph"/>
        <w:numPr>
          <w:ilvl w:val="0"/>
          <w:numId w:val="2"/>
        </w:numPr>
        <w:spacing w:after="60"/>
      </w:pPr>
      <w:r>
        <w:t xml:space="preserve">Precio por debajo de 115,63 USD (92,50 CHF): pasaríamos a Comprar.</w:t>
      </w:r>
    </w:p>
    <w:p>
      <w:pPr>
        <w:pStyle w:val="ListParagraph"/>
        <w:numPr>
          <w:ilvl w:val="0"/>
          <w:numId w:val="2"/>
        </w:numPr>
        <w:spacing w:after="60"/>
      </w:pPr>
      <w:r>
        <w:t xml:space="preserve">Precio por encima de 172,36 USD (137,89 CHF): pasaríamos a Vender.</w:t>
      </w:r>
    </w:p>
    <w:p>
      <w:pPr>
        <w:pStyle w:val="ListParagraph"/>
        <w:numPr>
          <w:ilvl w:val="0"/>
          <w:numId w:val="2"/>
        </w:numPr>
        <w:spacing w:after="60"/>
      </w:pPr>
      <w:r>
        <w:t xml:space="preserve">Recorte de la guía a medio plazo por debajo del 5 % anual: bajaríamos el BPA de 2028e y el objetivo.</w:t>
      </w:r>
    </w:p>
    <w:p>
      <w:pPr>
        <w:pStyle w:val="ListParagraph"/>
        <w:numPr>
          <w:ilvl w:val="0"/>
          <w:numId w:val="2"/>
        </w:numPr>
        <w:spacing w:after="60"/>
      </w:pPr>
      <w:r>
        <w:t xml:space="preserve">Datos de fase III positivos en 2027 en productos con ventas máximas de más de 3.000 M USD: subiríamos el crecimiento de después de 2030.</w:t>
      </w:r>
    </w:p>
    <w:p>
      <w:pPr>
        <w:pStyle w:val="Heading2"/>
      </w:pPr>
      <w:r>
        <w:t xml:space="preserve">Dónde discrepamos del mercado</w:t>
      </w:r>
    </w:p>
    <w:p>
      <w:pPr>
        <w:keepNext/>
        <w:spacing w:after="100"/>
      </w:pPr>
      <w:r>
        <w:rPr>
          <w:b/>
          <w:bCs/>
        </w:rPr>
        <w:t xml:space="preserve">Lo que descuenta el precio.</w:t>
      </w:r>
    </w:p>
    <w:p>
      <w:pPr>
        <w:spacing w:after="100"/>
      </w:pPr>
      <w:r>
        <w:t xml:space="preserve">Que Novartis crece al 5-6 % anual hasta 2030 y que después la cartera repone las patentes, con un crecimiento medio del 6,1 % en 2027e-2035e según el DCF inverso.</w:t>
      </w:r>
    </w:p>
    <w:p>
      <w:pPr>
        <w:keepNext/>
        <w:spacing w:after="100"/>
      </w:pPr>
      <w:r>
        <w:rPr>
          <w:b/>
          <w:bCs/>
        </w:rPr>
        <w:t xml:space="preserve">Lo que creemos nosotros.</w:t>
      </w:r>
    </w:p>
    <w:p>
      <w:pPr>
        <w:spacing w:after="100"/>
      </w:pPr>
      <w:r>
        <w:t xml:space="preserve">Coincidimos en 2026-2030 (4,8 % anual, algo por debajo) pero no después: modelamos 0 % y −2 % en 2031e-2032e y un margen que vuelve al 38 %.</w:t>
      </w:r>
    </w:p>
    <w:p>
      <w:pPr>
        <w:keepNext/>
        <w:spacing w:after="100"/>
      </w:pPr>
      <w:r>
        <w:rPr>
          <w:b/>
          <w:bCs/>
        </w:rPr>
        <w:t xml:space="preserve">Por qué podemos tener razón.</w:t>
      </w:r>
    </w:p>
    <w:p>
      <w:pPr>
        <w:spacing w:after="100"/>
      </w:pPr>
      <w:r>
        <w:t xml:space="preserve">Los dos fracasos de septiembre quitan al menos ≈1.000-2.000 M USD de ventas de 2030 y Avidity perdió su activo principal [15, 22]; la productividad de las compras recientes no justifica pagar hoy el crecimiento de después de 2030.</w:t>
      </w:r>
    </w:p>
    <w:p>
      <w:pPr>
        <w:keepNext w:val="false"/>
        <w:spacing w:after="160" w:before="120"/>
        <w:jc w:val="center"/>
      </w:pPr>
      <w:r>
        <w:drawing>
          <wp:inline xmlns:wp="http://schemas.openxmlformats.org/drawingml/2006/wordprocessingDrawing" distT="0" distB="0" distL="0" distR="0">
            <wp:extent cx="5760000" cy="2880000"/>
            <wp:effectExtent l="0" t="0" r="0" b="0"/>
            <wp:docPr id="1001" name="Gráfico 1" descr="Valor por acción según cada método (USD) · precio actual 140,93"/>
            <wp:cNvGraphicFramePr/>
            <a:graphic xmlns:a="http://schemas.openxmlformats.org/drawingml/2006/main">
              <a:graphicData uri="http://schemas.openxmlformats.org/drawingml/2006/chart">
                <c:chart xmlns:c="http://schemas.openxmlformats.org/drawingml/2006/chart" xmlns:r="http://schemas.openxmlformats.org/officeDocument/2006/relationships" r:id="rIdGrafico1"/>
              </a:graphicData>
            </a:graphic>
          </wp:inline>
        </w:drawing>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4819"/>
        <w:gridCol w:w="1927"/>
        <w:gridCol w:w="1606"/>
        <w:gridCol w:w="1286"/>
      </w:tblGrid>
      <w:tr>
        <w:trPr>
          <w:cantSplit/>
          <w:tblHeader/>
        </w:trPr>
        <w:tc>
          <w:tcPr>
            <w:tcW w:type="dxa" w:w="4819"/>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Método</w:t>
            </w:r>
          </w:p>
        </w:tc>
        <w:tc>
          <w:tcPr>
            <w:tcW w:type="dxa" w:w="1927"/>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Valor por acción</w:t>
            </w:r>
          </w:p>
        </w:tc>
        <w:tc>
          <w:tcPr>
            <w:tcW w:type="dxa" w:w="1606"/>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Potencial</w:t>
            </w:r>
          </w:p>
        </w:tc>
        <w:tc>
          <w:tcPr>
            <w:tcW w:type="dxa" w:w="1286"/>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Peso</w:t>
            </w:r>
          </w:p>
        </w:tc>
      </w:tr>
      <w:tr>
        <w:trPr>
          <w:cantSplit/>
        </w:trPr>
        <w:tc>
          <w:tcPr>
            <w:tcW w:type="dxa" w:w="481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DCF</w:t>
            </w:r>
          </w:p>
        </w:tc>
        <w:tc>
          <w:tcPr>
            <w:tcW w:type="dxa" w:w="192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109,83</w:t>
            </w:r>
          </w:p>
        </w:tc>
        <w:tc>
          <w:tcPr>
            <w:tcW w:type="dxa" w:w="16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-22,1 %</w:t>
            </w:r>
          </w:p>
        </w:tc>
        <w:tc>
          <w:tcPr>
            <w:tcW w:type="dxa" w:w="128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50 %</w:t>
            </w:r>
          </w:p>
        </w:tc>
      </w:tr>
      <w:tr>
        <w:trPr>
          <w:cantSplit/>
        </w:trPr>
        <w:tc>
          <w:tcPr>
            <w:tcW w:type="dxa" w:w="481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Comparables (mediana EV/EBITDA y PER)</w:t>
            </w:r>
          </w:p>
        </w:tc>
        <w:tc>
          <w:tcPr>
            <w:tcW w:type="dxa" w:w="192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135,47</w:t>
            </w:r>
          </w:p>
        </w:tc>
        <w:tc>
          <w:tcPr>
            <w:tcW w:type="dxa" w:w="16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-3,9 %</w:t>
            </w:r>
          </w:p>
        </w:tc>
        <w:tc>
          <w:tcPr>
            <w:tcW w:type="dxa" w:w="128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25 %</w:t>
            </w:r>
          </w:p>
        </w:tc>
      </w:tr>
      <w:tr>
        <w:trPr>
          <w:cantSplit/>
        </w:trPr>
        <w:tc>
          <w:tcPr>
            <w:tcW w:type="dxa" w:w="4819"/>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Escenarios ponderados</w:t>
            </w:r>
          </w:p>
        </w:tc>
        <w:tc>
          <w:tcPr>
            <w:tcW w:type="dxa" w:w="192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107,37</w:t>
            </w:r>
          </w:p>
        </w:tc>
        <w:tc>
          <w:tcPr>
            <w:tcW w:type="dxa" w:w="160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-23,8 %</w:t>
            </w:r>
          </w:p>
        </w:tc>
        <w:tc>
          <w:tcPr>
            <w:tcW w:type="dxa" w:w="128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25 %</w:t>
            </w:r>
          </w:p>
        </w:tc>
      </w:tr>
    </w:tbl>
    <w:p>
      <w:pPr>
        <w:spacing w:after="160" w:before="0"/>
      </w:pPr>
    </w:p>
    <w:p>
      <w:pPr>
        <w:pStyle w:val="Heading2"/>
      </w:pPr>
      <w:r>
        <w:t xml:space="preserve">A favor</w:t>
      </w:r>
    </w:p>
    <w:p>
      <w:pPr>
        <w:pStyle w:val="ListParagraph"/>
        <w:numPr>
          <w:ilvl w:val="0"/>
          <w:numId w:val="2"/>
        </w:numPr>
        <w:spacing w:after="60"/>
      </w:pPr>
      <w:r>
        <w:rPr>
          <w:b/>
        </w:rPr>
        <w:t xml:space="preserve">Margen de primera</w:t>
      </w:r>
      <w:r>
        <w:t xml:space="preserve">: 40,1 % de margen operativo core en 2025 y 41,2 % en el 2T26 [1, 2].</w:t>
      </w:r>
    </w:p>
    <w:p>
      <w:pPr>
        <w:pStyle w:val="ListParagraph"/>
        <w:numPr>
          <w:ilvl w:val="0"/>
          <w:numId w:val="2"/>
        </w:numPr>
        <w:spacing w:after="60"/>
      </w:pPr>
      <w:r>
        <w:rPr>
          <w:b/>
        </w:rPr>
        <w:t xml:space="preserve">Motores ya comercializados</w:t>
      </w:r>
      <w:r>
        <w:t xml:space="preserve">: Kisqali +44 % en el 2T26 (1.700 M USD) [2].</w:t>
      </w:r>
    </w:p>
    <w:p>
      <w:pPr>
        <w:pStyle w:val="ListParagraph"/>
        <w:numPr>
          <w:ilvl w:val="0"/>
          <w:numId w:val="2"/>
        </w:numPr>
        <w:spacing w:after="60"/>
      </w:pPr>
      <w:r>
        <w:rPr>
          <w:b/>
        </w:rPr>
        <w:t xml:space="preserve">Caja</w:t>
      </w:r>
      <w:r>
        <w:t xml:space="preserve">: 17.596 M USD de flujo libre en 2025 y 137 % de conversión en 2023-2025 [5].</w:t>
      </w:r>
    </w:p>
    <w:p>
      <w:pPr>
        <w:pStyle w:val="ListParagraph"/>
        <w:numPr>
          <w:ilvl w:val="0"/>
          <w:numId w:val="2"/>
        </w:numPr>
        <w:spacing w:after="60"/>
      </w:pPr>
      <w:r>
        <w:rPr>
          <w:b/>
        </w:rPr>
        <w:t xml:space="preserve">Retorno al accionista</w:t>
      </w:r>
      <w:r>
        <w:t xml:space="preserve">: dividendo de 3,70 CHF (29 subidas seguidas) y 5.600 M USD de recompra pendiente [11, 17].</w:t>
      </w:r>
    </w:p>
    <w:p>
      <w:pPr>
        <w:pStyle w:val="ListParagraph"/>
        <w:numPr>
          <w:ilvl w:val="0"/>
          <w:numId w:val="2"/>
        </w:numPr>
        <w:spacing w:after="60"/>
      </w:pPr>
      <w:r>
        <w:rPr>
          <w:b/>
        </w:rPr>
        <w:t xml:space="preserve">Múltiplo</w:t>
      </w:r>
      <w:r>
        <w:t xml:space="preserve">: 14,6x nuestro BPA core de 2027e, por debajo de su mediana de 15,5x.</w:t>
      </w:r>
    </w:p>
    <w:p>
      <w:pPr>
        <w:pStyle w:val="Heading2"/>
      </w:pPr>
      <w:r>
        <w:t xml:space="preserve">En contra</w:t>
      </w:r>
    </w:p>
    <w:p>
      <w:pPr>
        <w:pStyle w:val="ListParagraph"/>
        <w:numPr>
          <w:ilvl w:val="0"/>
          <w:numId w:val="2"/>
        </w:numPr>
        <w:spacing w:after="60"/>
      </w:pPr>
      <w:r>
        <w:rPr>
          <w:b/>
        </w:rPr>
        <w:t xml:space="preserve">Valor intrínseco por debajo del precio</w:t>
      </w:r>
      <w:r>
        <w:t xml:space="preserve">: 115,63 USD, −18,0 %.</w:t>
      </w:r>
    </w:p>
    <w:p>
      <w:pPr>
        <w:pStyle w:val="ListParagraph"/>
        <w:numPr>
          <w:ilvl w:val="0"/>
          <w:numId w:val="2"/>
        </w:numPr>
        <w:spacing w:after="60"/>
      </w:pPr>
      <w:r>
        <w:rPr>
          <w:b/>
        </w:rPr>
        <w:t xml:space="preserve">Dos fases III fallidas en una semana</w:t>
      </w:r>
      <w:r>
        <w:t xml:space="preserve"> (pelacarsen y del-desiran) [21].</w:t>
      </w:r>
    </w:p>
    <w:p>
      <w:pPr>
        <w:pStyle w:val="ListParagraph"/>
        <w:numPr>
          <w:ilvl w:val="0"/>
          <w:numId w:val="2"/>
        </w:numPr>
        <w:spacing w:after="60"/>
      </w:pPr>
      <w:r>
        <w:rPr>
          <w:b/>
        </w:rPr>
        <w:t xml:space="preserve">Avidity</w:t>
      </w:r>
      <w:r>
        <w:t xml:space="preserve">: ≈12.000 M USD pagados por un activo que falló siete meses después [15].</w:t>
      </w:r>
    </w:p>
    <w:p>
      <w:pPr>
        <w:pStyle w:val="ListParagraph"/>
        <w:numPr>
          <w:ilvl w:val="0"/>
          <w:numId w:val="2"/>
        </w:numPr>
        <w:spacing w:after="60"/>
      </w:pPr>
      <w:r>
        <w:rPr>
          <w:b/>
        </w:rPr>
        <w:t xml:space="preserve">Precipicio de patentes</w:t>
      </w:r>
      <w:r>
        <w:t xml:space="preserve"> a principios de los años 2030 (Cosentyx, Kisqali, Kesimpta) [22].</w:t>
      </w:r>
    </w:p>
    <w:p>
      <w:pPr>
        <w:pStyle w:val="ListParagraph"/>
        <w:numPr>
          <w:ilvl w:val="0"/>
          <w:numId w:val="2"/>
        </w:numPr>
        <w:spacing w:after="60"/>
      </w:pPr>
      <w:r>
        <w:rPr>
          <w:b/>
        </w:rPr>
        <w:t xml:space="preserve">Deuda neta duplicada</w:t>
      </w:r>
      <w:r>
        <w:t xml:space="preserve">: 39.400 M USD a junio de 2026 [11].</w:t>
      </w:r>
    </w:p>
    <w:p>
      <w:pPr>
        <w:pStyle w:val="Heading2"/>
      </w:pPr>
      <w:r>
        <w:t xml:space="preserve">Qué tiene que pasar para que la tesis funcione</w:t>
      </w:r>
    </w:p>
    <w:p>
      <w:pPr>
        <w:spacing w:after="100"/>
      </w:pPr>
      <w:r>
        <w:t xml:space="preserve">La tesis a 12 meses depende de que el BPA core vuelva a crecer en el 2S26 y en 2027: si el 27-oct la dirección recorta la guía de 2026 o en febrero no guía crecimiento de un dígito medio en el resultado operativo core para 2027, nuestro BPA de 2028e (10,57 USD) no se sostiene. Señal temprana: Entresto y Kisqali en el 3T26.</w:t>
      </w:r>
    </w:p>
    <w:p>
      <w:pPr>
        <w:pStyle w:val="Heading2"/>
      </w:pPr>
      <w:r>
        <w:t xml:space="preserve">Indicadores de seguimiento</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2471"/>
        <w:gridCol w:w="1482"/>
        <w:gridCol w:w="1482"/>
        <w:gridCol w:w="4203"/>
      </w:tblGrid>
      <w:tr>
        <w:trPr>
          <w:cantSplit/>
          <w:tblHeader/>
        </w:trPr>
        <w:tc>
          <w:tcPr>
            <w:tcW w:type="dxa" w:w="2471"/>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Indicador</w:t>
            </w:r>
          </w:p>
        </w:tc>
        <w:tc>
          <w:tcPr>
            <w:tcW w:type="dxa" w:w="1482"/>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Nivel actual</w:t>
            </w:r>
          </w:p>
        </w:tc>
        <w:tc>
          <w:tcPr>
            <w:tcW w:type="dxa" w:w="1482"/>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Umbral de alerta</w:t>
            </w:r>
          </w:p>
        </w:tc>
        <w:tc>
          <w:tcPr>
            <w:tcW w:type="dxa" w:w="4203"/>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Por qué importa</w:t>
            </w:r>
          </w:p>
        </w:tc>
      </w:tr>
      <w:tr>
        <w:trPr>
          <w:cantSplit/>
        </w:trPr>
        <w:tc>
          <w:tcPr>
            <w:tcW w:type="dxa" w:w="247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BPA core trimestral</w:t>
            </w:r>
          </w:p>
        </w:tc>
        <w:tc>
          <w:tcPr>
            <w:tcW w:type="dxa" w:w="1482"/>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2,41 USD (2T26)</w:t>
            </w:r>
          </w:p>
        </w:tc>
        <w:tc>
          <w:tcPr>
            <w:tcW w:type="dxa" w:w="1482"/>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&lt; 2,10 en el 3T26</w:t>
            </w:r>
          </w:p>
        </w:tc>
        <w:tc>
          <w:tcPr>
            <w:tcW w:type="dxa" w:w="420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Valida la aceleración del 2S.</w:t>
            </w:r>
          </w:p>
        </w:tc>
      </w:tr>
      <w:tr>
        <w:trPr>
          <w:cantSplit/>
        </w:trPr>
        <w:tc>
          <w:tcPr>
            <w:tcW w:type="dxa" w:w="247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Ventas de Kisqali</w:t>
            </w:r>
          </w:p>
        </w:tc>
        <w:tc>
          <w:tcPr>
            <w:tcW w:type="dxa" w:w="1482"/>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1.700 M USD (2T26, +44 %)</w:t>
            </w:r>
          </w:p>
        </w:tc>
        <w:tc>
          <w:tcPr>
            <w:tcW w:type="dxa" w:w="1482"/>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Crecimiento &lt; 25 %</w:t>
            </w:r>
          </w:p>
        </w:tc>
        <w:tc>
          <w:tcPr>
            <w:tcW w:type="dxa" w:w="420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Primer motor del BPA de 2028e.</w:t>
            </w:r>
          </w:p>
        </w:tc>
      </w:tr>
      <w:tr>
        <w:trPr>
          <w:cantSplit/>
        </w:trPr>
        <w:tc>
          <w:tcPr>
            <w:tcW w:type="dxa" w:w="247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Margen operativo core</w:t>
            </w:r>
          </w:p>
        </w:tc>
        <w:tc>
          <w:tcPr>
            <w:tcW w:type="dxa" w:w="1482"/>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41,2 % (2T26)</w:t>
            </w:r>
          </w:p>
        </w:tc>
        <w:tc>
          <w:tcPr>
            <w:tcW w:type="dxa" w:w="1482"/>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&lt; 38 %</w:t>
            </w:r>
          </w:p>
        </w:tc>
        <w:tc>
          <w:tcPr>
            <w:tcW w:type="dxa" w:w="420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Base del objetivo de más del 40 % en 2029.</w:t>
            </w:r>
          </w:p>
        </w:tc>
      </w:tr>
      <w:tr>
        <w:trPr>
          <w:cantSplit/>
        </w:trPr>
        <w:tc>
          <w:tcPr>
            <w:tcW w:type="dxa" w:w="247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Deuda neta</w:t>
            </w:r>
          </w:p>
        </w:tc>
        <w:tc>
          <w:tcPr>
            <w:tcW w:type="dxa" w:w="1482"/>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39.400 M USD (jun-26)</w:t>
            </w:r>
          </w:p>
        </w:tc>
        <w:tc>
          <w:tcPr>
            <w:tcW w:type="dxa" w:w="1482"/>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&gt; 50.000 M</w:t>
            </w:r>
          </w:p>
        </w:tc>
        <w:tc>
          <w:tcPr>
            <w:tcW w:type="dxa" w:w="420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Otra compra grande sin ventas.</w:t>
            </w:r>
          </w:p>
        </w:tc>
      </w:tr>
      <w:tr>
        <w:trPr>
          <w:cantSplit/>
        </w:trPr>
        <w:tc>
          <w:tcPr>
            <w:tcW w:type="dxa" w:w="2471"/>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Guía de ventas 2025-2030</w:t>
            </w:r>
          </w:p>
        </w:tc>
        <w:tc>
          <w:tcPr>
            <w:tcW w:type="dxa" w:w="1482"/>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+5-6 % anual</w:t>
            </w:r>
          </w:p>
        </w:tc>
        <w:tc>
          <w:tcPr>
            <w:tcW w:type="dxa" w:w="1482"/>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&lt; 5 %</w:t>
            </w:r>
          </w:p>
        </w:tc>
        <w:tc>
          <w:tcPr>
            <w:tcW w:type="dxa" w:w="420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Sostiene el múltiplo.</w:t>
            </w:r>
          </w:p>
        </w:tc>
      </w:tr>
    </w:tbl>
    <w:p>
      <w:pPr>
        <w:spacing w:after="160" w:before="0"/>
      </w:pPr>
    </w:p>
    <w:p>
      <w:pPr>
        <w:pStyle w:val="Heading2"/>
      </w:pPr>
      <w:r>
        <w:t xml:space="preserve">Datos clave</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2023"/>
        <w:gridCol w:w="2796"/>
        <w:gridCol w:w="2023"/>
        <w:gridCol w:w="2796"/>
      </w:tblGrid>
      <w:tr>
        <w:trPr>
          <w:cantSplit/>
        </w:trPr>
        <w:tc>
          <w:tcPr>
            <w:tcW w:type="dxa" w:w="2023"/>
            <w:tcBorders>
              <w:top w:val="none" w:color="FFFFFF" w:sz="0"/>
              <w:left w:val="none" w:color="FFFFFF" w:sz="0"/>
              <w:bottom w:val="single" w:color="D9D8D3" w:sz="4"/>
              <w:right w:val="none" w:color="FFFFFF" w:sz="0"/>
            </w:tcBorders>
            <w:shd w:fill="F3F2EE" w:color="auto" w:val="clear"/>
            <w:tcMar>
              <w:top w:type="dxa" w:w="50"/>
              <w:left w:type="dxa" w:w="80"/>
              <w:bottom w:type="dxa" w:w="50"/>
              <w:right w:type="dxa" w:w="80"/>
            </w:tcMar>
          </w:tcPr>
          <w:p>
            <w:pPr>
              <w:spacing w:after="0" w:before="0"/>
              <w:jc w:val="left"/>
            </w:pPr>
            <w:r>
              <w:rPr>
                <w:rFonts w:ascii="Calibri" w:cs="Calibri" w:eastAsia="Calibri" w:hAnsi="Calibri"/>
                <w:b w:val="false"/>
                <w:bCs w:val="false"/>
                <w:color w:val="52514E"/>
                <w:sz w:val="16"/>
                <w:szCs w:val="16"/>
              </w:rPr>
              <w:t xml:space="preserve">EV/EBITDA últimos 12 m / próx. 12 m</w:t>
            </w:r>
          </w:p>
        </w:tc>
        <w:tc>
          <w:tcPr>
            <w:tcW w:type="dxa" w:w="279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7"/>
                <w:szCs w:val="17"/>
              </w:rPr>
              <w:t xml:space="preserve">13,5x / n.d.</w:t>
            </w:r>
          </w:p>
        </w:tc>
        <w:tc>
          <w:tcPr>
            <w:tcW w:type="dxa" w:w="2023"/>
            <w:tcBorders>
              <w:top w:val="none" w:color="FFFFFF" w:sz="0"/>
              <w:left w:val="none" w:color="FFFFFF" w:sz="0"/>
              <w:bottom w:val="single" w:color="D9D8D3" w:sz="4"/>
              <w:right w:val="none" w:color="FFFFFF" w:sz="0"/>
            </w:tcBorders>
            <w:shd w:fill="F3F2EE" w:color="auto" w:val="clear"/>
            <w:tcMar>
              <w:top w:type="dxa" w:w="50"/>
              <w:left w:type="dxa" w:w="80"/>
              <w:bottom w:type="dxa" w:w="50"/>
              <w:right w:type="dxa" w:w="80"/>
            </w:tcMar>
          </w:tcPr>
          <w:p>
            <w:pPr>
              <w:spacing w:after="0" w:before="0"/>
              <w:jc w:val="left"/>
            </w:pPr>
            <w:r>
              <w:rPr>
                <w:rFonts w:ascii="Calibri" w:cs="Calibri" w:eastAsia="Calibri" w:hAnsi="Calibri"/>
                <w:b w:val="false"/>
                <w:bCs w:val="false"/>
                <w:color w:val="52514E"/>
                <w:sz w:val="16"/>
                <w:szCs w:val="16"/>
              </w:rPr>
              <w:t xml:space="preserve">PER últimos 12 m / próx. 12 m</w:t>
            </w:r>
          </w:p>
        </w:tc>
        <w:tc>
          <w:tcPr>
            <w:tcW w:type="dxa" w:w="279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7"/>
                <w:szCs w:val="17"/>
              </w:rPr>
              <w:t xml:space="preserve">19,7x / 16,1x</w:t>
            </w:r>
          </w:p>
        </w:tc>
      </w:tr>
      <w:tr>
        <w:trPr>
          <w:cantSplit/>
        </w:trPr>
        <w:tc>
          <w:tcPr>
            <w:tcW w:type="dxa" w:w="2023"/>
            <w:tcBorders>
              <w:top w:val="none" w:color="FFFFFF" w:sz="0"/>
              <w:left w:val="none" w:color="FFFFFF" w:sz="0"/>
              <w:bottom w:val="single" w:color="D9D8D3" w:sz="4"/>
              <w:right w:val="none" w:color="FFFFFF" w:sz="0"/>
            </w:tcBorders>
            <w:shd w:fill="F3F2EE" w:color="auto" w:val="clear"/>
            <w:tcMar>
              <w:top w:type="dxa" w:w="50"/>
              <w:left w:type="dxa" w:w="80"/>
              <w:bottom w:type="dxa" w:w="50"/>
              <w:right w:type="dxa" w:w="80"/>
            </w:tcMar>
          </w:tcPr>
          <w:p>
            <w:pPr>
              <w:spacing w:after="0" w:before="0"/>
              <w:jc w:val="left"/>
            </w:pPr>
            <w:r>
              <w:rPr>
                <w:rFonts w:ascii="Calibri" w:cs="Calibri" w:eastAsia="Calibri" w:hAnsi="Calibri"/>
                <w:b w:val="false"/>
                <w:bCs w:val="false"/>
                <w:color w:val="52514E"/>
                <w:sz w:val="16"/>
                <w:szCs w:val="16"/>
              </w:rPr>
              <w:t xml:space="preserve">EV/EBIT últimos 12 m</w:t>
            </w:r>
          </w:p>
        </w:tc>
        <w:tc>
          <w:tcPr>
            <w:tcW w:type="dxa" w:w="279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7"/>
                <w:szCs w:val="17"/>
              </w:rPr>
              <w:t xml:space="preserve">17,6x</w:t>
            </w:r>
          </w:p>
        </w:tc>
        <w:tc>
          <w:tcPr>
            <w:tcW w:type="dxa" w:w="2023"/>
            <w:tcBorders>
              <w:top w:val="none" w:color="FFFFFF" w:sz="0"/>
              <w:left w:val="none" w:color="FFFFFF" w:sz="0"/>
              <w:bottom w:val="single" w:color="D9D8D3" w:sz="4"/>
              <w:right w:val="none" w:color="FFFFFF" w:sz="0"/>
            </w:tcBorders>
            <w:tcMar>
              <w:top w:type="dxa" w:w="50"/>
              <w:left w:type="dxa" w:w="80"/>
              <w:bottom w:type="dxa" w:w="50"/>
              <w:right w:type="dxa" w:w="80"/>
            </w:tcMar>
          </w:tcPr>
          <w:p/>
        </w:tc>
        <w:tc>
          <w:tcPr>
            <w:tcW w:type="dxa" w:w="2796"/>
            <w:tcBorders>
              <w:top w:val="none" w:color="FFFFFF" w:sz="0"/>
              <w:left w:val="none" w:color="FFFFFF" w:sz="0"/>
              <w:bottom w:val="single" w:color="D9D8D3" w:sz="4"/>
              <w:right w:val="none" w:color="FFFFFF" w:sz="0"/>
            </w:tcBorders>
            <w:tcMar>
              <w:top w:type="dxa" w:w="50"/>
              <w:left w:type="dxa" w:w="80"/>
              <w:bottom w:type="dxa" w:w="50"/>
              <w:right w:type="dxa" w:w="80"/>
            </w:tcMar>
          </w:tcPr>
          <w:p/>
        </w:tc>
      </w:tr>
      <w:tr>
        <w:trPr>
          <w:cantSplit/>
        </w:trPr>
        <w:tc>
          <w:tcPr>
            <w:tcW w:type="dxa" w:w="2023"/>
            <w:tcBorders>
              <w:top w:val="none" w:color="FFFFFF" w:sz="0"/>
              <w:left w:val="none" w:color="FFFFFF" w:sz="0"/>
              <w:bottom w:val="single" w:color="D9D8D3" w:sz="4"/>
              <w:right w:val="none" w:color="FFFFFF" w:sz="0"/>
            </w:tcBorders>
            <w:shd w:fill="F3F2EE" w:color="auto" w:val="clear"/>
            <w:tcMar>
              <w:top w:type="dxa" w:w="50"/>
              <w:left w:type="dxa" w:w="80"/>
              <w:bottom w:type="dxa" w:w="50"/>
              <w:right w:type="dxa" w:w="80"/>
            </w:tcMar>
          </w:tcPr>
          <w:p>
            <w:pPr>
              <w:spacing w:after="0" w:before="0"/>
              <w:jc w:val="left"/>
            </w:pPr>
            <w:r>
              <w:rPr>
                <w:rFonts w:ascii="Calibri" w:cs="Calibri" w:eastAsia="Calibri" w:hAnsi="Calibri"/>
                <w:b w:val="false"/>
                <w:bCs w:val="false"/>
                <w:color w:val="52514E"/>
                <w:sz w:val="16"/>
                <w:szCs w:val="16"/>
              </w:rPr>
              <w:t xml:space="preserve">EV/Ventas últimos 12 m</w:t>
            </w:r>
          </w:p>
        </w:tc>
        <w:tc>
          <w:tcPr>
            <w:tcW w:type="dxa" w:w="279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7"/>
                <w:szCs w:val="17"/>
              </w:rPr>
              <w:t xml:space="preserve">5,48x</w:t>
            </w:r>
          </w:p>
        </w:tc>
        <w:tc>
          <w:tcPr>
            <w:tcW w:type="dxa" w:w="2023"/>
            <w:tcBorders>
              <w:top w:val="none" w:color="FFFFFF" w:sz="0"/>
              <w:left w:val="none" w:color="FFFFFF" w:sz="0"/>
              <w:bottom w:val="single" w:color="D9D8D3" w:sz="4"/>
              <w:right w:val="none" w:color="FFFFFF" w:sz="0"/>
            </w:tcBorders>
            <w:shd w:fill="F3F2EE" w:color="auto" w:val="clear"/>
            <w:tcMar>
              <w:top w:type="dxa" w:w="50"/>
              <w:left w:type="dxa" w:w="80"/>
              <w:bottom w:type="dxa" w:w="50"/>
              <w:right w:type="dxa" w:w="80"/>
            </w:tcMar>
          </w:tcPr>
          <w:p>
            <w:pPr>
              <w:spacing w:after="0" w:before="0"/>
              <w:jc w:val="left"/>
            </w:pPr>
            <w:r>
              <w:rPr>
                <w:rFonts w:ascii="Calibri" w:cs="Calibri" w:eastAsia="Calibri" w:hAnsi="Calibri"/>
                <w:b w:val="false"/>
                <w:bCs w:val="false"/>
                <w:color w:val="52514E"/>
                <w:sz w:val="16"/>
                <w:szCs w:val="16"/>
              </w:rPr>
              <w:t xml:space="preserve">Rentabilidad por FCF</w:t>
            </w:r>
          </w:p>
        </w:tc>
        <w:tc>
          <w:tcPr>
            <w:tcW w:type="dxa" w:w="279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7"/>
                <w:szCs w:val="17"/>
              </w:rPr>
              <w:t xml:space="preserve">6,5 %</w:t>
            </w:r>
          </w:p>
        </w:tc>
      </w:tr>
      <w:tr>
        <w:trPr>
          <w:cantSplit/>
        </w:trPr>
        <w:tc>
          <w:tcPr>
            <w:tcW w:type="dxa" w:w="2023"/>
            <w:tcBorders>
              <w:top w:val="none" w:color="FFFFFF" w:sz="0"/>
              <w:left w:val="none" w:color="FFFFFF" w:sz="0"/>
              <w:bottom w:val="single" w:color="D9D8D3" w:sz="4"/>
              <w:right w:val="none" w:color="FFFFFF" w:sz="0"/>
            </w:tcBorders>
            <w:shd w:fill="F3F2EE" w:color="auto" w:val="clear"/>
            <w:tcMar>
              <w:top w:type="dxa" w:w="50"/>
              <w:left w:type="dxa" w:w="80"/>
              <w:bottom w:type="dxa" w:w="50"/>
              <w:right w:type="dxa" w:w="80"/>
            </w:tcMar>
          </w:tcPr>
          <w:p>
            <w:pPr>
              <w:spacing w:after="0" w:before="0"/>
              <w:jc w:val="left"/>
            </w:pPr>
            <w:r>
              <w:rPr>
                <w:rFonts w:ascii="Calibri" w:cs="Calibri" w:eastAsia="Calibri" w:hAnsi="Calibri"/>
                <w:b w:val="false"/>
                <w:bCs w:val="false"/>
                <w:color w:val="52514E"/>
                <w:sz w:val="16"/>
                <w:szCs w:val="16"/>
              </w:rPr>
              <w:t xml:space="preserve">Rentabilidad por dividendo</w:t>
            </w:r>
          </w:p>
        </w:tc>
        <w:tc>
          <w:tcPr>
            <w:tcW w:type="dxa" w:w="279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7"/>
                <w:szCs w:val="17"/>
              </w:rPr>
              <w:t xml:space="preserve">3,3 %</w:t>
            </w:r>
          </w:p>
        </w:tc>
        <w:tc>
          <w:tcPr>
            <w:tcW w:type="dxa" w:w="2023"/>
            <w:tcBorders>
              <w:top w:val="none" w:color="FFFFFF" w:sz="0"/>
              <w:left w:val="none" w:color="FFFFFF" w:sz="0"/>
              <w:bottom w:val="single" w:color="D9D8D3" w:sz="4"/>
              <w:right w:val="none" w:color="FFFFFF" w:sz="0"/>
            </w:tcBorders>
            <w:shd w:fill="F3F2EE" w:color="auto" w:val="clear"/>
            <w:tcMar>
              <w:top w:type="dxa" w:w="50"/>
              <w:left w:type="dxa" w:w="80"/>
              <w:bottom w:type="dxa" w:w="50"/>
              <w:right w:type="dxa" w:w="80"/>
            </w:tcMar>
          </w:tcPr>
          <w:p>
            <w:pPr>
              <w:spacing w:after="0" w:before="0"/>
              <w:jc w:val="left"/>
            </w:pPr>
            <w:r>
              <w:rPr>
                <w:rFonts w:ascii="Calibri" w:cs="Calibri" w:eastAsia="Calibri" w:hAnsi="Calibri"/>
                <w:b w:val="false"/>
                <w:bCs w:val="false"/>
                <w:color w:val="52514E"/>
                <w:sz w:val="16"/>
                <w:szCs w:val="16"/>
              </w:rPr>
              <w:t xml:space="preserve">Crecimiento anual de ingresos (2021-2025)</w:t>
            </w:r>
          </w:p>
        </w:tc>
        <w:tc>
          <w:tcPr>
            <w:tcW w:type="dxa" w:w="279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7"/>
                <w:szCs w:val="17"/>
              </w:rPr>
              <w:t xml:space="preserve">6,5 %</w:t>
            </w:r>
          </w:p>
        </w:tc>
      </w:tr>
      <w:tr>
        <w:trPr>
          <w:cantSplit/>
        </w:trPr>
        <w:tc>
          <w:tcPr>
            <w:tcW w:type="dxa" w:w="2023"/>
            <w:tcBorders>
              <w:top w:val="none" w:color="FFFFFF" w:sz="0"/>
              <w:left w:val="none" w:color="FFFFFF" w:sz="0"/>
              <w:bottom w:val="single" w:color="D9D8D3" w:sz="4"/>
              <w:right w:val="none" w:color="FFFFFF" w:sz="0"/>
            </w:tcBorders>
            <w:shd w:fill="F3F2EE" w:color="auto" w:val="clear"/>
            <w:tcMar>
              <w:top w:type="dxa" w:w="50"/>
              <w:left w:type="dxa" w:w="80"/>
              <w:bottom w:type="dxa" w:w="50"/>
              <w:right w:type="dxa" w:w="80"/>
            </w:tcMar>
          </w:tcPr>
          <w:p>
            <w:pPr>
              <w:spacing w:after="0" w:before="0"/>
              <w:jc w:val="left"/>
            </w:pPr>
            <w:r>
              <w:rPr>
                <w:rFonts w:ascii="Calibri" w:cs="Calibri" w:eastAsia="Calibri" w:hAnsi="Calibri"/>
                <w:b w:val="false"/>
                <w:bCs w:val="false"/>
                <w:color w:val="52514E"/>
                <w:sz w:val="16"/>
                <w:szCs w:val="16"/>
              </w:rPr>
              <w:t xml:space="preserve">Margen EBITDA últimos 12 m</w:t>
            </w:r>
          </w:p>
        </w:tc>
        <w:tc>
          <w:tcPr>
            <w:tcW w:type="dxa" w:w="279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7"/>
                <w:szCs w:val="17"/>
              </w:rPr>
              <w:t xml:space="preserve">40,4 %</w:t>
            </w:r>
          </w:p>
        </w:tc>
        <w:tc>
          <w:tcPr>
            <w:tcW w:type="dxa" w:w="2023"/>
            <w:tcBorders>
              <w:top w:val="none" w:color="FFFFFF" w:sz="0"/>
              <w:left w:val="none" w:color="FFFFFF" w:sz="0"/>
              <w:bottom w:val="single" w:color="D9D8D3" w:sz="4"/>
              <w:right w:val="none" w:color="FFFFFF" w:sz="0"/>
            </w:tcBorders>
            <w:shd w:fill="F3F2EE" w:color="auto" w:val="clear"/>
            <w:tcMar>
              <w:top w:type="dxa" w:w="50"/>
              <w:left w:type="dxa" w:w="80"/>
              <w:bottom w:type="dxa" w:w="50"/>
              <w:right w:type="dxa" w:w="80"/>
            </w:tcMar>
          </w:tcPr>
          <w:p>
            <w:pPr>
              <w:spacing w:after="0" w:before="0"/>
              <w:jc w:val="left"/>
            </w:pPr>
            <w:r>
              <w:rPr>
                <w:rFonts w:ascii="Calibri" w:cs="Calibri" w:eastAsia="Calibri" w:hAnsi="Calibri"/>
                <w:b w:val="false"/>
                <w:bCs w:val="false"/>
                <w:color w:val="52514E"/>
                <w:sz w:val="16"/>
                <w:szCs w:val="16"/>
              </w:rPr>
              <w:t xml:space="preserve">ROIC último ejercicio</w:t>
            </w:r>
          </w:p>
        </w:tc>
        <w:tc>
          <w:tcPr>
            <w:tcW w:type="dxa" w:w="279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7"/>
                <w:szCs w:val="17"/>
              </w:rPr>
              <w:t xml:space="preserve">24,6 %</w:t>
            </w:r>
          </w:p>
        </w:tc>
      </w:tr>
      <w:tr>
        <w:trPr>
          <w:cantSplit/>
        </w:trPr>
        <w:tc>
          <w:tcPr>
            <w:tcW w:type="dxa" w:w="2023"/>
            <w:tcBorders>
              <w:top w:val="none" w:color="FFFFFF" w:sz="0"/>
              <w:left w:val="none" w:color="FFFFFF" w:sz="0"/>
              <w:bottom w:val="single" w:color="D9D8D3" w:sz="4"/>
              <w:right w:val="none" w:color="FFFFFF" w:sz="0"/>
            </w:tcBorders>
            <w:shd w:fill="F3F2EE" w:color="auto" w:val="clear"/>
            <w:tcMar>
              <w:top w:type="dxa" w:w="50"/>
              <w:left w:type="dxa" w:w="80"/>
              <w:bottom w:type="dxa" w:w="50"/>
              <w:right w:type="dxa" w:w="80"/>
            </w:tcMar>
          </w:tcPr>
          <w:p>
            <w:pPr>
              <w:spacing w:after="0" w:before="0"/>
              <w:jc w:val="left"/>
            </w:pPr>
            <w:r>
              <w:rPr>
                <w:rFonts w:ascii="Calibri" w:cs="Calibri" w:eastAsia="Calibri" w:hAnsi="Calibri"/>
                <w:b w:val="false"/>
                <w:bCs w:val="false"/>
                <w:color w:val="52514E"/>
                <w:sz w:val="16"/>
                <w:szCs w:val="16"/>
              </w:rPr>
              <w:t xml:space="preserve">WACC</w:t>
            </w:r>
          </w:p>
        </w:tc>
        <w:tc>
          <w:tcPr>
            <w:tcW w:type="dxa" w:w="279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7"/>
                <w:szCs w:val="17"/>
              </w:rPr>
              <w:t xml:space="preserve">8,1 %</w:t>
            </w:r>
          </w:p>
        </w:tc>
        <w:tc>
          <w:tcPr>
            <w:tcW w:type="dxa" w:w="2023"/>
            <w:tcBorders>
              <w:top w:val="none" w:color="FFFFFF" w:sz="0"/>
              <w:left w:val="none" w:color="FFFFFF" w:sz="0"/>
              <w:bottom w:val="single" w:color="D9D8D3" w:sz="4"/>
              <w:right w:val="none" w:color="FFFFFF" w:sz="0"/>
            </w:tcBorders>
            <w:shd w:fill="F3F2EE" w:color="auto" w:val="clear"/>
            <w:tcMar>
              <w:top w:type="dxa" w:w="50"/>
              <w:left w:type="dxa" w:w="80"/>
              <w:bottom w:type="dxa" w:w="50"/>
              <w:right w:type="dxa" w:w="80"/>
            </w:tcMar>
          </w:tcPr>
          <w:p>
            <w:pPr>
              <w:spacing w:after="0" w:before="0"/>
              <w:jc w:val="left"/>
            </w:pPr>
            <w:r>
              <w:rPr>
                <w:rFonts w:ascii="Calibri" w:cs="Calibri" w:eastAsia="Calibri" w:hAnsi="Calibri"/>
                <w:b w:val="false"/>
                <w:bCs w:val="false"/>
                <w:color w:val="52514E"/>
                <w:sz w:val="16"/>
                <w:szCs w:val="16"/>
              </w:rPr>
              <w:t xml:space="preserve">Deuda neta / EBITDA (contable · ajustada)</w:t>
            </w:r>
          </w:p>
        </w:tc>
        <w:tc>
          <w:tcPr>
            <w:tcW w:type="dxa" w:w="279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7"/>
                <w:szCs w:val="17"/>
              </w:rPr>
              <w:t xml:space="preserve">1,7x · 1,7x</w:t>
            </w:r>
          </w:p>
        </w:tc>
      </w:tr>
      <w:tr>
        <w:trPr>
          <w:cantSplit/>
        </w:trPr>
        <w:tc>
          <w:tcPr>
            <w:tcW w:type="dxa" w:w="2023"/>
            <w:tcBorders>
              <w:top w:val="none" w:color="FFFFFF" w:sz="0"/>
              <w:left w:val="none" w:color="FFFFFF" w:sz="0"/>
              <w:bottom w:val="single" w:color="D9D8D3" w:sz="4"/>
              <w:right w:val="none" w:color="FFFFFF" w:sz="0"/>
            </w:tcBorders>
            <w:shd w:fill="F3F2EE" w:color="auto" w:val="clear"/>
            <w:tcMar>
              <w:top w:type="dxa" w:w="50"/>
              <w:left w:type="dxa" w:w="80"/>
              <w:bottom w:type="dxa" w:w="50"/>
              <w:right w:type="dxa" w:w="80"/>
            </w:tcMar>
          </w:tcPr>
          <w:p>
            <w:pPr>
              <w:spacing w:after="0" w:before="0"/>
              <w:jc w:val="left"/>
            </w:pPr>
            <w:r>
              <w:rPr>
                <w:rFonts w:ascii="Calibri" w:cs="Calibri" w:eastAsia="Calibri" w:hAnsi="Calibri"/>
                <w:b w:val="false"/>
                <w:bCs w:val="false"/>
                <w:color w:val="52514E"/>
                <w:sz w:val="16"/>
                <w:szCs w:val="16"/>
              </w:rPr>
              <w:t xml:space="preserve">Gobierno (criterios cumplidos)</w:t>
            </w:r>
          </w:p>
        </w:tc>
        <w:tc>
          <w:tcPr>
            <w:tcW w:type="dxa" w:w="279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7"/>
                <w:szCs w:val="17"/>
              </w:rPr>
              <w:t xml:space="preserve">8 de 13 (5 sin dato)</w:t>
            </w:r>
          </w:p>
        </w:tc>
        <w:tc>
          <w:tcPr>
            <w:tcW w:type="dxa" w:w="2023"/>
            <w:tcBorders>
              <w:top w:val="none" w:color="FFFFFF" w:sz="0"/>
              <w:left w:val="none" w:color="FFFFFF" w:sz="0"/>
              <w:bottom w:val="single" w:color="D9D8D3" w:sz="4"/>
              <w:right w:val="none" w:color="FFFFFF" w:sz="0"/>
            </w:tcBorders>
            <w:shd w:fill="F3F2EE" w:color="auto" w:val="clear"/>
            <w:tcMar>
              <w:top w:type="dxa" w:w="50"/>
              <w:left w:type="dxa" w:w="80"/>
              <w:bottom w:type="dxa" w:w="50"/>
              <w:right w:type="dxa" w:w="80"/>
            </w:tcMar>
          </w:tcPr>
          <w:p>
            <w:pPr>
              <w:spacing w:after="0" w:before="0"/>
              <w:jc w:val="left"/>
            </w:pPr>
          </w:p>
        </w:tc>
        <w:tc>
          <w:tcPr>
            <w:tcW w:type="dxa" w:w="279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p>
        </w:tc>
      </w:tr>
    </w:tbl>
    <w:p>
      <w:pPr>
        <w:spacing w:after="160" w:before="0"/>
      </w:pPr>
    </w:p>
    <w:p>
      <w:r>
        <w:br w:type="page"/>
      </w:r>
    </w:p>
    <w:p>
      <w:pPr>
        <w:pStyle w:val="Parte"/>
      </w:pPr>
      <w:r>
        <w:t xml:space="preserve">Parte I — Negocio y sector</w:t>
      </w:r>
    </w:p>
    <w:p>
      <w:pPr>
        <w:pStyle w:val="Heading1"/>
      </w:pPr>
      <w:r>
        <w:t xml:space="preserve">1. Historia e hitos</w:t>
      </w:r>
    </w:p>
    <w:p>
      <w:pPr>
        <w:pStyle w:val="Confianza"/>
        <w:spacing w:after="100"/>
      </w:pPr>
      <w:r>
        <w:t xml:space="preserve">Confianza: Media</w:t>
      </w:r>
    </w:p>
    <w:p>
      <w:pPr>
        <w:spacing w:after="100"/>
      </w:pPr>
      <w:r>
        <w:t xml:space="preserve">Novartis nació en 1996 de la fusión de Ciba-Geigy y Sandoz. Con Vas Narasimhan al frente desde 2018 se quedó solo con los medicamentos innovadores: vendió su 33 % de las acciones al portador de Roche por 19.024 M CHF en 2021 [16], sacó a bolsa Alcon en 2019 y escindió Sandoz en 2023 [10]. El resultado es una farmacéutica pura con un margen operativo core que pasó del 38,7 % en 2024 al 40,1 % en 2025 [1, 9]. En 2025 perdió la patente de Entresto en EE. UU. y en 2026 compró Avidity por ≈12.000 M USD [15]; en septiembre fallaron dos fases III (pelacarsen y del-desiran) y la acción cayó un 10,9 % en un día [20].</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1133"/>
        <w:gridCol w:w="8505"/>
      </w:tblGrid>
      <w:tr>
        <w:trPr>
          <w:cantSplit/>
          <w:tblHeader/>
        </w:trPr>
        <w:tc>
          <w:tcPr>
            <w:tcW w:type="dxa" w:w="1133"/>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center"/>
            </w:pPr>
            <w:r>
              <w:rPr>
                <w:rFonts w:ascii="Calibri" w:cs="Calibri" w:eastAsia="Calibri" w:hAnsi="Calibri"/>
                <w:b/>
                <w:bCs/>
                <w:color w:val="FFFFFF"/>
                <w:sz w:val="16"/>
                <w:szCs w:val="16"/>
              </w:rPr>
              <w:t xml:space="preserve">Año</w:t>
            </w:r>
          </w:p>
        </w:tc>
        <w:tc>
          <w:tcPr>
            <w:tcW w:type="dxa" w:w="8505"/>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Hito</w:t>
            </w:r>
          </w:p>
        </w:tc>
      </w:tr>
      <w:tr>
        <w:trPr>
          <w:cantSplit/>
        </w:trPr>
        <w:tc>
          <w:tcPr>
            <w:tcW w:type="dxa" w:w="113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bCs/>
                <w:color w:val="1F2A3C"/>
                <w:sz w:val="16"/>
                <w:szCs w:val="16"/>
              </w:rPr>
              <w:t xml:space="preserve">1996</w:t>
            </w:r>
          </w:p>
        </w:tc>
        <w:tc>
          <w:tcPr>
            <w:tcW w:type="dxa" w:w="850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Fusión de Ciba-Geigy y Sandoz, la mayor de su tiempo en el sector, que crea Novartis en Basilea.</w:t>
            </w:r>
          </w:p>
        </w:tc>
      </w:tr>
      <w:tr>
        <w:trPr>
          <w:cantSplit/>
        </w:trPr>
        <w:tc>
          <w:tcPr>
            <w:tcW w:type="dxa" w:w="113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bCs/>
                <w:color w:val="1F2A3C"/>
                <w:sz w:val="16"/>
                <w:szCs w:val="16"/>
              </w:rPr>
              <w:t xml:space="preserve">2018</w:t>
            </w:r>
          </w:p>
        </w:tc>
        <w:tc>
          <w:tcPr>
            <w:tcW w:type="dxa" w:w="850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Vas Narasimhan, consejero delegado; empieza la reducción a medicamentos innovadores (venta de Alcon en 2019) [C3].</w:t>
            </w:r>
          </w:p>
        </w:tc>
      </w:tr>
      <w:tr>
        <w:trPr>
          <w:cantSplit/>
        </w:trPr>
        <w:tc>
          <w:tcPr>
            <w:tcW w:type="dxa" w:w="113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bCs/>
                <w:color w:val="1F2A3C"/>
                <w:sz w:val="16"/>
                <w:szCs w:val="16"/>
              </w:rPr>
              <w:t xml:space="preserve">2021</w:t>
            </w:r>
          </w:p>
        </w:tc>
        <w:tc>
          <w:tcPr>
            <w:tcW w:type="dxa" w:w="850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Vende a Roche su 33 % de acciones al portador por 19.024 M CHF [A16].</w:t>
            </w:r>
          </w:p>
        </w:tc>
      </w:tr>
      <w:tr>
        <w:trPr>
          <w:cantSplit/>
        </w:trPr>
        <w:tc>
          <w:tcPr>
            <w:tcW w:type="dxa" w:w="113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bCs/>
                <w:color w:val="1F2A3C"/>
                <w:sz w:val="16"/>
                <w:szCs w:val="16"/>
              </w:rPr>
              <w:t xml:space="preserve">2023</w:t>
            </w:r>
          </w:p>
        </w:tc>
        <w:tc>
          <w:tcPr>
            <w:tcW w:type="dxa" w:w="850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Escisión de Sandoz: Novartis queda como farmacéutica pura [A10].</w:t>
            </w:r>
          </w:p>
        </w:tc>
      </w:tr>
      <w:tr>
        <w:trPr>
          <w:cantSplit/>
        </w:trPr>
        <w:tc>
          <w:tcPr>
            <w:tcW w:type="dxa" w:w="113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bCs/>
                <w:color w:val="1F2A3C"/>
                <w:sz w:val="16"/>
                <w:szCs w:val="16"/>
              </w:rPr>
              <w:t xml:space="preserve">2025</w:t>
            </w:r>
          </w:p>
        </w:tc>
        <w:tc>
          <w:tcPr>
            <w:tcW w:type="dxa" w:w="850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Genéricos de Entresto en EE. UU.; margen core del 40,1 % y BPA core de 8,98 USD [A1].</w:t>
            </w:r>
          </w:p>
        </w:tc>
      </w:tr>
      <w:tr>
        <w:trPr>
          <w:cantSplit/>
        </w:trPr>
        <w:tc>
          <w:tcPr>
            <w:tcW w:type="dxa" w:w="113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bCs/>
                <w:color w:val="1F2A3C"/>
                <w:sz w:val="16"/>
                <w:szCs w:val="16"/>
              </w:rPr>
              <w:t xml:space="preserve">2026</w:t>
            </w:r>
          </w:p>
        </w:tc>
        <w:tc>
          <w:tcPr>
            <w:tcW w:type="dxa" w:w="8505"/>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Compra de Avidity (≈12.000 M USD, febrero); en septiembre fallan pelacarsen (Lp(a)HORIZON) y del-desiran (HARBOR) y la acción cae un 10,9 % en un día [A15, 1, 2].</w:t>
            </w:r>
          </w:p>
        </w:tc>
      </w:tr>
    </w:tbl>
    <w:p>
      <w:pPr>
        <w:spacing w:after="160" w:before="0"/>
      </w:pPr>
    </w:p>
    <w:p>
      <w:pPr>
        <w:pStyle w:val="Heading1"/>
      </w:pPr>
      <w:r>
        <w:t xml:space="preserve">2. Modelo de negocio</w:t>
      </w:r>
    </w:p>
    <w:p>
      <w:pPr>
        <w:pStyle w:val="Confianza"/>
        <w:spacing w:after="100"/>
      </w:pPr>
      <w:r>
        <w:t xml:space="preserve">Confianza: Media</w:t>
      </w:r>
    </w:p>
    <w:p>
      <w:pPr>
        <w:spacing w:after="100"/>
      </w:pPr>
      <w:r>
        <w:t xml:space="preserve">Novartis vende medicamentos innovadores con receta en cuatro áreas: cardiovascular, renal y metabolismo (Entresto, Leqvio), inmunología (Cosentyx, remibrutinib), neurociencia (Kesimpta, Zolgensma) y oncología (Kisqali, Pluvicto, Scemblix) [1, 2]. En 2025 facturó 54.500 M USD de ventas netas y 56.674 M de ingresos totales, con regalías y otros ingresos [1, 4]. Vende a mayoristas, hospitales y sistemas públicos; EE. UU. es el primer mercado. Tras escindir Sandoz no tiene genéricos ni dispositivos: todo el beneficio depende de patentes y de la cartera de I+D.</w:t>
      </w:r>
    </w:p>
    <w:p>
      <w:pPr>
        <w:pStyle w:val="Heading2"/>
      </w:pPr>
      <w:r>
        <w:t xml:space="preserve">Cómo gana dinero</w:t>
      </w:r>
    </w:p>
    <w:p>
      <w:pPr>
        <w:spacing w:after="100"/>
      </w:pPr>
      <w:r>
        <w:t xml:space="preserve">El margen sale de patentes: un medicamento protegido cuesta poco de fabricar y se vende con margen bruto alto, así que el apalancamiento operativo es grande. En 2025 el volumen sumó 15 puntos al crecimiento, los genéricos restaron 6 y el precio 1 [1]. El margen operativo core llegó al 40,1 % en 2025 y al 41,2 % en el 2T26 [1, 2]. La contrapartida es el vencimiento de patentes: Entresto, que perdió la exclusividad en EE. UU. a mediados de 2025, cayó un 50 % en el 2T26 [12], y la empresa tiene que reponer ventas con lanzamientos y compras de biotecnológicas.</w:t>
      </w:r>
    </w:p>
    <w:p>
      <w:pPr>
        <w:pStyle w:val="Heading2"/>
      </w:pPr>
      <w:r>
        <w:t xml:space="preserve">Clientes, recurrencia y poder de precios</w:t>
      </w:r>
    </w:p>
    <w:p>
      <w:pPr>
        <w:spacing w:after="100"/>
      </w:pPr>
      <w:r>
        <w:t xml:space="preserve">No hay concentración relevante de clientes finales, pero sí de pagadores: en EE. UU. tres grandes mayoristas distribuyen la mayor parte de las ventas y los planes de salud y el Gobierno (Medicare, IRA) negocian los precios. El poder de precios es limitado: el precio restó 1 punto al crecimiento de 2025 [1]. La fortaleza está en el volumen de los productos nuevos: Kisqali creció un 44 % en el 2T26 hasta 1.700 M USD [2].</w:t>
      </w:r>
    </w:p>
    <w:p>
      <w:pPr>
        <w:pStyle w:val="Heading2"/>
      </w:pPr>
      <w:r>
        <w:t xml:space="preserve">Indicadores operativos</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2440"/>
        <w:gridCol w:w="1220"/>
        <w:gridCol w:w="1220"/>
        <w:gridCol w:w="1098"/>
        <w:gridCol w:w="3660"/>
      </w:tblGrid>
      <w:tr>
        <w:trPr>
          <w:cantSplit/>
          <w:tblHeader/>
        </w:trPr>
        <w:tc>
          <w:tcPr>
            <w:tcW w:type="dxa" w:w="2440"/>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Indicador</w:t>
            </w:r>
          </w:p>
        </w:tc>
        <w:tc>
          <w:tcPr>
            <w:tcW w:type="dxa" w:w="1220"/>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Anterior</w:t>
            </w:r>
          </w:p>
        </w:tc>
        <w:tc>
          <w:tcPr>
            <w:tcW w:type="dxa" w:w="1220"/>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Actual</w:t>
            </w:r>
          </w:p>
        </w:tc>
        <w:tc>
          <w:tcPr>
            <w:tcW w:type="dxa" w:w="1098"/>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Variación</w:t>
            </w:r>
          </w:p>
        </w:tc>
        <w:tc>
          <w:tcPr>
            <w:tcW w:type="dxa" w:w="3660"/>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Lectura</w:t>
            </w:r>
          </w:p>
        </w:tc>
      </w:tr>
      <w:tr>
        <w:trPr>
          <w:cantSplit/>
        </w:trPr>
        <w:tc>
          <w:tcPr>
            <w:tcW w:type="dxa" w:w="244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Ventas netas (M USD)</w:t>
            </w:r>
          </w:p>
        </w:tc>
        <w:tc>
          <w:tcPr>
            <w:tcW w:type="dxa" w:w="122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50.300 (2024)</w:t>
            </w:r>
          </w:p>
        </w:tc>
        <w:tc>
          <w:tcPr>
            <w:tcW w:type="dxa" w:w="122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54.500 (2025)</w:t>
            </w:r>
          </w:p>
        </w:tc>
        <w:tc>
          <w:tcPr>
            <w:tcW w:type="dxa" w:w="109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+8 % a tipo constante</w:t>
            </w:r>
          </w:p>
        </w:tc>
        <w:tc>
          <w:tcPr>
            <w:tcW w:type="dxa" w:w="366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Volumen +15 puntos, genéricos −6 y precio −1 [1].</w:t>
            </w:r>
          </w:p>
        </w:tc>
      </w:tr>
      <w:tr>
        <w:trPr>
          <w:cantSplit/>
        </w:trPr>
        <w:tc>
          <w:tcPr>
            <w:tcW w:type="dxa" w:w="244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Margen operativo core</w:t>
            </w:r>
          </w:p>
        </w:tc>
        <w:tc>
          <w:tcPr>
            <w:tcW w:type="dxa" w:w="122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38,7 % (2024)</w:t>
            </w:r>
          </w:p>
        </w:tc>
        <w:tc>
          <w:tcPr>
            <w:tcW w:type="dxa" w:w="122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40,1 % (2025)</w:t>
            </w:r>
          </w:p>
        </w:tc>
        <w:tc>
          <w:tcPr>
            <w:tcW w:type="dxa" w:w="109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+1,4 puntos</w:t>
            </w:r>
          </w:p>
        </w:tc>
        <w:tc>
          <w:tcPr>
            <w:tcW w:type="dxa" w:w="366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En el 2T26, 41,2 % [1, 2, 9].</w:t>
            </w:r>
          </w:p>
        </w:tc>
      </w:tr>
      <w:tr>
        <w:trPr>
          <w:cantSplit/>
        </w:trPr>
        <w:tc>
          <w:tcPr>
            <w:tcW w:type="dxa" w:w="244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BPA core (USD)</w:t>
            </w:r>
          </w:p>
        </w:tc>
        <w:tc>
          <w:tcPr>
            <w:tcW w:type="dxa" w:w="122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7,81 (2024)</w:t>
            </w:r>
          </w:p>
        </w:tc>
        <w:tc>
          <w:tcPr>
            <w:tcW w:type="dxa" w:w="122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8,98 (2025)</w:t>
            </w:r>
          </w:p>
        </w:tc>
        <w:tc>
          <w:tcPr>
            <w:tcW w:type="dxa" w:w="109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+15 % en USD</w:t>
            </w:r>
          </w:p>
        </w:tc>
        <w:tc>
          <w:tcPr>
            <w:tcW w:type="dxa" w:w="366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1S26: 4,39 USD (−6 % en USD) por los genéricos de Entresto [1, 2].</w:t>
            </w:r>
          </w:p>
        </w:tc>
      </w:tr>
      <w:tr>
        <w:trPr>
          <w:cantSplit/>
        </w:trPr>
        <w:tc>
          <w:tcPr>
            <w:tcW w:type="dxa" w:w="244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Kisqali, ventas trimestrales (M USD)</w:t>
            </w:r>
          </w:p>
        </w:tc>
        <w:tc>
          <w:tcPr>
            <w:tcW w:type="dxa" w:w="122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≈1.180 (2T25)</w:t>
            </w:r>
          </w:p>
        </w:tc>
        <w:tc>
          <w:tcPr>
            <w:tcW w:type="dxa" w:w="122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1.700 (2T26)</w:t>
            </w:r>
          </w:p>
        </w:tc>
        <w:tc>
          <w:tcPr>
            <w:tcW w:type="dxa" w:w="109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+44 %</w:t>
            </w:r>
          </w:p>
        </w:tc>
        <w:tc>
          <w:tcPr>
            <w:tcW w:type="dxa" w:w="366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Primer motor de crecimiento; en el 1T26, 1.520 M (+59 %) [3, 12].</w:t>
            </w:r>
          </w:p>
        </w:tc>
      </w:tr>
      <w:tr>
        <w:trPr>
          <w:cantSplit/>
        </w:trPr>
        <w:tc>
          <w:tcPr>
            <w:tcW w:type="dxa" w:w="244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Entresto, ventas trimestrales (M USD)</w:t>
            </w:r>
          </w:p>
        </w:tc>
        <w:tc>
          <w:tcPr>
            <w:tcW w:type="dxa" w:w="122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≈2.400 (2T25)</w:t>
            </w:r>
          </w:p>
        </w:tc>
        <w:tc>
          <w:tcPr>
            <w:tcW w:type="dxa" w:w="122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1.200 (2T26)</w:t>
            </w:r>
          </w:p>
        </w:tc>
        <w:tc>
          <w:tcPr>
            <w:tcW w:type="dxa" w:w="109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−50 %</w:t>
            </w:r>
          </w:p>
        </w:tc>
        <w:tc>
          <w:tcPr>
            <w:tcW w:type="dxa" w:w="366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Genéricos en EE. UU. desde mediados de 2025 [12].</w:t>
            </w:r>
          </w:p>
        </w:tc>
      </w:tr>
      <w:tr>
        <w:trPr>
          <w:cantSplit/>
        </w:trPr>
        <w:tc>
          <w:tcPr>
            <w:tcW w:type="dxa" w:w="244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Flujo libre (M USD)</w:t>
            </w:r>
          </w:p>
        </w:tc>
        <w:tc>
          <w:tcPr>
            <w:tcW w:type="dxa" w:w="122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16.253 (2024)</w:t>
            </w:r>
          </w:p>
        </w:tc>
        <w:tc>
          <w:tcPr>
            <w:tcW w:type="dxa" w:w="122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17.596 (2025)</w:t>
            </w:r>
          </w:p>
        </w:tc>
        <w:tc>
          <w:tcPr>
            <w:tcW w:type="dxa" w:w="1098"/>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+8 %</w:t>
            </w:r>
          </w:p>
        </w:tc>
        <w:tc>
          <w:tcPr>
            <w:tcW w:type="dxa" w:w="366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Últimos 12 meses a jun-26: 16.763 M [1, 5].</w:t>
            </w:r>
          </w:p>
        </w:tc>
      </w:tr>
    </w:tbl>
    <w:p>
      <w:pPr>
        <w:spacing w:after="160" w:before="0"/>
      </w:pPr>
    </w:p>
    <w:p>
      <w:pPr>
        <w:pStyle w:val="Heading1"/>
      </w:pPr>
      <w:r>
        <w:t xml:space="preserve">3. Sector y mercado</w:t>
      </w:r>
    </w:p>
    <w:p>
      <w:pPr>
        <w:pStyle w:val="Confianza"/>
        <w:spacing w:after="100"/>
      </w:pPr>
      <w:r>
        <w:t xml:space="preserve">Confianza: Baja</w:t>
      </w:r>
    </w:p>
    <w:p>
      <w:pPr>
        <w:spacing w:after="100"/>
      </w:pPr>
      <w:r>
        <w:t xml:space="preserve">El mercado relevante es el de medicamentos innovadores con receta, sobre todo en EE. UU. y Europa. No hemos podido abrir una fuente de tamaño de mercado (IQVIA, EvaluatePharma), así que la sección se apoya en los motores de demanda y en la evolución de las grandes farmacéuticas comparables [23].</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2023"/>
        <w:gridCol w:w="2796"/>
        <w:gridCol w:w="2023"/>
        <w:gridCol w:w="2796"/>
      </w:tblGrid>
      <w:tr>
        <w:trPr>
          <w:cantSplit/>
        </w:trPr>
        <w:tc>
          <w:tcPr>
            <w:tcW w:type="dxa" w:w="2023"/>
            <w:tcBorders>
              <w:top w:val="none" w:color="FFFFFF" w:sz="0"/>
              <w:left w:val="none" w:color="FFFFFF" w:sz="0"/>
              <w:bottom w:val="single" w:color="D9D8D3" w:sz="4"/>
              <w:right w:val="none" w:color="FFFFFF" w:sz="0"/>
            </w:tcBorders>
            <w:tcMar>
              <w:top w:type="dxa" w:w="50"/>
              <w:left w:type="dxa" w:w="80"/>
              <w:bottom w:type="dxa" w:w="50"/>
              <w:right w:type="dxa" w:w="80"/>
            </w:tcMar>
          </w:tcPr>
          <w:p/>
        </w:tc>
        <w:tc>
          <w:tcPr>
            <w:tcW w:type="dxa" w:w="2796"/>
            <w:tcBorders>
              <w:top w:val="none" w:color="FFFFFF" w:sz="0"/>
              <w:left w:val="none" w:color="FFFFFF" w:sz="0"/>
              <w:bottom w:val="single" w:color="D9D8D3" w:sz="4"/>
              <w:right w:val="none" w:color="FFFFFF" w:sz="0"/>
            </w:tcBorders>
            <w:tcMar>
              <w:top w:type="dxa" w:w="50"/>
              <w:left w:type="dxa" w:w="80"/>
              <w:bottom w:type="dxa" w:w="50"/>
              <w:right w:type="dxa" w:w="80"/>
            </w:tcMar>
          </w:tcPr>
          <w:p/>
        </w:tc>
        <w:tc>
          <w:tcPr>
            <w:tcW w:type="dxa" w:w="2023"/>
            <w:tcBorders>
              <w:top w:val="none" w:color="FFFFFF" w:sz="0"/>
              <w:left w:val="none" w:color="FFFFFF" w:sz="0"/>
              <w:bottom w:val="single" w:color="D9D8D3" w:sz="4"/>
              <w:right w:val="none" w:color="FFFFFF" w:sz="0"/>
            </w:tcBorders>
            <w:shd w:fill="F3F2EE" w:color="auto" w:val="clear"/>
            <w:tcMar>
              <w:top w:type="dxa" w:w="50"/>
              <w:left w:type="dxa" w:w="80"/>
              <w:bottom w:type="dxa" w:w="50"/>
              <w:right w:type="dxa" w:w="80"/>
            </w:tcMar>
          </w:tcPr>
          <w:p>
            <w:pPr>
              <w:spacing w:after="0" w:before="0"/>
              <w:jc w:val="left"/>
            </w:pPr>
            <w:r>
              <w:rPr>
                <w:rFonts w:ascii="Calibri" w:cs="Calibri" w:eastAsia="Calibri" w:hAnsi="Calibri"/>
                <w:b w:val="false"/>
                <w:bCs w:val="false"/>
                <w:color w:val="52514E"/>
                <w:sz w:val="16"/>
                <w:szCs w:val="16"/>
              </w:rPr>
              <w:t xml:space="preserve">Posición en el ciclo</w:t>
            </w:r>
          </w:p>
        </w:tc>
        <w:tc>
          <w:tcPr>
            <w:tcW w:type="dxa" w:w="279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7"/>
                <w:szCs w:val="17"/>
              </w:rPr>
              <w:t xml:space="preserve">Madurez del ciclo</w:t>
            </w:r>
          </w:p>
        </w:tc>
      </w:tr>
    </w:tbl>
    <w:p>
      <w:pPr>
        <w:spacing w:after="160" w:before="0"/>
      </w:pPr>
    </w:p>
    <w:p>
      <w:pPr>
        <w:pStyle w:val="Heading2"/>
      </w:pPr>
      <w:r>
        <w:t xml:space="preserve">Motores de la demanda</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2503"/>
        <w:gridCol w:w="876"/>
        <w:gridCol w:w="1251"/>
        <w:gridCol w:w="5008"/>
      </w:tblGrid>
      <w:tr>
        <w:trPr>
          <w:cantSplit/>
          <w:tblHeader/>
        </w:trPr>
        <w:tc>
          <w:tcPr>
            <w:tcW w:type="dxa" w:w="2503"/>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Motor</w:t>
            </w:r>
          </w:p>
        </w:tc>
        <w:tc>
          <w:tcPr>
            <w:tcW w:type="dxa" w:w="876"/>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center"/>
            </w:pPr>
            <w:r>
              <w:rPr>
                <w:rFonts w:ascii="Calibri" w:cs="Calibri" w:eastAsia="Calibri" w:hAnsi="Calibri"/>
                <w:b/>
                <w:bCs/>
                <w:color w:val="FFFFFF"/>
                <w:sz w:val="16"/>
                <w:szCs w:val="16"/>
              </w:rPr>
              <w:t xml:space="preserve">Efecto</w:t>
            </w:r>
          </w:p>
        </w:tc>
        <w:tc>
          <w:tcPr>
            <w:tcW w:type="dxa" w:w="1251"/>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Horizonte</w:t>
            </w:r>
          </w:p>
        </w:tc>
        <w:tc>
          <w:tcPr>
            <w:tcW w:type="dxa" w:w="5008"/>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Evidencia</w:t>
            </w:r>
          </w:p>
        </w:tc>
      </w:tr>
      <w:tr>
        <w:trPr>
          <w:cantSplit/>
        </w:trPr>
        <w:tc>
          <w:tcPr>
            <w:tcW w:type="dxa" w:w="250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Pérdidas de exclusividad</w:t>
            </w:r>
          </w:p>
        </w:tc>
        <w:tc>
          <w:tcPr>
            <w:tcW w:type="dxa" w:w="87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w:t>
            </w:r>
          </w:p>
        </w:tc>
        <w:tc>
          <w:tcPr>
            <w:tcW w:type="dxa" w:w="125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Estructural</w:t>
            </w:r>
          </w:p>
        </w:tc>
        <w:tc>
          <w:tcPr>
            <w:tcW w:type="dxa" w:w="500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Los genéricos restaron 6 puntos al crecimiento de 2025 y Entresto cayó un 50 % en el 2T26 [A1, A12]; Cosentyx, Kisqali y Kesimpta vencen a principios de los años 2030 [22].</w:t>
            </w:r>
          </w:p>
        </w:tc>
      </w:tr>
      <w:tr>
        <w:trPr>
          <w:cantSplit/>
        </w:trPr>
        <w:tc>
          <w:tcPr>
            <w:tcW w:type="dxa" w:w="250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Precios de medicamentos en EE. UU.</w:t>
            </w:r>
          </w:p>
        </w:tc>
        <w:tc>
          <w:tcPr>
            <w:tcW w:type="dxa" w:w="87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w:t>
            </w:r>
          </w:p>
        </w:tc>
        <w:tc>
          <w:tcPr>
            <w:tcW w:type="dxa" w:w="125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Estructural</w:t>
            </w:r>
          </w:p>
        </w:tc>
        <w:tc>
          <w:tcPr>
            <w:tcW w:type="dxa" w:w="500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El precio restó 1 punto en 2025 [A1]; el sector cotizó a ≈12x beneficios en el mínimo de 2025 por los acuerdos de nación más favorecida [23].</w:t>
            </w:r>
          </w:p>
        </w:tc>
      </w:tr>
      <w:tr>
        <w:trPr>
          <w:cantSplit/>
        </w:trPr>
        <w:tc>
          <w:tcPr>
            <w:tcW w:type="dxa" w:w="250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Nuevos medicamentos en oncología, inmunología y neurociencia</w:t>
            </w:r>
          </w:p>
        </w:tc>
        <w:tc>
          <w:tcPr>
            <w:tcW w:type="dxa" w:w="87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w:t>
            </w:r>
          </w:p>
        </w:tc>
        <w:tc>
          <w:tcPr>
            <w:tcW w:type="dxa" w:w="125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Estructural</w:t>
            </w:r>
          </w:p>
        </w:tc>
        <w:tc>
          <w:tcPr>
            <w:tcW w:type="dxa" w:w="500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El volumen sumó 15 puntos en 2025; Kisqali creció un 44 % en el 2T26 [A1, A2].</w:t>
            </w:r>
          </w:p>
        </w:tc>
      </w:tr>
      <w:tr>
        <w:trPr>
          <w:cantSplit/>
        </w:trPr>
        <w:tc>
          <w:tcPr>
            <w:tcW w:type="dxa" w:w="250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Productividad de la I+D en cardiología</w:t>
            </w:r>
          </w:p>
        </w:tc>
        <w:tc>
          <w:tcPr>
            <w:tcW w:type="dxa" w:w="87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val="false"/>
                <w:bCs w:val="false"/>
                <w:color w:val="1F2A3C"/>
                <w:sz w:val="16"/>
                <w:szCs w:val="16"/>
              </w:rPr>
              <w:t xml:space="preserve">−</w:t>
            </w:r>
          </w:p>
        </w:tc>
        <w:tc>
          <w:tcPr>
            <w:tcW w:type="dxa" w:w="1251"/>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Cíclico</w:t>
            </w:r>
          </w:p>
        </w:tc>
        <w:tc>
          <w:tcPr>
            <w:tcW w:type="dxa" w:w="5008"/>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Pelacarsen bajó el Lp(a) pero no los episodios cardiovasculares en Lp(a)HORIZON [21].</w:t>
            </w:r>
          </w:p>
        </w:tc>
      </w:tr>
    </w:tbl>
    <w:p>
      <w:pPr>
        <w:spacing w:after="160" w:before="0"/>
      </w:pPr>
    </w:p>
    <w:p>
      <w:pPr>
        <w:pStyle w:val="Heading2"/>
      </w:pPr>
      <w:r>
        <w:t xml:space="preserve">Ciclo</w:t>
      </w:r>
    </w:p>
    <w:p>
      <w:pPr>
        <w:spacing w:after="100"/>
      </w:pPr>
      <w:r>
        <w:t xml:space="preserve">La demanda de medicamentos no depende del ciclo económico; lo que cambia es la ola de vencimientos de patentes y la presión de precios en EE. UU. El sector cotizó a ≈12x beneficios en el mínimo de 2025 por los acuerdos de nación más favorecida [23]. Para Novartis, 2026 es el año bajo del ciclo de producto (Entresto) y el siguiente valle llega a principios de los años 2030 con Cosentyx, Kisqali y Kesimpta [22].</w:t>
      </w:r>
    </w:p>
    <w:p>
      <w:pPr>
        <w:pStyle w:val="Heading2"/>
      </w:pPr>
      <w:r>
        <w:t xml:space="preserve">Regulación</w:t>
      </w:r>
    </w:p>
    <w:p>
      <w:pPr>
        <w:spacing w:after="100"/>
      </w:pPr>
      <w:r>
        <w:t xml:space="preserve">En EE. UU., la ley de reducción de la inflación (IRA) permite a Medicare negociar precios de los fármacos más vendidos y los acuerdos de nación más favorecida de 2025 ligan precios a los de otros países ricos [23]. En Europa, la reforma de la legislación farmacéutica acorta la exclusividad de datos. Ninguna de estas normas aparece cuantificada en la guía de Novartis, que mantiene un crecimiento de ventas del 5-6 % anual en 2025-2030 a tipo constante [19].</w:t>
      </w:r>
    </w:p>
    <w:p>
      <w:pPr>
        <w:pStyle w:val="Heading2"/>
      </w:pPr>
      <w:r>
        <w:t xml:space="preserve">Tendencias y disrupción</w:t>
      </w:r>
    </w:p>
    <w:p>
      <w:pPr>
        <w:spacing w:after="100"/>
      </w:pPr>
      <w:r>
        <w:t xml:space="preserve">Las nuevas modalidades (radioligandos como Pluvicto, ARN interferente como Leqvio, ARN dirigido a músculo de Avidity) son el campo de Novartis. La obesidad, donde no tiene producto, concentra el crecimiento del sector y el múltiplo de Lilly (26,7x beneficios) [23]. Los fracasos de pelacarsen y del-desiran muestran el riesgo de apostar por mecanismos nuevos sin datos de resultados clínicos [21, 24].</w:t>
      </w:r>
    </w:p>
    <w:p>
      <w:pPr>
        <w:pStyle w:val="Heading1"/>
      </w:pPr>
      <w:r>
        <w:t xml:space="preserve">4. Posición competitiva y foso</w:t>
      </w:r>
    </w:p>
    <w:p>
      <w:pPr>
        <w:pStyle w:val="Confianza"/>
        <w:spacing w:after="100"/>
      </w:pPr>
      <w:r>
        <w:t xml:space="preserve">Confianza: Baja</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2023"/>
        <w:gridCol w:w="2796"/>
        <w:gridCol w:w="2023"/>
        <w:gridCol w:w="2796"/>
      </w:tblGrid>
      <w:tr>
        <w:trPr>
          <w:cantSplit/>
        </w:trPr>
        <w:tc>
          <w:tcPr>
            <w:tcW w:type="dxa" w:w="2023"/>
            <w:tcBorders>
              <w:top w:val="none" w:color="FFFFFF" w:sz="0"/>
              <w:left w:val="none" w:color="FFFFFF" w:sz="0"/>
              <w:bottom w:val="single" w:color="D9D8D3" w:sz="4"/>
              <w:right w:val="none" w:color="FFFFFF" w:sz="0"/>
            </w:tcBorders>
            <w:tcMar>
              <w:top w:type="dxa" w:w="50"/>
              <w:left w:type="dxa" w:w="80"/>
              <w:bottom w:type="dxa" w:w="50"/>
              <w:right w:type="dxa" w:w="80"/>
            </w:tcMar>
          </w:tcPr>
          <w:p/>
        </w:tc>
        <w:tc>
          <w:tcPr>
            <w:tcW w:type="dxa" w:w="2796"/>
            <w:tcBorders>
              <w:top w:val="none" w:color="FFFFFF" w:sz="0"/>
              <w:left w:val="none" w:color="FFFFFF" w:sz="0"/>
              <w:bottom w:val="single" w:color="D9D8D3" w:sz="4"/>
              <w:right w:val="none" w:color="FFFFFF" w:sz="0"/>
            </w:tcBorders>
            <w:tcMar>
              <w:top w:type="dxa" w:w="50"/>
              <w:left w:type="dxa" w:w="80"/>
              <w:bottom w:type="dxa" w:w="50"/>
              <w:right w:type="dxa" w:w="80"/>
            </w:tcMar>
          </w:tcPr>
          <w:p/>
        </w:tc>
        <w:tc>
          <w:tcPr>
            <w:tcW w:type="dxa" w:w="2023"/>
            <w:tcBorders>
              <w:top w:val="none" w:color="FFFFFF" w:sz="0"/>
              <w:left w:val="none" w:color="FFFFFF" w:sz="0"/>
              <w:bottom w:val="single" w:color="D9D8D3" w:sz="4"/>
              <w:right w:val="none" w:color="FFFFFF" w:sz="0"/>
            </w:tcBorders>
            <w:shd w:fill="F3F2EE" w:color="auto" w:val="clear"/>
            <w:tcMar>
              <w:top w:type="dxa" w:w="50"/>
              <w:left w:type="dxa" w:w="80"/>
              <w:bottom w:type="dxa" w:w="50"/>
              <w:right w:type="dxa" w:w="80"/>
            </w:tcMar>
          </w:tcPr>
          <w:p>
            <w:pPr>
              <w:spacing w:after="0" w:before="0"/>
              <w:jc w:val="left"/>
            </w:pPr>
            <w:r>
              <w:rPr>
                <w:rFonts w:ascii="Calibri" w:cs="Calibri" w:eastAsia="Calibri" w:hAnsi="Calibri"/>
                <w:b w:val="false"/>
                <w:bCs w:val="false"/>
                <w:color w:val="52514E"/>
                <w:sz w:val="16"/>
                <w:szCs w:val="16"/>
              </w:rPr>
              <w:t xml:space="preserve">Posición</w:t>
            </w:r>
          </w:p>
        </w:tc>
        <w:tc>
          <w:tcPr>
            <w:tcW w:type="dxa" w:w="279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7"/>
                <w:szCs w:val="17"/>
              </w:rPr>
              <w:t xml:space="preserve">Entre las diez mayores farmacéuticas del mundo por ventas (54.500 M USD en 2025) y la de mayor margen operativo core de Europa (40,1 %) [1]. Líder en radioligandos (Pluvicto) y en el inhibidor CDK4/6 de cáncer de mama precoz (Kisqali) [2].</w:t>
            </w:r>
          </w:p>
        </w:tc>
      </w:tr>
      <w:tr>
        <w:trPr>
          <w:cantSplit/>
        </w:trPr>
        <w:tc>
          <w:tcPr>
            <w:tcW w:type="dxa" w:w="2023"/>
            <w:tcBorders>
              <w:top w:val="none" w:color="FFFFFF" w:sz="0"/>
              <w:left w:val="none" w:color="FFFFFF" w:sz="0"/>
              <w:bottom w:val="single" w:color="D9D8D3" w:sz="4"/>
              <w:right w:val="none" w:color="FFFFFF" w:sz="0"/>
            </w:tcBorders>
            <w:shd w:fill="F3F2EE" w:color="auto" w:val="clear"/>
            <w:tcMar>
              <w:top w:type="dxa" w:w="50"/>
              <w:left w:type="dxa" w:w="80"/>
              <w:bottom w:type="dxa" w:w="50"/>
              <w:right w:type="dxa" w:w="80"/>
            </w:tcMar>
          </w:tcPr>
          <w:p>
            <w:pPr>
              <w:spacing w:after="0" w:before="0"/>
              <w:jc w:val="left"/>
            </w:pPr>
            <w:r>
              <w:rPr>
                <w:rFonts w:ascii="Calibri" w:cs="Calibri" w:eastAsia="Calibri" w:hAnsi="Calibri"/>
                <w:b w:val="false"/>
                <w:bCs w:val="false"/>
                <w:color w:val="52514E"/>
                <w:sz w:val="16"/>
                <w:szCs w:val="16"/>
              </w:rPr>
              <w:t xml:space="preserve">Foso</w:t>
            </w:r>
          </w:p>
        </w:tc>
        <w:tc>
          <w:tcPr>
            <w:tcW w:type="dxa" w:w="279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7"/>
                <w:szCs w:val="17"/>
              </w:rPr>
              <w:t xml:space="preserve">Estrecho</w:t>
            </w:r>
          </w:p>
        </w:tc>
        <w:tc>
          <w:tcPr>
            <w:tcW w:type="dxa" w:w="2023"/>
            <w:tcBorders>
              <w:top w:val="none" w:color="FFFFFF" w:sz="0"/>
              <w:left w:val="none" w:color="FFFFFF" w:sz="0"/>
              <w:bottom w:val="single" w:color="D9D8D3" w:sz="4"/>
              <w:right w:val="none" w:color="FFFFFF" w:sz="0"/>
            </w:tcBorders>
            <w:shd w:fill="F3F2EE" w:color="auto" w:val="clear"/>
            <w:tcMar>
              <w:top w:type="dxa" w:w="50"/>
              <w:left w:type="dxa" w:w="80"/>
              <w:bottom w:type="dxa" w:w="50"/>
              <w:right w:type="dxa" w:w="80"/>
            </w:tcMar>
          </w:tcPr>
          <w:p>
            <w:pPr>
              <w:spacing w:after="0" w:before="0"/>
              <w:jc w:val="left"/>
            </w:pPr>
            <w:r>
              <w:rPr>
                <w:rFonts w:ascii="Calibri" w:cs="Calibri" w:eastAsia="Calibri" w:hAnsi="Calibri"/>
                <w:b w:val="false"/>
                <w:bCs w:val="false"/>
                <w:color w:val="52514E"/>
                <w:sz w:val="16"/>
                <w:szCs w:val="16"/>
              </w:rPr>
              <w:t xml:space="preserve">Tendencia del foso</w:t>
            </w:r>
          </w:p>
        </w:tc>
        <w:tc>
          <w:tcPr>
            <w:tcW w:type="dxa" w:w="279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7"/>
                <w:szCs w:val="17"/>
              </w:rPr>
              <w:t xml:space="preserve">Estable</w:t>
            </w:r>
          </w:p>
        </w:tc>
      </w:tr>
    </w:tbl>
    <w:p>
      <w:pPr>
        <w:spacing w:after="160" w:before="0"/>
      </w:pP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3600"/>
        <w:gridCol w:w="847"/>
        <w:gridCol w:w="953"/>
        <w:gridCol w:w="1059"/>
        <w:gridCol w:w="3179"/>
      </w:tblGrid>
      <w:tr>
        <w:trPr>
          <w:cantSplit/>
          <w:tblHeader/>
        </w:trPr>
        <w:tc>
          <w:tcPr>
            <w:tcW w:type="dxa" w:w="1906"/>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Competidor</w:t>
            </w:r>
          </w:p>
        </w:tc>
        <w:tc>
          <w:tcPr>
            <w:tcW w:type="dxa" w:w="847"/>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País</w:t>
            </w:r>
          </w:p>
        </w:tc>
        <w:tc>
          <w:tcPr>
            <w:tcW w:type="dxa" w:w="953"/>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Cotiza</w:t>
            </w:r>
          </w:p>
        </w:tc>
        <w:tc>
          <w:tcPr>
            <w:tcW w:type="dxa" w:w="1059"/>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Ingresos (M)</w:t>
            </w:r>
          </w:p>
        </w:tc>
        <w:tc>
          <w:tcPr>
            <w:tcW w:type="dxa" w:w="3179"/>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Cómo compite</w:t>
            </w:r>
          </w:p>
        </w:tc>
      </w:tr>
      <w:tr>
        <w:trPr>
          <w:cantSplit/>
        </w:trPr>
        <w:tc>
          <w:tcPr>
            <w:tcW w:type="dxa" w:w="19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Roche</w:t>
            </w:r>
          </w:p>
        </w:tc>
        <w:tc>
          <w:tcPr>
            <w:tcW w:type="dxa" w:w="84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Suiza</w:t>
            </w:r>
          </w:p>
        </w:tc>
        <w:tc>
          <w:tcPr>
            <w:tcW w:type="dxa" w:w="95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ROP</w:t>
            </w:r>
          </w:p>
        </w:tc>
        <w:tc>
          <w:tcPr>
            <w:tcW w:type="dxa" w:w="105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79.195</w:t>
            </w:r>
          </w:p>
        </w:tc>
        <w:tc>
          <w:tcPr>
            <w:tcW w:type="dxa" w:w="317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Ingresos de 63.356 M CHF en 2025 (≈79.200 M USD a 1,25); margen EBITDA del 34,5 % [23].</w:t>
            </w:r>
          </w:p>
        </w:tc>
      </w:tr>
      <w:tr>
        <w:trPr>
          <w:cantSplit/>
        </w:trPr>
        <w:tc>
          <w:tcPr>
            <w:tcW w:type="dxa" w:w="19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AstraZeneca</w:t>
            </w:r>
          </w:p>
        </w:tc>
        <w:tc>
          <w:tcPr>
            <w:tcW w:type="dxa" w:w="84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Reino Unido</w:t>
            </w:r>
          </w:p>
        </w:tc>
        <w:tc>
          <w:tcPr>
            <w:tcW w:type="dxa" w:w="95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AZN</w:t>
            </w:r>
          </w:p>
        </w:tc>
        <w:tc>
          <w:tcPr>
            <w:tcW w:type="dxa" w:w="105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61.370</w:t>
            </w:r>
          </w:p>
        </w:tc>
        <w:tc>
          <w:tcPr>
            <w:tcW w:type="dxa" w:w="317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Oncología y cardiometabólico; 61.370 M USD de ventas en 12 meses, margen EBITDA del 33 % [23].</w:t>
            </w:r>
          </w:p>
        </w:tc>
      </w:tr>
      <w:tr>
        <w:trPr>
          <w:cantSplit/>
        </w:trPr>
        <w:tc>
          <w:tcPr>
            <w:tcW w:type="dxa" w:w="19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Merck &amp; Co</w:t>
            </w:r>
          </w:p>
        </w:tc>
        <w:tc>
          <w:tcPr>
            <w:tcW w:type="dxa" w:w="84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EE. UU.</w:t>
            </w:r>
          </w:p>
        </w:tc>
        <w:tc>
          <w:tcPr>
            <w:tcW w:type="dxa" w:w="95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MRK</w:t>
            </w:r>
          </w:p>
        </w:tc>
        <w:tc>
          <w:tcPr>
            <w:tcW w:type="dxa" w:w="105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66.570</w:t>
            </w:r>
          </w:p>
        </w:tc>
        <w:tc>
          <w:tcPr>
            <w:tcW w:type="dxa" w:w="317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Rival en oncología; 66.570 M USD, margen EBITDA del 43,4 % [23].</w:t>
            </w:r>
          </w:p>
        </w:tc>
      </w:tr>
      <w:tr>
        <w:trPr>
          <w:cantSplit/>
        </w:trPr>
        <w:tc>
          <w:tcPr>
            <w:tcW w:type="dxa" w:w="19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Sanofi</w:t>
            </w:r>
          </w:p>
        </w:tc>
        <w:tc>
          <w:tcPr>
            <w:tcW w:type="dxa" w:w="84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Francia</w:t>
            </w:r>
          </w:p>
        </w:tc>
        <w:tc>
          <w:tcPr>
            <w:tcW w:type="dxa" w:w="95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SAN</w:t>
            </w:r>
          </w:p>
        </w:tc>
        <w:tc>
          <w:tcPr>
            <w:tcW w:type="dxa" w:w="105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55.890</w:t>
            </w:r>
          </w:p>
        </w:tc>
        <w:tc>
          <w:tcPr>
            <w:tcW w:type="dxa" w:w="317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Inmunología (Dupixent frente a Cosentyx en dermatología); 55.890 M USD, margen EBITDA del 27,7 % [23].</w:t>
            </w:r>
          </w:p>
        </w:tc>
      </w:tr>
      <w:tr>
        <w:trPr>
          <w:cantSplit/>
        </w:trPr>
        <w:tc>
          <w:tcPr>
            <w:tcW w:type="dxa" w:w="190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Eli Lilly</w:t>
            </w:r>
          </w:p>
        </w:tc>
        <w:tc>
          <w:tcPr>
            <w:tcW w:type="dxa" w:w="84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EE. UU.</w:t>
            </w:r>
          </w:p>
        </w:tc>
        <w:tc>
          <w:tcPr>
            <w:tcW w:type="dxa" w:w="95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LLY</w:t>
            </w:r>
          </w:p>
        </w:tc>
        <w:tc>
          <w:tcPr>
            <w:tcW w:type="dxa" w:w="1059"/>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w:t>
            </w:r>
          </w:p>
        </w:tc>
        <w:tc>
          <w:tcPr>
            <w:tcW w:type="dxa" w:w="3179"/>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Margen EBITDA del 52,4 % y crecimiento del 24 %: la referencia del sector por la obesidad [23].</w:t>
            </w:r>
          </w:p>
        </w:tc>
      </w:tr>
    </w:tbl>
    <w:p>
      <w:pPr>
        <w:spacing w:after="160" w:before="0"/>
      </w:pPr>
    </w:p>
    <w:p>
      <w:pPr>
        <w:keepNext w:val="false"/>
        <w:spacing w:after="160" w:before="120"/>
        <w:jc w:val="center"/>
      </w:pPr>
      <w:r>
        <w:drawing>
          <wp:inline xmlns:wp="http://schemas.openxmlformats.org/drawingml/2006/wordprocessingDrawing" distT="0" distB="0" distL="0" distR="0">
            <wp:extent cx="5760000" cy="2340000"/>
            <wp:effectExtent l="0" t="0" r="0" b="0"/>
            <wp:docPr id="1002" name="Gráfico 2" descr="Margen EBIT: la empresa frente a sus competidores (%)"/>
            <wp:cNvGraphicFramePr/>
            <a:graphic xmlns:a="http://schemas.openxmlformats.org/drawingml/2006/main">
              <a:graphicData uri="http://schemas.openxmlformats.org/drawingml/2006/chart">
                <c:chart xmlns:c="http://schemas.openxmlformats.org/drawingml/2006/chart" xmlns:r="http://schemas.openxmlformats.org/officeDocument/2006/relationships" r:id="rIdGrafico2"/>
              </a:graphicData>
            </a:graphic>
          </wp:inline>
        </w:drawing>
      </w:r>
    </w:p>
    <w:p>
      <w:pPr>
        <w:pStyle w:val="Heading2"/>
      </w:pPr>
      <w:r>
        <w:t xml:space="preserve">Fuentes de ventaja competitiva</w:t>
      </w:r>
    </w:p>
    <w:p>
      <w:pPr>
        <w:keepNext w:val="false"/>
        <w:spacing w:after="160" w:before="120"/>
        <w:jc w:val="center"/>
      </w:pPr>
      <w:r>
        <w:drawing>
          <wp:inline xmlns:wp="http://schemas.openxmlformats.org/drawingml/2006/wordprocessingDrawing" distT="0" distB="0" distL="0" distR="0">
            <wp:extent cx="5760000" cy="1980000"/>
            <wp:effectExtent l="0" t="0" r="0" b="0"/>
            <wp:docPr id="1003" name="Gráfico 3" descr="Fuentes de ventaja competitiva (0 = inexistente, 5 = muy fuerte)"/>
            <wp:cNvGraphicFramePr/>
            <a:graphic xmlns:a="http://schemas.openxmlformats.org/drawingml/2006/main">
              <a:graphicData uri="http://schemas.openxmlformats.org/drawingml/2006/chart">
                <c:chart xmlns:c="http://schemas.openxmlformats.org/drawingml/2006/chart" xmlns:r="http://schemas.openxmlformats.org/officeDocument/2006/relationships" r:id="rIdGrafico3"/>
              </a:graphicData>
            </a:graphic>
          </wp:inline>
        </w:drawing>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2224"/>
        <w:gridCol w:w="1235"/>
        <w:gridCol w:w="6179"/>
      </w:tblGrid>
      <w:tr>
        <w:trPr>
          <w:cantSplit/>
          <w:tblHeader/>
        </w:trPr>
        <w:tc>
          <w:tcPr>
            <w:tcW w:type="dxa" w:w="2224"/>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Fuente</w:t>
            </w:r>
          </w:p>
        </w:tc>
        <w:tc>
          <w:tcPr>
            <w:tcW w:type="dxa" w:w="1235"/>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center"/>
            </w:pPr>
            <w:r>
              <w:rPr>
                <w:rFonts w:ascii="Calibri" w:cs="Calibri" w:eastAsia="Calibri" w:hAnsi="Calibri"/>
                <w:b/>
                <w:bCs/>
                <w:color w:val="FFFFFF"/>
                <w:sz w:val="16"/>
                <w:szCs w:val="16"/>
              </w:rPr>
              <w:t xml:space="preserve">Puntuación (0-5)</w:t>
            </w:r>
          </w:p>
        </w:tc>
        <w:tc>
          <w:tcPr>
            <w:tcW w:type="dxa" w:w="6179"/>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Evidencia</w:t>
            </w:r>
          </w:p>
        </w:tc>
      </w:tr>
      <w:tr>
        <w:trPr>
          <w:cantSplit/>
        </w:trPr>
        <w:tc>
          <w:tcPr>
            <w:tcW w:type="dxa" w:w="2224"/>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Efectos de red</w:t>
            </w:r>
          </w:p>
        </w:tc>
        <w:tc>
          <w:tcPr>
            <w:tcW w:type="dxa" w:w="123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0</w:t>
            </w:r>
          </w:p>
        </w:tc>
        <w:tc>
          <w:tcPr>
            <w:tcW w:type="dxa" w:w="617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No aplica a un fabricante de medicamentos.</w:t>
            </w:r>
          </w:p>
        </w:tc>
      </w:tr>
      <w:tr>
        <w:trPr>
          <w:cantSplit/>
        </w:trPr>
        <w:tc>
          <w:tcPr>
            <w:tcW w:type="dxa" w:w="2224"/>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Costes de cambio</w:t>
            </w:r>
          </w:p>
        </w:tc>
        <w:tc>
          <w:tcPr>
            <w:tcW w:type="dxa" w:w="123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2</w:t>
            </w:r>
          </w:p>
        </w:tc>
        <w:tc>
          <w:tcPr>
            <w:tcW w:type="dxa" w:w="617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Moderados en tratamientos crónicos (esclerosis múltiple, psoriasis), pero el pagador cambia al genérico en cuanto existe: Entresto −50 % en un trimestre [A12].</w:t>
            </w:r>
          </w:p>
        </w:tc>
      </w:tr>
      <w:tr>
        <w:trPr>
          <w:cantSplit/>
        </w:trPr>
        <w:tc>
          <w:tcPr>
            <w:tcW w:type="dxa" w:w="2224"/>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Intangibles (marca, patentes, licencias)</w:t>
            </w:r>
          </w:p>
        </w:tc>
        <w:tc>
          <w:tcPr>
            <w:tcW w:type="dxa" w:w="123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4</w:t>
            </w:r>
          </w:p>
        </w:tc>
        <w:tc>
          <w:tcPr>
            <w:tcW w:type="dxa" w:w="617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Patentes de Kisqali, Kesimpta, Cosentyx y Pluvicto hasta principios de los años 2030; margen core del 40,1 % [A1, B4].</w:t>
            </w:r>
          </w:p>
        </w:tc>
      </w:tr>
      <w:tr>
        <w:trPr>
          <w:cantSplit/>
        </w:trPr>
        <w:tc>
          <w:tcPr>
            <w:tcW w:type="dxa" w:w="2224"/>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Ventaja en costes</w:t>
            </w:r>
          </w:p>
        </w:tc>
        <w:tc>
          <w:tcPr>
            <w:tcW w:type="dxa" w:w="123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2</w:t>
            </w:r>
          </w:p>
        </w:tc>
        <w:tc>
          <w:tcPr>
            <w:tcW w:type="dxa" w:w="617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Escala de fabricación de radioligandos y de biológicos; no se traduce en precio.</w:t>
            </w:r>
          </w:p>
        </w:tc>
      </w:tr>
      <w:tr>
        <w:trPr>
          <w:cantSplit/>
        </w:trPr>
        <w:tc>
          <w:tcPr>
            <w:tcW w:type="dxa" w:w="2224"/>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Escala eficiente</w:t>
            </w:r>
          </w:p>
        </w:tc>
        <w:tc>
          <w:tcPr>
            <w:tcW w:type="dxa" w:w="1235"/>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val="false"/>
                <w:bCs w:val="false"/>
                <w:color w:val="1F2A3C"/>
                <w:sz w:val="16"/>
                <w:szCs w:val="16"/>
              </w:rPr>
              <w:t xml:space="preserve">3</w:t>
            </w:r>
          </w:p>
        </w:tc>
        <w:tc>
          <w:tcPr>
            <w:tcW w:type="dxa" w:w="6179"/>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I+D de más de 10.000 M USD al año y red comercial mundial: pocas empresas pueden lanzar a la vez en 100 países.</w:t>
            </w:r>
          </w:p>
        </w:tc>
      </w:tr>
    </w:tbl>
    <w:p>
      <w:pPr>
        <w:spacing w:after="160" w:before="0"/>
      </w:pPr>
    </w:p>
    <w:p>
      <w:pPr>
        <w:pStyle w:val="Heading2"/>
      </w:pPr>
      <w:r>
        <w:t xml:space="preserve">Amenazas</w:t>
      </w:r>
    </w:p>
    <w:p>
      <w:pPr>
        <w:spacing w:after="100"/>
      </w:pPr>
      <w:r>
        <w:t xml:space="preserve">La principal es el calendario de patentes: tras Entresto (2025), Cosentyx, Kisqali y Kesimpta vencen a principios de los años 2030 [22], y los dos fracasos de septiembre quitan opciones para sustituirlos [21]. La segunda, los precios en EE. UU. (IRA y nación más favorecida). La tercera, que la obesidad atrae el gasto de los pagadores y el capital del sector hacia Lilly y Novo, donde Novartis no está.</w:t>
      </w:r>
    </w:p>
    <w:p>
      <w:r>
        <w:br w:type="page"/>
      </w:r>
    </w:p>
    <w:p>
      <w:pPr>
        <w:pStyle w:val="Parte"/>
      </w:pPr>
      <w:r>
        <w:t xml:space="preserve">Parte II — Finanzas</w:t>
      </w:r>
    </w:p>
    <w:p>
      <w:pPr>
        <w:pStyle w:val="Heading1"/>
      </w:pPr>
      <w:r>
        <w:t xml:space="preserve">5. Cuenta de resultados</w:t>
      </w:r>
    </w:p>
    <w:p>
      <w:pPr>
        <w:pStyle w:val="Confianza"/>
        <w:spacing w:after="100"/>
      </w:pPr>
      <w:r>
        <w:t xml:space="preserve">Confianza: Media</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1654"/>
        <w:gridCol w:w="973"/>
        <w:gridCol w:w="778"/>
        <w:gridCol w:w="876"/>
        <w:gridCol w:w="827"/>
        <w:gridCol w:w="827"/>
        <w:gridCol w:w="778"/>
        <w:gridCol w:w="827"/>
        <w:gridCol w:w="681"/>
        <w:gridCol w:w="681"/>
        <w:gridCol w:w="736"/>
      </w:tblGrid>
      <w:tr>
        <w:trPr>
          <w:cantSplit/>
          <w:tblHeader/>
        </w:trPr>
        <w:tc>
          <w:tcPr>
            <w:tcW w:type="dxa" w:w="876"/>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Periodo</w:t>
            </w:r>
          </w:p>
        </w:tc>
        <w:tc>
          <w:tcPr>
            <w:tcW w:type="dxa" w:w="973"/>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Ingresos</w:t>
            </w:r>
          </w:p>
        </w:tc>
        <w:tc>
          <w:tcPr>
            <w:tcW w:type="dxa" w:w="778"/>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Crec.</w:t>
            </w:r>
          </w:p>
        </w:tc>
        <w:tc>
          <w:tcPr>
            <w:tcW w:type="dxa" w:w="876"/>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EBITDA</w:t>
            </w:r>
          </w:p>
        </w:tc>
        <w:tc>
          <w:tcPr>
            <w:tcW w:type="dxa" w:w="827"/>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M. EBITDA</w:t>
            </w:r>
          </w:p>
        </w:tc>
        <w:tc>
          <w:tcPr>
            <w:tcW w:type="dxa" w:w="827"/>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EBIT</w:t>
            </w:r>
          </w:p>
        </w:tc>
        <w:tc>
          <w:tcPr>
            <w:tcW w:type="dxa" w:w="778"/>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M. EBIT</w:t>
            </w:r>
          </w:p>
        </w:tc>
        <w:tc>
          <w:tcPr>
            <w:tcW w:type="dxa" w:w="827"/>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B. neto</w:t>
            </w:r>
          </w:p>
        </w:tc>
        <w:tc>
          <w:tcPr>
            <w:tcW w:type="dxa" w:w="681"/>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BPA</w:t>
            </w:r>
          </w:p>
        </w:tc>
        <w:tc>
          <w:tcPr>
            <w:tcW w:type="dxa" w:w="681"/>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DPA</w:t>
            </w:r>
          </w:p>
        </w:tc>
        <w:tc>
          <w:tcPr>
            <w:tcW w:type="dxa" w:w="736"/>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Tipo imp.</w:t>
            </w:r>
          </w:p>
        </w:tc>
      </w:tr>
      <w:tr>
        <w:trPr>
          <w:cantSplit/>
        </w:trPr>
        <w:tc>
          <w:tcPr>
            <w:tcW w:type="dxa" w:w="87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2021</w:t>
            </w:r>
          </w:p>
        </w:tc>
        <w:tc>
          <w:tcPr>
            <w:tcW w:type="dxa" w:w="97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43.974</w:t>
            </w:r>
          </w:p>
        </w:tc>
        <w:tc>
          <w:tcPr>
            <w:tcW w:type="dxa" w:w="77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w:t>
            </w:r>
          </w:p>
        </w:tc>
        <w:tc>
          <w:tcPr>
            <w:tcW w:type="dxa" w:w="87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15.615</w:t>
            </w:r>
          </w:p>
        </w:tc>
        <w:tc>
          <w:tcPr>
            <w:tcW w:type="dxa" w:w="82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35,5 %</w:t>
            </w:r>
          </w:p>
        </w:tc>
        <w:tc>
          <w:tcPr>
            <w:tcW w:type="dxa" w:w="82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10.056</w:t>
            </w:r>
          </w:p>
        </w:tc>
        <w:tc>
          <w:tcPr>
            <w:tcW w:type="dxa" w:w="77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22,9 %</w:t>
            </w:r>
          </w:p>
        </w:tc>
        <w:tc>
          <w:tcPr>
            <w:tcW w:type="dxa" w:w="82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22.905</w:t>
            </w:r>
          </w:p>
        </w:tc>
        <w:tc>
          <w:tcPr>
            <w:tcW w:type="dxa" w:w="68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w:t>
            </w:r>
          </w:p>
        </w:tc>
        <w:tc>
          <w:tcPr>
            <w:tcW w:type="dxa" w:w="68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w:t>
            </w:r>
          </w:p>
        </w:tc>
        <w:tc>
          <w:tcPr>
            <w:tcW w:type="dxa" w:w="73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w:t>
            </w:r>
          </w:p>
        </w:tc>
      </w:tr>
      <w:tr>
        <w:trPr>
          <w:cantSplit/>
        </w:trPr>
        <w:tc>
          <w:tcPr>
            <w:tcW w:type="dxa" w:w="87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2022</w:t>
            </w:r>
          </w:p>
        </w:tc>
        <w:tc>
          <w:tcPr>
            <w:tcW w:type="dxa" w:w="97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43.461</w:t>
            </w:r>
          </w:p>
        </w:tc>
        <w:tc>
          <w:tcPr>
            <w:tcW w:type="dxa" w:w="77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-1,2 %</w:t>
            </w:r>
          </w:p>
        </w:tc>
        <w:tc>
          <w:tcPr>
            <w:tcW w:type="dxa" w:w="87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14.911</w:t>
            </w:r>
          </w:p>
        </w:tc>
        <w:tc>
          <w:tcPr>
            <w:tcW w:type="dxa" w:w="82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34,3 %</w:t>
            </w:r>
          </w:p>
        </w:tc>
        <w:tc>
          <w:tcPr>
            <w:tcW w:type="dxa" w:w="82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7.946</w:t>
            </w:r>
          </w:p>
        </w:tc>
        <w:tc>
          <w:tcPr>
            <w:tcW w:type="dxa" w:w="77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18,3 %</w:t>
            </w:r>
          </w:p>
        </w:tc>
        <w:tc>
          <w:tcPr>
            <w:tcW w:type="dxa" w:w="82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6.049</w:t>
            </w:r>
          </w:p>
        </w:tc>
        <w:tc>
          <w:tcPr>
            <w:tcW w:type="dxa" w:w="68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w:t>
            </w:r>
          </w:p>
        </w:tc>
        <w:tc>
          <w:tcPr>
            <w:tcW w:type="dxa" w:w="68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w:t>
            </w:r>
          </w:p>
        </w:tc>
        <w:tc>
          <w:tcPr>
            <w:tcW w:type="dxa" w:w="73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w:t>
            </w:r>
          </w:p>
        </w:tc>
      </w:tr>
      <w:tr>
        <w:trPr>
          <w:cantSplit/>
        </w:trPr>
        <w:tc>
          <w:tcPr>
            <w:tcW w:type="dxa" w:w="87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2023</w:t>
            </w:r>
          </w:p>
        </w:tc>
        <w:tc>
          <w:tcPr>
            <w:tcW w:type="dxa" w:w="97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46.660</w:t>
            </w:r>
          </w:p>
        </w:tc>
        <w:tc>
          <w:tcPr>
            <w:tcW w:type="dxa" w:w="77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+7,4 %</w:t>
            </w:r>
          </w:p>
        </w:tc>
        <w:tc>
          <w:tcPr>
            <w:tcW w:type="dxa" w:w="87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18.152</w:t>
            </w:r>
          </w:p>
        </w:tc>
        <w:tc>
          <w:tcPr>
            <w:tcW w:type="dxa" w:w="82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38,9 %</w:t>
            </w:r>
          </w:p>
        </w:tc>
        <w:tc>
          <w:tcPr>
            <w:tcW w:type="dxa" w:w="82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9.769</w:t>
            </w:r>
          </w:p>
        </w:tc>
        <w:tc>
          <w:tcPr>
            <w:tcW w:type="dxa" w:w="77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20,9 %</w:t>
            </w:r>
          </w:p>
        </w:tc>
        <w:tc>
          <w:tcPr>
            <w:tcW w:type="dxa" w:w="82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8.572</w:t>
            </w:r>
          </w:p>
        </w:tc>
        <w:tc>
          <w:tcPr>
            <w:tcW w:type="dxa" w:w="68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w:t>
            </w:r>
          </w:p>
        </w:tc>
        <w:tc>
          <w:tcPr>
            <w:tcW w:type="dxa" w:w="68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w:t>
            </w:r>
          </w:p>
        </w:tc>
        <w:tc>
          <w:tcPr>
            <w:tcW w:type="dxa" w:w="73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w:t>
            </w:r>
          </w:p>
        </w:tc>
      </w:tr>
      <w:tr>
        <w:trPr>
          <w:cantSplit/>
        </w:trPr>
        <w:tc>
          <w:tcPr>
            <w:tcW w:type="dxa" w:w="87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2024</w:t>
            </w:r>
          </w:p>
        </w:tc>
        <w:tc>
          <w:tcPr>
            <w:tcW w:type="dxa" w:w="97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51.722</w:t>
            </w:r>
          </w:p>
        </w:tc>
        <w:tc>
          <w:tcPr>
            <w:tcW w:type="dxa" w:w="77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+10,8 %</w:t>
            </w:r>
          </w:p>
        </w:tc>
        <w:tc>
          <w:tcPr>
            <w:tcW w:type="dxa" w:w="87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20.658</w:t>
            </w:r>
          </w:p>
        </w:tc>
        <w:tc>
          <w:tcPr>
            <w:tcW w:type="dxa" w:w="82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39,9 %</w:t>
            </w:r>
          </w:p>
        </w:tc>
        <w:tc>
          <w:tcPr>
            <w:tcW w:type="dxa" w:w="82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14.544</w:t>
            </w:r>
          </w:p>
        </w:tc>
        <w:tc>
          <w:tcPr>
            <w:tcW w:type="dxa" w:w="77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28,1 %</w:t>
            </w:r>
          </w:p>
        </w:tc>
        <w:tc>
          <w:tcPr>
            <w:tcW w:type="dxa" w:w="82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11.939</w:t>
            </w:r>
          </w:p>
        </w:tc>
        <w:tc>
          <w:tcPr>
            <w:tcW w:type="dxa" w:w="68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w:t>
            </w:r>
          </w:p>
        </w:tc>
        <w:tc>
          <w:tcPr>
            <w:tcW w:type="dxa" w:w="68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w:t>
            </w:r>
          </w:p>
        </w:tc>
        <w:tc>
          <w:tcPr>
            <w:tcW w:type="dxa" w:w="73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w:t>
            </w:r>
          </w:p>
        </w:tc>
      </w:tr>
      <w:tr>
        <w:trPr>
          <w:cantSplit/>
        </w:trPr>
        <w:tc>
          <w:tcPr>
            <w:tcW w:type="dxa" w:w="87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2025</w:t>
            </w:r>
          </w:p>
        </w:tc>
        <w:tc>
          <w:tcPr>
            <w:tcW w:type="dxa" w:w="97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56.674</w:t>
            </w:r>
          </w:p>
        </w:tc>
        <w:tc>
          <w:tcPr>
            <w:tcW w:type="dxa" w:w="778"/>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+9,6 %</w:t>
            </w:r>
          </w:p>
        </w:tc>
        <w:tc>
          <w:tcPr>
            <w:tcW w:type="dxa" w:w="87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22.919</w:t>
            </w:r>
          </w:p>
        </w:tc>
        <w:tc>
          <w:tcPr>
            <w:tcW w:type="dxa" w:w="82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40,4 %</w:t>
            </w:r>
          </w:p>
        </w:tc>
        <w:tc>
          <w:tcPr>
            <w:tcW w:type="dxa" w:w="82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17.644</w:t>
            </w:r>
          </w:p>
        </w:tc>
        <w:tc>
          <w:tcPr>
            <w:tcW w:type="dxa" w:w="778"/>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31,1 %</w:t>
            </w:r>
          </w:p>
        </w:tc>
        <w:tc>
          <w:tcPr>
            <w:tcW w:type="dxa" w:w="82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13.984</w:t>
            </w:r>
          </w:p>
        </w:tc>
        <w:tc>
          <w:tcPr>
            <w:tcW w:type="dxa" w:w="681"/>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7,15</w:t>
            </w:r>
          </w:p>
        </w:tc>
        <w:tc>
          <w:tcPr>
            <w:tcW w:type="dxa" w:w="681"/>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4,63</w:t>
            </w:r>
          </w:p>
        </w:tc>
        <w:tc>
          <w:tcPr>
            <w:tcW w:type="dxa" w:w="73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15 %</w:t>
            </w:r>
          </w:p>
        </w:tc>
      </w:tr>
    </w:tbl>
    <w:p>
      <w:pPr>
        <w:spacing w:after="160" w:before="0"/>
      </w:pPr>
    </w:p>
    <w:p>
      <w:pPr>
        <w:spacing w:after="100"/>
      </w:pPr>
      <w:r>
        <w:t xml:space="preserve">Crecimiento anual compuesto 2021-2025: ingresos </w:t>
      </w:r>
      <w:r>
        <w:rPr>
          <w:b/>
          <w:bCs/>
        </w:rPr>
        <w:t xml:space="preserve">6,5 %</w:t>
      </w:r>
      <w:r>
        <w:t xml:space="preserve">, EBITDA </w:t>
      </w:r>
      <w:r>
        <w:rPr>
          <w:b/>
          <w:bCs/>
        </w:rPr>
        <w:t xml:space="preserve">10,1 %</w:t>
      </w:r>
      <w:r>
        <w:t xml:space="preserve">, BPA </w:t>
      </w:r>
      <w:r>
        <w:rPr>
          <w:b/>
          <w:bCs/>
        </w:rPr>
        <w:t xml:space="preserve">n.d.</w:t>
      </w:r>
      <w:r>
        <w:t xml:space="preserve">.</w:t>
      </w:r>
    </w:p>
    <w:p>
      <w:pPr>
        <w:keepNext w:val="false"/>
        <w:spacing w:after="160" w:before="120"/>
        <w:jc w:val="center"/>
      </w:pPr>
      <w:r>
        <w:drawing>
          <wp:inline xmlns:wp="http://schemas.openxmlformats.org/drawingml/2006/wordprocessingDrawing" distT="0" distB="0" distL="0" distR="0">
            <wp:extent cx="5760000" cy="2700000"/>
            <wp:effectExtent l="0" t="0" r="0" b="0"/>
            <wp:docPr id="1004" name="Gráfico 4" descr="Ingresos y EBITDA (USD, millones) · «e» = proyección propia del DCF"/>
            <wp:cNvGraphicFramePr/>
            <a:graphic xmlns:a="http://schemas.openxmlformats.org/drawingml/2006/main">
              <a:graphicData uri="http://schemas.openxmlformats.org/drawingml/2006/chart">
                <c:chart xmlns:c="http://schemas.openxmlformats.org/drawingml/2006/chart" xmlns:r="http://schemas.openxmlformats.org/officeDocument/2006/relationships" r:id="rIdGrafico4"/>
              </a:graphicData>
            </a:graphic>
          </wp:inline>
        </w:drawing>
      </w:r>
    </w:p>
    <w:p>
      <w:pPr>
        <w:keepNext w:val="false"/>
        <w:spacing w:after="160" w:before="120"/>
        <w:jc w:val="center"/>
      </w:pPr>
      <w:r>
        <w:drawing>
          <wp:inline xmlns:wp="http://schemas.openxmlformats.org/drawingml/2006/wordprocessingDrawing" distT="0" distB="0" distL="0" distR="0">
            <wp:extent cx="5760000" cy="2700000"/>
            <wp:effectExtent l="0" t="0" r="0" b="0"/>
            <wp:docPr id="1005" name="Gráfico 5" descr="Márgenes (% de ingresos)"/>
            <wp:cNvGraphicFramePr/>
            <a:graphic xmlns:a="http://schemas.openxmlformats.org/drawingml/2006/main">
              <a:graphicData uri="http://schemas.openxmlformats.org/drawingml/2006/chart">
                <c:chart xmlns:c="http://schemas.openxmlformats.org/drawingml/2006/chart" xmlns:r="http://schemas.openxmlformats.org/officeDocument/2006/relationships" r:id="rIdGrafico5"/>
              </a:graphicData>
            </a:graphic>
          </wp:inline>
        </w:drawing>
      </w:r>
    </w:p>
    <w:p>
      <w:pPr>
        <w:spacing w:after="100"/>
      </w:pPr>
      <w:r>
        <w:t xml:space="preserve">Los ingresos de operaciones continuadas pasaron de 43.974 M USD en 2021 a 56.674 M en 2025, con el crecimiento concentrado en 2024-2025 (+10,9 % y +9,6 %) [4]. El EBITDA subió de 15.615 M a 22.919 M y el margen del 35,5 % al 40,4 %: el volumen de Kisqali, Kesimpta, Pluvicto y Leqvio diluyó los costes fijos [1]. 2026 es un año de pausa: la guía pide ventas +un dígito bajo y resultado operativo core −un dígito bajo a tipo constante por los genéricos de Entresto [2]. Años no comparables: 2021 lleva la plusvalía de la venta del paquete de Roche (beneficio neto de 22.905 M) y 2022-2023 la reorganización previa a la escisión de Sandoz [4, 16].</w:t>
      </w:r>
    </w:p>
    <w:p>
      <w:pPr>
        <w:pStyle w:val="Heading2"/>
      </w:pPr>
      <w:r>
        <w:t xml:space="preserve">Ajustes y partidas no recurrentes</w:t>
      </w:r>
    </w:p>
    <w:p>
      <w:pPr>
        <w:spacing w:after="100"/>
      </w:pPr>
      <w:r>
        <w:t xml:space="preserve">Novartis guía y el mercado sigue cifras core, que excluyen la amortización de intangibles, los deterioros, las reestructuraciones y otras partidas: en 2025 el resultado operativo core fue de 21.900 M USD frente a 17.644 M de resultado de explotación NIIF, y el BPA core de 8,98 USD frente a 7,15 diluido NIIF [1, 8]. La diferencia es recurrente (amortización de compras). El DCF usa el EBITDA NIIF; la rentabilidad a 12 meses usa el BPA core, con un margen operativo core ≈1,8 puntos por debajo del EBITDA NIIF sobre ingresos (2025: 40,4 % frente a 38,6 %).</w:t>
      </w:r>
    </w:p>
    <w:p>
      <w:pPr>
        <w:pStyle w:val="Heading1"/>
      </w:pPr>
      <w:r>
        <w:t xml:space="preserve">6. Resultados recientes</w:t>
      </w:r>
    </w:p>
    <w:p>
      <w:pPr>
        <w:pStyle w:val="Confianza"/>
        <w:spacing w:after="100"/>
      </w:pPr>
      <w:r>
        <w:t xml:space="preserve">Confianza: Media</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3538"/>
        <w:gridCol w:w="1220"/>
        <w:gridCol w:w="1220"/>
        <w:gridCol w:w="1220"/>
        <w:gridCol w:w="976"/>
        <w:gridCol w:w="1464"/>
      </w:tblGrid>
      <w:tr>
        <w:trPr>
          <w:cantSplit/>
          <w:tblHeader/>
        </w:trPr>
        <w:tc>
          <w:tcPr>
            <w:tcW w:type="dxa" w:w="1098"/>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Periodo</w:t>
            </w:r>
          </w:p>
        </w:tc>
        <w:tc>
          <w:tcPr>
            <w:tcW w:type="dxa" w:w="1220"/>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Ingresos</w:t>
            </w:r>
          </w:p>
        </w:tc>
        <w:tc>
          <w:tcPr>
            <w:tcW w:type="dxa" w:w="1220"/>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Crec. interanual</w:t>
            </w:r>
          </w:p>
        </w:tc>
        <w:tc>
          <w:tcPr>
            <w:tcW w:type="dxa" w:w="1220"/>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Crec. orgánico</w:t>
            </w:r>
          </w:p>
        </w:tc>
        <w:tc>
          <w:tcPr>
            <w:tcW w:type="dxa" w:w="976"/>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BPA</w:t>
            </w:r>
          </w:p>
        </w:tc>
        <w:tc>
          <w:tcPr>
            <w:tcW w:type="dxa" w:w="1464"/>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center"/>
            </w:pPr>
            <w:r>
              <w:rPr>
                <w:rFonts w:ascii="Calibri" w:cs="Calibri" w:eastAsia="Calibri" w:hAnsi="Calibri"/>
                <w:b/>
                <w:bCs/>
                <w:color w:val="FFFFFF"/>
                <w:sz w:val="16"/>
                <w:szCs w:val="16"/>
              </w:rPr>
              <w:t xml:space="preserve">Frente al consenso</w:t>
            </w:r>
          </w:p>
        </w:tc>
      </w:tr>
      <w:tr>
        <w:trPr>
          <w:cantSplit/>
        </w:trPr>
        <w:tc>
          <w:tcPr>
            <w:tcW w:type="dxa" w:w="109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4T25</w:t>
            </w:r>
          </w:p>
        </w:tc>
        <w:tc>
          <w:tcPr>
            <w:tcW w:type="dxa" w:w="122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w:t>
            </w:r>
          </w:p>
        </w:tc>
        <w:tc>
          <w:tcPr>
            <w:tcW w:type="dxa" w:w="122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+1,0 %</w:t>
            </w:r>
          </w:p>
        </w:tc>
        <w:tc>
          <w:tcPr>
            <w:tcW w:type="dxa" w:w="122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-1,0 %</w:t>
            </w:r>
          </w:p>
        </w:tc>
        <w:tc>
          <w:tcPr>
            <w:tcW w:type="dxa" w:w="97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2,03</w:t>
            </w:r>
          </w:p>
        </w:tc>
        <w:tc>
          <w:tcPr>
            <w:tcW w:type="dxa" w:w="1464"/>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w:t>
            </w:r>
          </w:p>
        </w:tc>
      </w:tr>
      <w:tr>
        <w:trPr>
          <w:cantSplit/>
        </w:trPr>
        <w:tc>
          <w:tcPr>
            <w:tcW w:type="dxa" w:w="109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1T26</w:t>
            </w:r>
          </w:p>
        </w:tc>
        <w:tc>
          <w:tcPr>
            <w:tcW w:type="dxa" w:w="122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13.100</w:t>
            </w:r>
          </w:p>
        </w:tc>
        <w:tc>
          <w:tcPr>
            <w:tcW w:type="dxa" w:w="122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-1,0 %</w:t>
            </w:r>
          </w:p>
        </w:tc>
        <w:tc>
          <w:tcPr>
            <w:tcW w:type="dxa" w:w="122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-5,0 %</w:t>
            </w:r>
          </w:p>
        </w:tc>
        <w:tc>
          <w:tcPr>
            <w:tcW w:type="dxa" w:w="97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1,99</w:t>
            </w:r>
          </w:p>
        </w:tc>
        <w:tc>
          <w:tcPr>
            <w:tcW w:type="dxa" w:w="1464"/>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Inferior</w:t>
            </w:r>
          </w:p>
        </w:tc>
      </w:tr>
      <w:tr>
        <w:trPr>
          <w:cantSplit/>
        </w:trPr>
        <w:tc>
          <w:tcPr>
            <w:tcW w:type="dxa" w:w="1098"/>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2T26</w:t>
            </w:r>
          </w:p>
        </w:tc>
        <w:tc>
          <w:tcPr>
            <w:tcW w:type="dxa" w:w="122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14.400</w:t>
            </w:r>
          </w:p>
        </w:tc>
        <w:tc>
          <w:tcPr>
            <w:tcW w:type="dxa" w:w="122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+3,0 %</w:t>
            </w:r>
          </w:p>
        </w:tc>
        <w:tc>
          <w:tcPr>
            <w:tcW w:type="dxa" w:w="122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+1,0 %</w:t>
            </w:r>
          </w:p>
        </w:tc>
        <w:tc>
          <w:tcPr>
            <w:tcW w:type="dxa" w:w="97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2,41</w:t>
            </w:r>
          </w:p>
        </w:tc>
        <w:tc>
          <w:tcPr>
            <w:tcW w:type="dxa" w:w="1464"/>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val="false"/>
                <w:bCs w:val="false"/>
                <w:color w:val="1F2A3C"/>
                <w:sz w:val="16"/>
                <w:szCs w:val="16"/>
              </w:rPr>
              <w:t xml:space="preserve">Superior</w:t>
            </w:r>
          </w:p>
        </w:tc>
      </w:tr>
    </w:tbl>
    <w:p>
      <w:pPr>
        <w:spacing w:after="160" w:before="0"/>
      </w:pPr>
    </w:p>
    <w:p>
      <w:pPr>
        <w:keepNext w:val="false"/>
        <w:spacing w:after="160" w:before="120"/>
        <w:jc w:val="center"/>
      </w:pPr>
      <w:r>
        <w:drawing>
          <wp:inline xmlns:wp="http://schemas.openxmlformats.org/drawingml/2006/wordprocessingDrawing" distT="0" distB="0" distL="0" distR="0">
            <wp:extent cx="5760000" cy="2340000"/>
            <wp:effectExtent l="0" t="0" r="0" b="0"/>
            <wp:docPr id="1006" name="Gráfico 6" descr="Crecimiento interanual por trimestre (%)"/>
            <wp:cNvGraphicFramePr/>
            <a:graphic xmlns:a="http://schemas.openxmlformats.org/drawingml/2006/main">
              <a:graphicData uri="http://schemas.openxmlformats.org/drawingml/2006/chart">
                <c:chart xmlns:c="http://schemas.openxmlformats.org/drawingml/2006/chart" xmlns:r="http://schemas.openxmlformats.org/officeDocument/2006/relationships" r:id="rIdGrafico6"/>
              </a:graphicData>
            </a:graphic>
          </wp:inline>
        </w:drawing>
      </w:r>
    </w:p>
    <w:p>
      <w:pPr>
        <w:pStyle w:val="Heading2"/>
      </w:pPr>
      <w:r>
        <w:t xml:space="preserve">Lo que dijo la dirección en las últimas presentaciones</w:t>
      </w:r>
    </w:p>
    <w:p>
      <w:pPr>
        <w:spacing w:after="100"/>
      </w:pPr>
      <w:r>
        <w:t xml:space="preserve">En el 2T26 (21-jul) Novartis vendió 14.400 M USD (+3 %, +1 % a tipo constante) y ganó 2,41 USD de BPA core, por encima de los 2,20 que esperaba el mercado [2, 13]. El margen core subió al 41,2 %. Kisqali creció un 44 % (1.700 M) y Entresto cayó un 50 % (1.200 M) [12]. La dirección confirmó la guía de 2026 y anticipó un segundo semestre con ventas +un dígito medio y resultado operativo core +un dígito medio-alto, al moderarse la erosión de genéricos en EE. UU. [18]. El 1T26 había decepcionado (BPA core 1,99 frente a 2,11 esperados) [14]. Lo que más se preguntó: la curva de Entresto, el efecto de los precios en EE. UU. y la cartera de 2026 (pelacarsen, del-desiran), que en septiembre falló [21]. La dirección mantuvo tras los fracasos el crecimiento del 5-6 % anual en 2025-2030 [19].</w:t>
      </w:r>
    </w:p>
    <w:p>
      <w:pPr>
        <w:pStyle w:val="Heading1"/>
      </w:pPr>
      <w:r>
        <w:t xml:space="preserve">7. Balance y capital circulante</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1809"/>
        <w:gridCol w:w="1064"/>
        <w:gridCol w:w="1171"/>
        <w:gridCol w:w="958"/>
        <w:gridCol w:w="851"/>
        <w:gridCol w:w="958"/>
        <w:gridCol w:w="958"/>
        <w:gridCol w:w="958"/>
        <w:gridCol w:w="911"/>
      </w:tblGrid>
      <w:tr>
        <w:trPr>
          <w:cantSplit/>
          <w:tblHeader/>
        </w:trPr>
        <w:tc>
          <w:tcPr>
            <w:tcW w:type="dxa" w:w="958"/>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Periodo</w:t>
            </w:r>
          </w:p>
        </w:tc>
        <w:tc>
          <w:tcPr>
            <w:tcW w:type="dxa" w:w="1064"/>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Activo total</w:t>
            </w:r>
          </w:p>
        </w:tc>
        <w:tc>
          <w:tcPr>
            <w:tcW w:type="dxa" w:w="1171"/>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Fondo com. + intang.</w:t>
            </w:r>
          </w:p>
        </w:tc>
        <w:tc>
          <w:tcPr>
            <w:tcW w:type="dxa" w:w="958"/>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Circulante</w:t>
            </w:r>
          </w:p>
        </w:tc>
        <w:tc>
          <w:tcPr>
            <w:tcW w:type="dxa" w:w="851"/>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Caja</w:t>
            </w:r>
          </w:p>
        </w:tc>
        <w:tc>
          <w:tcPr>
            <w:tcW w:type="dxa" w:w="958"/>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Deuda fin.</w:t>
            </w:r>
          </w:p>
        </w:tc>
        <w:tc>
          <w:tcPr>
            <w:tcW w:type="dxa" w:w="958"/>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Deuda neta</w:t>
            </w:r>
          </w:p>
        </w:tc>
        <w:tc>
          <w:tcPr>
            <w:tcW w:type="dxa" w:w="958"/>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Patrimonio</w:t>
            </w:r>
          </w:p>
        </w:tc>
        <w:tc>
          <w:tcPr>
            <w:tcW w:type="dxa" w:w="911"/>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DN/EBITDA</w:t>
            </w:r>
          </w:p>
        </w:tc>
      </w:tr>
      <w:tr>
        <w:trPr>
          <w:cantSplit/>
        </w:trPr>
        <w:tc>
          <w:tcPr>
            <w:tcW w:type="dxa" w:w="95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2021</w:t>
            </w:r>
          </w:p>
        </w:tc>
        <w:tc>
          <w:tcPr>
            <w:tcW w:type="dxa" w:w="1064"/>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131.795</w:t>
            </w:r>
          </w:p>
        </w:tc>
        <w:tc>
          <w:tcPr>
            <w:tcW w:type="dxa" w:w="117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0</w:t>
            </w:r>
          </w:p>
        </w:tc>
        <w:tc>
          <w:tcPr>
            <w:tcW w:type="dxa" w:w="95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8.005</w:t>
            </w:r>
          </w:p>
        </w:tc>
        <w:tc>
          <w:tcPr>
            <w:tcW w:type="dxa" w:w="85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12.407</w:t>
            </w:r>
          </w:p>
        </w:tc>
        <w:tc>
          <w:tcPr>
            <w:tcW w:type="dxa" w:w="95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22.902</w:t>
            </w:r>
          </w:p>
        </w:tc>
        <w:tc>
          <w:tcPr>
            <w:tcW w:type="dxa" w:w="95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10.495</w:t>
            </w:r>
          </w:p>
        </w:tc>
        <w:tc>
          <w:tcPr>
            <w:tcW w:type="dxa" w:w="95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67.822</w:t>
            </w:r>
          </w:p>
        </w:tc>
        <w:tc>
          <w:tcPr>
            <w:tcW w:type="dxa" w:w="91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0,7x</w:t>
            </w:r>
          </w:p>
        </w:tc>
      </w:tr>
      <w:tr>
        <w:trPr>
          <w:cantSplit/>
        </w:trPr>
        <w:tc>
          <w:tcPr>
            <w:tcW w:type="dxa" w:w="95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2022</w:t>
            </w:r>
          </w:p>
        </w:tc>
        <w:tc>
          <w:tcPr>
            <w:tcW w:type="dxa" w:w="1064"/>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117.453</w:t>
            </w:r>
          </w:p>
        </w:tc>
        <w:tc>
          <w:tcPr>
            <w:tcW w:type="dxa" w:w="117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0</w:t>
            </w:r>
          </w:p>
        </w:tc>
        <w:tc>
          <w:tcPr>
            <w:tcW w:type="dxa" w:w="95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8.066</w:t>
            </w:r>
          </w:p>
        </w:tc>
        <w:tc>
          <w:tcPr>
            <w:tcW w:type="dxa" w:w="85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7.517</w:t>
            </w:r>
          </w:p>
        </w:tc>
        <w:tc>
          <w:tcPr>
            <w:tcW w:type="dxa" w:w="95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20.244</w:t>
            </w:r>
          </w:p>
        </w:tc>
        <w:tc>
          <w:tcPr>
            <w:tcW w:type="dxa" w:w="95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12.727</w:t>
            </w:r>
          </w:p>
        </w:tc>
        <w:tc>
          <w:tcPr>
            <w:tcW w:type="dxa" w:w="95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59.423</w:t>
            </w:r>
          </w:p>
        </w:tc>
        <w:tc>
          <w:tcPr>
            <w:tcW w:type="dxa" w:w="91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0,8x</w:t>
            </w:r>
          </w:p>
        </w:tc>
      </w:tr>
      <w:tr>
        <w:trPr>
          <w:cantSplit/>
        </w:trPr>
        <w:tc>
          <w:tcPr>
            <w:tcW w:type="dxa" w:w="95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2023</w:t>
            </w:r>
          </w:p>
        </w:tc>
        <w:tc>
          <w:tcPr>
            <w:tcW w:type="dxa" w:w="1064"/>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99.945</w:t>
            </w:r>
          </w:p>
        </w:tc>
        <w:tc>
          <w:tcPr>
            <w:tcW w:type="dxa" w:w="117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0</w:t>
            </w:r>
          </w:p>
        </w:tc>
        <w:tc>
          <w:tcPr>
            <w:tcW w:type="dxa" w:w="95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7.107</w:t>
            </w:r>
          </w:p>
        </w:tc>
        <w:tc>
          <w:tcPr>
            <w:tcW w:type="dxa" w:w="85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13.393</w:t>
            </w:r>
          </w:p>
        </w:tc>
        <w:tc>
          <w:tcPr>
            <w:tcW w:type="dxa" w:w="95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18.436</w:t>
            </w:r>
          </w:p>
        </w:tc>
        <w:tc>
          <w:tcPr>
            <w:tcW w:type="dxa" w:w="95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5.043</w:t>
            </w:r>
          </w:p>
        </w:tc>
        <w:tc>
          <w:tcPr>
            <w:tcW w:type="dxa" w:w="95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46.750</w:t>
            </w:r>
          </w:p>
        </w:tc>
        <w:tc>
          <w:tcPr>
            <w:tcW w:type="dxa" w:w="91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0,3x</w:t>
            </w:r>
          </w:p>
        </w:tc>
      </w:tr>
      <w:tr>
        <w:trPr>
          <w:cantSplit/>
        </w:trPr>
        <w:tc>
          <w:tcPr>
            <w:tcW w:type="dxa" w:w="95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2024</w:t>
            </w:r>
          </w:p>
        </w:tc>
        <w:tc>
          <w:tcPr>
            <w:tcW w:type="dxa" w:w="1064"/>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102.246</w:t>
            </w:r>
          </w:p>
        </w:tc>
        <w:tc>
          <w:tcPr>
            <w:tcW w:type="dxa" w:w="117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0</w:t>
            </w:r>
          </w:p>
        </w:tc>
        <w:tc>
          <w:tcPr>
            <w:tcW w:type="dxa" w:w="95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7.423</w:t>
            </w:r>
          </w:p>
        </w:tc>
        <w:tc>
          <w:tcPr>
            <w:tcW w:type="dxa" w:w="85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11.459</w:t>
            </w:r>
          </w:p>
        </w:tc>
        <w:tc>
          <w:tcPr>
            <w:tcW w:type="dxa" w:w="95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21.366</w:t>
            </w:r>
          </w:p>
        </w:tc>
        <w:tc>
          <w:tcPr>
            <w:tcW w:type="dxa" w:w="95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9.907</w:t>
            </w:r>
          </w:p>
        </w:tc>
        <w:tc>
          <w:tcPr>
            <w:tcW w:type="dxa" w:w="95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44.126</w:t>
            </w:r>
          </w:p>
        </w:tc>
        <w:tc>
          <w:tcPr>
            <w:tcW w:type="dxa" w:w="91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0,5x</w:t>
            </w:r>
          </w:p>
        </w:tc>
      </w:tr>
      <w:tr>
        <w:trPr>
          <w:cantSplit/>
        </w:trPr>
        <w:tc>
          <w:tcPr>
            <w:tcW w:type="dxa" w:w="958"/>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2025</w:t>
            </w:r>
          </w:p>
        </w:tc>
        <w:tc>
          <w:tcPr>
            <w:tcW w:type="dxa" w:w="1064"/>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110.949</w:t>
            </w:r>
          </w:p>
        </w:tc>
        <w:tc>
          <w:tcPr>
            <w:tcW w:type="dxa" w:w="1171"/>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0</w:t>
            </w:r>
          </w:p>
        </w:tc>
        <w:tc>
          <w:tcPr>
            <w:tcW w:type="dxa" w:w="958"/>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8.937</w:t>
            </w:r>
          </w:p>
        </w:tc>
        <w:tc>
          <w:tcPr>
            <w:tcW w:type="dxa" w:w="851"/>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11.435</w:t>
            </w:r>
          </w:p>
        </w:tc>
        <w:tc>
          <w:tcPr>
            <w:tcW w:type="dxa" w:w="958"/>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33.335</w:t>
            </w:r>
          </w:p>
        </w:tc>
        <w:tc>
          <w:tcPr>
            <w:tcW w:type="dxa" w:w="958"/>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21.900</w:t>
            </w:r>
          </w:p>
        </w:tc>
        <w:tc>
          <w:tcPr>
            <w:tcW w:type="dxa" w:w="958"/>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46.549</w:t>
            </w:r>
          </w:p>
        </w:tc>
        <w:tc>
          <w:tcPr>
            <w:tcW w:type="dxa" w:w="911"/>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1,0x</w:t>
            </w:r>
          </w:p>
        </w:tc>
      </w:tr>
    </w:tbl>
    <w:p>
      <w:pPr>
        <w:spacing w:after="160" w:before="0"/>
      </w:pP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6828"/>
        <w:gridCol w:w="1472"/>
        <w:gridCol w:w="1338"/>
      </w:tblGrid>
      <w:tr>
        <w:trPr>
          <w:cantSplit/>
          <w:tblHeader/>
        </w:trPr>
        <w:tc>
          <w:tcPr>
            <w:tcW w:type="dxa" w:w="1338"/>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Periodo</w:t>
            </w:r>
          </w:p>
        </w:tc>
        <w:tc>
          <w:tcPr>
            <w:tcW w:type="dxa" w:w="1472"/>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Circulante / ventas</w:t>
            </w:r>
          </w:p>
        </w:tc>
        <w:tc>
          <w:tcPr>
            <w:tcW w:type="dxa" w:w="1338"/>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Días de cobro</w:t>
            </w:r>
          </w:p>
        </w:tc>
      </w:tr>
      <w:tr>
        <w:trPr>
          <w:cantSplit/>
        </w:trPr>
        <w:tc>
          <w:tcPr>
            <w:tcW w:type="dxa" w:w="133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2021</w:t>
            </w:r>
          </w:p>
        </w:tc>
        <w:tc>
          <w:tcPr>
            <w:tcW w:type="dxa" w:w="1472"/>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18,2 %</w:t>
            </w:r>
          </w:p>
        </w:tc>
        <w:tc>
          <w:tcPr>
            <w:tcW w:type="dxa" w:w="133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66</w:t>
            </w:r>
          </w:p>
        </w:tc>
      </w:tr>
      <w:tr>
        <w:trPr>
          <w:cantSplit/>
        </w:trPr>
        <w:tc>
          <w:tcPr>
            <w:tcW w:type="dxa" w:w="133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2022</w:t>
            </w:r>
          </w:p>
        </w:tc>
        <w:tc>
          <w:tcPr>
            <w:tcW w:type="dxa" w:w="1472"/>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18,6 %</w:t>
            </w:r>
          </w:p>
        </w:tc>
        <w:tc>
          <w:tcPr>
            <w:tcW w:type="dxa" w:w="133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68</w:t>
            </w:r>
          </w:p>
        </w:tc>
      </w:tr>
      <w:tr>
        <w:trPr>
          <w:cantSplit/>
        </w:trPr>
        <w:tc>
          <w:tcPr>
            <w:tcW w:type="dxa" w:w="133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2023</w:t>
            </w:r>
          </w:p>
        </w:tc>
        <w:tc>
          <w:tcPr>
            <w:tcW w:type="dxa" w:w="1472"/>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15,2 %</w:t>
            </w:r>
          </w:p>
        </w:tc>
        <w:tc>
          <w:tcPr>
            <w:tcW w:type="dxa" w:w="133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56</w:t>
            </w:r>
          </w:p>
        </w:tc>
      </w:tr>
      <w:tr>
        <w:trPr>
          <w:cantSplit/>
        </w:trPr>
        <w:tc>
          <w:tcPr>
            <w:tcW w:type="dxa" w:w="133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2024</w:t>
            </w:r>
          </w:p>
        </w:tc>
        <w:tc>
          <w:tcPr>
            <w:tcW w:type="dxa" w:w="1472"/>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14,4 %</w:t>
            </w:r>
          </w:p>
        </w:tc>
        <w:tc>
          <w:tcPr>
            <w:tcW w:type="dxa" w:w="133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52</w:t>
            </w:r>
          </w:p>
        </w:tc>
      </w:tr>
      <w:tr>
        <w:trPr>
          <w:cantSplit/>
        </w:trPr>
        <w:tc>
          <w:tcPr>
            <w:tcW w:type="dxa" w:w="1338"/>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2025</w:t>
            </w:r>
          </w:p>
        </w:tc>
        <w:tc>
          <w:tcPr>
            <w:tcW w:type="dxa" w:w="1472"/>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15,8 %</w:t>
            </w:r>
          </w:p>
        </w:tc>
        <w:tc>
          <w:tcPr>
            <w:tcW w:type="dxa" w:w="1338"/>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58</w:t>
            </w:r>
          </w:p>
        </w:tc>
      </w:tr>
    </w:tbl>
    <w:p>
      <w:pPr>
        <w:spacing w:after="160" w:before="0"/>
      </w:pPr>
    </w:p>
    <w:p>
      <w:pPr>
        <w:pStyle w:val="Nota"/>
        <w:spacing w:after="100"/>
      </w:pPr>
      <w:r>
        <w:t xml:space="preserve">Días de inventario y de pago calculados sobre el coste de ventas.</w:t>
      </w:r>
    </w:p>
    <w:p>
      <w:pPr>
        <w:pStyle w:val="Nota"/>
        <w:spacing w:after="100"/>
      </w:pPr>
      <w:r>
        <w:t xml:space="preserve">Cambio de perímetro (2023: Escisión de Sandoz (genéricos) en octubre de 2023: la cuenta de 2021-2022 está reexpresada sin Sandoz (operaciones continuadas), pero el balance de 2021-2022 la incluye.). Los ratios de balance de ese año (días, circulante, deuda neta / EBITDA, ROIC) y los indicadores de calidad contable no son comparables con los anteriores.</w:t>
      </w:r>
    </w:p>
    <w:p>
      <w:pPr>
        <w:keepNext w:val="false"/>
        <w:spacing w:after="160" w:before="120"/>
        <w:jc w:val="center"/>
      </w:pPr>
      <w:r>
        <w:drawing>
          <wp:inline xmlns:wp="http://schemas.openxmlformats.org/drawingml/2006/wordprocessingDrawing" distT="0" distB="0" distL="0" distR="0">
            <wp:extent cx="5760000" cy="2340000"/>
            <wp:effectExtent l="0" t="0" r="0" b="0"/>
            <wp:docPr id="1007" name="Gráfico 7" descr="Capital circulante en días"/>
            <wp:cNvGraphicFramePr/>
            <a:graphic xmlns:a="http://schemas.openxmlformats.org/drawingml/2006/main">
              <a:graphicData uri="http://schemas.openxmlformats.org/drawingml/2006/chart">
                <c:chart xmlns:c="http://schemas.openxmlformats.org/drawingml/2006/chart" xmlns:r="http://schemas.openxmlformats.org/officeDocument/2006/relationships" r:id="rIdGrafico7"/>
              </a:graphicData>
            </a:graphic>
          </wp:inline>
        </w:drawing>
      </w:r>
    </w:p>
    <w:p>
      <w:pPr>
        <w:spacing w:after="100"/>
      </w:pPr>
      <w:r>
        <w:t xml:space="preserve">La deuda neta de 39.400 M USD a junio de 2026 equivale a 1,7 veces el EBITDA de 2025: holgada para una farmacéutica con 17.596 M de flujo libre al año [5, 11]. La subida viene de la compra de Avidity (≈12.000 M) y del dividendo de marzo (≈8.900 M) [15, 17]. Los clientes subieron del 13,1 % al 15,8 % de los ingresos en 2023-2025 [6]. No tenemos la deuda a corto plazo de 2021-2024: la deuda neta de esos años en el informe está infravalorada (hueco).</w:t>
      </w:r>
    </w:p>
    <w:p>
      <w:pPr>
        <w:pStyle w:val="Heading1"/>
      </w:pPr>
      <w:r>
        <w:t xml:space="preserve">8. Flujos de caja</w:t>
      </w:r>
    </w:p>
    <w:p>
      <w:pPr>
        <w:pStyle w:val="Confianza"/>
        <w:spacing w:after="100"/>
      </w:pPr>
      <w:r>
        <w:t xml:space="preserve">Confianza: Media</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1883"/>
        <w:gridCol w:w="1107"/>
        <w:gridCol w:w="886"/>
        <w:gridCol w:w="886"/>
        <w:gridCol w:w="886"/>
        <w:gridCol w:w="997"/>
        <w:gridCol w:w="997"/>
        <w:gridCol w:w="997"/>
        <w:gridCol w:w="999"/>
      </w:tblGrid>
      <w:tr>
        <w:trPr>
          <w:cantSplit/>
          <w:tblHeader/>
        </w:trPr>
        <w:tc>
          <w:tcPr>
            <w:tcW w:type="dxa" w:w="997"/>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Periodo</w:t>
            </w:r>
          </w:p>
        </w:tc>
        <w:tc>
          <w:tcPr>
            <w:tcW w:type="dxa" w:w="1107"/>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Flujo operativo</w:t>
            </w:r>
          </w:p>
        </w:tc>
        <w:tc>
          <w:tcPr>
            <w:tcW w:type="dxa" w:w="886"/>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Capex</w:t>
            </w:r>
          </w:p>
        </w:tc>
        <w:tc>
          <w:tcPr>
            <w:tcW w:type="dxa" w:w="886"/>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FCF</w:t>
            </w:r>
          </w:p>
        </w:tc>
        <w:tc>
          <w:tcPr>
            <w:tcW w:type="dxa" w:w="886"/>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B. neto</w:t>
            </w:r>
          </w:p>
        </w:tc>
        <w:tc>
          <w:tcPr>
            <w:tcW w:type="dxa" w:w="997"/>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FCF / B. neto</w:t>
            </w:r>
          </w:p>
        </w:tc>
        <w:tc>
          <w:tcPr>
            <w:tcW w:type="dxa" w:w="997"/>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Capex / ventas</w:t>
            </w:r>
          </w:p>
        </w:tc>
        <w:tc>
          <w:tcPr>
            <w:tcW w:type="dxa" w:w="997"/>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Capex / amort.</w:t>
            </w:r>
          </w:p>
        </w:tc>
        <w:tc>
          <w:tcPr>
            <w:tcW w:type="dxa" w:w="999"/>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FCF por acción</w:t>
            </w:r>
          </w:p>
        </w:tc>
      </w:tr>
      <w:tr>
        <w:trPr>
          <w:cantSplit/>
        </w:trPr>
        <w:tc>
          <w:tcPr>
            <w:tcW w:type="dxa" w:w="99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2023</w:t>
            </w:r>
          </w:p>
        </w:tc>
        <w:tc>
          <w:tcPr>
            <w:tcW w:type="dxa" w:w="110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14.500</w:t>
            </w:r>
          </w:p>
        </w:tc>
        <w:tc>
          <w:tcPr>
            <w:tcW w:type="dxa" w:w="88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1.102</w:t>
            </w:r>
          </w:p>
        </w:tc>
        <w:tc>
          <w:tcPr>
            <w:tcW w:type="dxa" w:w="88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13.398</w:t>
            </w:r>
          </w:p>
        </w:tc>
        <w:tc>
          <w:tcPr>
            <w:tcW w:type="dxa" w:w="88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8.572</w:t>
            </w:r>
          </w:p>
        </w:tc>
        <w:tc>
          <w:tcPr>
            <w:tcW w:type="dxa" w:w="99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156 %</w:t>
            </w:r>
          </w:p>
        </w:tc>
        <w:tc>
          <w:tcPr>
            <w:tcW w:type="dxa" w:w="99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2,4 %</w:t>
            </w:r>
          </w:p>
        </w:tc>
        <w:tc>
          <w:tcPr>
            <w:tcW w:type="dxa" w:w="99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0,1x</w:t>
            </w:r>
          </w:p>
        </w:tc>
        <w:tc>
          <w:tcPr>
            <w:tcW w:type="dxa" w:w="99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w:t>
            </w:r>
          </w:p>
        </w:tc>
      </w:tr>
      <w:tr>
        <w:trPr>
          <w:cantSplit/>
        </w:trPr>
        <w:tc>
          <w:tcPr>
            <w:tcW w:type="dxa" w:w="99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2024</w:t>
            </w:r>
          </w:p>
        </w:tc>
        <w:tc>
          <w:tcPr>
            <w:tcW w:type="dxa" w:w="110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17.600</w:t>
            </w:r>
          </w:p>
        </w:tc>
        <w:tc>
          <w:tcPr>
            <w:tcW w:type="dxa" w:w="88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1.347</w:t>
            </w:r>
          </w:p>
        </w:tc>
        <w:tc>
          <w:tcPr>
            <w:tcW w:type="dxa" w:w="88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16.253</w:t>
            </w:r>
          </w:p>
        </w:tc>
        <w:tc>
          <w:tcPr>
            <w:tcW w:type="dxa" w:w="88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11.939</w:t>
            </w:r>
          </w:p>
        </w:tc>
        <w:tc>
          <w:tcPr>
            <w:tcW w:type="dxa" w:w="99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136 %</w:t>
            </w:r>
          </w:p>
        </w:tc>
        <w:tc>
          <w:tcPr>
            <w:tcW w:type="dxa" w:w="99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2,6 %</w:t>
            </w:r>
          </w:p>
        </w:tc>
        <w:tc>
          <w:tcPr>
            <w:tcW w:type="dxa" w:w="99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0,2x</w:t>
            </w:r>
          </w:p>
        </w:tc>
        <w:tc>
          <w:tcPr>
            <w:tcW w:type="dxa" w:w="99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w:t>
            </w:r>
          </w:p>
        </w:tc>
      </w:tr>
      <w:tr>
        <w:trPr>
          <w:cantSplit/>
        </w:trPr>
        <w:tc>
          <w:tcPr>
            <w:tcW w:type="dxa" w:w="99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2025</w:t>
            </w:r>
          </w:p>
        </w:tc>
        <w:tc>
          <w:tcPr>
            <w:tcW w:type="dxa" w:w="110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19.100</w:t>
            </w:r>
          </w:p>
        </w:tc>
        <w:tc>
          <w:tcPr>
            <w:tcW w:type="dxa" w:w="88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1.504</w:t>
            </w:r>
          </w:p>
        </w:tc>
        <w:tc>
          <w:tcPr>
            <w:tcW w:type="dxa" w:w="88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17.596</w:t>
            </w:r>
          </w:p>
        </w:tc>
        <w:tc>
          <w:tcPr>
            <w:tcW w:type="dxa" w:w="88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13.984</w:t>
            </w:r>
          </w:p>
        </w:tc>
        <w:tc>
          <w:tcPr>
            <w:tcW w:type="dxa" w:w="99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126 %</w:t>
            </w:r>
          </w:p>
        </w:tc>
        <w:tc>
          <w:tcPr>
            <w:tcW w:type="dxa" w:w="99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2,7 %</w:t>
            </w:r>
          </w:p>
        </w:tc>
        <w:tc>
          <w:tcPr>
            <w:tcW w:type="dxa" w:w="99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0,3x</w:t>
            </w:r>
          </w:p>
        </w:tc>
        <w:tc>
          <w:tcPr>
            <w:tcW w:type="dxa" w:w="999"/>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9,00</w:t>
            </w:r>
          </w:p>
        </w:tc>
      </w:tr>
    </w:tbl>
    <w:p>
      <w:pPr>
        <w:spacing w:after="160" w:before="0"/>
      </w:pPr>
    </w:p>
    <w:p>
      <w:pPr>
        <w:keepNext w:val="false"/>
        <w:spacing w:after="160" w:before="120"/>
        <w:jc w:val="center"/>
      </w:pPr>
      <w:r>
        <w:drawing>
          <wp:inline xmlns:wp="http://schemas.openxmlformats.org/drawingml/2006/wordprocessingDrawing" distT="0" distB="0" distL="0" distR="0">
            <wp:extent cx="5760000" cy="2700000"/>
            <wp:effectExtent l="0" t="0" r="0" b="0"/>
            <wp:docPr id="1008" name="Gráfico 8" descr="Flujo de caja libre frente a beneficio neto (USD, millones)"/>
            <wp:cNvGraphicFramePr/>
            <a:graphic xmlns:a="http://schemas.openxmlformats.org/drawingml/2006/main">
              <a:graphicData uri="http://schemas.openxmlformats.org/drawingml/2006/chart">
                <c:chart xmlns:c="http://schemas.openxmlformats.org/drawingml/2006/chart" xmlns:r="http://schemas.openxmlformats.org/officeDocument/2006/relationships" r:id="rIdGrafico8"/>
              </a:graphicData>
            </a:graphic>
          </wp:inline>
        </w:drawing>
      </w:r>
    </w:p>
    <w:p>
      <w:pPr>
        <w:spacing w:after="100"/>
      </w:pPr>
      <w:r>
        <w:t xml:space="preserve">Acumulado 2023-2025: FCF </w:t>
      </w:r>
      <w:r>
        <w:rPr>
          <w:b/>
          <w:bCs/>
        </w:rPr>
        <w:t xml:space="preserve">47.247</w:t>
      </w:r>
      <w:r>
        <w:t xml:space="preserve">, conversión </w:t>
      </w:r>
      <w:r>
        <w:rPr>
          <w:b/>
          <w:bCs/>
        </w:rPr>
        <w:t xml:space="preserve">137 %</w:t>
      </w:r>
      <w:r>
        <w:t xml:space="preserve"> del beneficio neto; adquisiciones 0, dividendos 22.690, recompras 26.090.</w:t>
      </w:r>
    </w:p>
    <w:p>
      <w:pPr>
        <w:spacing w:after="100"/>
      </w:pPr>
      <w:r>
        <w:t xml:space="preserve">Novartis convierte en caja más de lo que gana: 47.247 M USD de flujo libre en 2023-2025, el 137 % del beneficio, porque la amortización de intangibles no es caja [5, 7]. El capex en inmovilizado es pequeño (≈2,5 % de los ingresos), pero el flujo libre de la empresa no recoge las compras de biotecnológicas y licencias, que son la verdadera inversión de mantenimiento de la cartera: Avidity costó ≈12.000 M en 2026 [15]. Por eso el DCF carga un capex del 10 % de los ingresos (inmovilizado más ≈7 puntos de compras; estimación propia). Toda la caja de 2023-2025 volvió al accionista: 22.690 M en dividendos y 26.090 M en recompras [7].</w:t>
      </w:r>
    </w:p>
    <w:p>
      <w:pPr>
        <w:pStyle w:val="Heading1"/>
      </w:pPr>
      <w:r>
        <w:t xml:space="preserve">9. Calidad contable</w:t>
      </w:r>
    </w:p>
    <w:p>
      <w:pPr>
        <w:pStyle w:val="Confianza"/>
        <w:spacing w:after="100"/>
      </w:pPr>
      <w:r>
        <w:t xml:space="preserve">Confianza: Baja</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2023"/>
        <w:gridCol w:w="2796"/>
        <w:gridCol w:w="2023"/>
        <w:gridCol w:w="2796"/>
      </w:tblGrid>
      <w:tr>
        <w:trPr>
          <w:cantSplit/>
        </w:trPr>
        <w:tc>
          <w:tcPr>
            <w:tcW w:type="dxa" w:w="2023"/>
            <w:tcBorders>
              <w:top w:val="none" w:color="FFFFFF" w:sz="0"/>
              <w:left w:val="none" w:color="FFFFFF" w:sz="0"/>
              <w:bottom w:val="single" w:color="D9D8D3" w:sz="4"/>
              <w:right w:val="none" w:color="FFFFFF" w:sz="0"/>
            </w:tcBorders>
            <w:tcMar>
              <w:top w:type="dxa" w:w="50"/>
              <w:left w:type="dxa" w:w="80"/>
              <w:bottom w:type="dxa" w:w="50"/>
              <w:right w:type="dxa" w:w="80"/>
            </w:tcMar>
          </w:tcPr>
          <w:p/>
        </w:tc>
        <w:tc>
          <w:tcPr>
            <w:tcW w:type="dxa" w:w="2796"/>
            <w:tcBorders>
              <w:top w:val="none" w:color="FFFFFF" w:sz="0"/>
              <w:left w:val="none" w:color="FFFFFF" w:sz="0"/>
              <w:bottom w:val="single" w:color="D9D8D3" w:sz="4"/>
              <w:right w:val="none" w:color="FFFFFF" w:sz="0"/>
            </w:tcBorders>
            <w:tcMar>
              <w:top w:type="dxa" w:w="50"/>
              <w:left w:type="dxa" w:w="80"/>
              <w:bottom w:type="dxa" w:w="50"/>
              <w:right w:type="dxa" w:w="80"/>
            </w:tcMar>
          </w:tcPr>
          <w:p/>
        </w:tc>
        <w:tc>
          <w:tcPr>
            <w:tcW w:type="dxa" w:w="2023"/>
            <w:tcBorders>
              <w:top w:val="none" w:color="FFFFFF" w:sz="0"/>
              <w:left w:val="none" w:color="FFFFFF" w:sz="0"/>
              <w:bottom w:val="single" w:color="D9D8D3" w:sz="4"/>
              <w:right w:val="none" w:color="FFFFFF" w:sz="0"/>
            </w:tcBorders>
            <w:shd w:fill="F3F2EE" w:color="auto" w:val="clear"/>
            <w:tcMar>
              <w:top w:type="dxa" w:w="50"/>
              <w:left w:type="dxa" w:w="80"/>
              <w:bottom w:type="dxa" w:w="50"/>
              <w:right w:type="dxa" w:w="80"/>
            </w:tcMar>
          </w:tcPr>
          <w:p>
            <w:pPr>
              <w:spacing w:after="0" w:before="0"/>
              <w:jc w:val="left"/>
            </w:pPr>
            <w:r>
              <w:rPr>
                <w:rFonts w:ascii="Calibri" w:cs="Calibri" w:eastAsia="Calibri" w:hAnsi="Calibri"/>
                <w:b w:val="false"/>
                <w:bCs w:val="false"/>
                <w:color w:val="52514E"/>
                <w:sz w:val="16"/>
                <w:szCs w:val="16"/>
              </w:rPr>
              <w:t xml:space="preserve">Ejercicio analizado</w:t>
            </w:r>
          </w:p>
        </w:tc>
        <w:tc>
          <w:tcPr>
            <w:tcW w:type="dxa" w:w="279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7"/>
                <w:szCs w:val="17"/>
              </w:rPr>
              <w:t xml:space="preserve">2025</w:t>
            </w:r>
          </w:p>
        </w:tc>
      </w:tr>
    </w:tbl>
    <w:p>
      <w:pPr>
        <w:spacing w:after="160" w:before="0"/>
      </w:pP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2753"/>
        <w:gridCol w:w="1147"/>
        <w:gridCol w:w="5738"/>
      </w:tblGrid>
      <w:tr>
        <w:trPr>
          <w:cantSplit/>
          <w:tblHeader/>
        </w:trPr>
        <w:tc>
          <w:tcPr>
            <w:tcW w:type="dxa" w:w="2753"/>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Indicador</w:t>
            </w:r>
          </w:p>
        </w:tc>
        <w:tc>
          <w:tcPr>
            <w:tcW w:type="dxa" w:w="1147"/>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Valor</w:t>
            </w:r>
          </w:p>
        </w:tc>
        <w:tc>
          <w:tcPr>
            <w:tcW w:type="dxa" w:w="5738"/>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Lectura</w:t>
            </w:r>
          </w:p>
        </w:tc>
      </w:tr>
      <w:tr>
        <w:trPr>
          <w:cantSplit/>
        </w:trPr>
        <w:tc>
          <w:tcPr>
            <w:tcW w:type="dxa" w:w="275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Altman Z</w:t>
            </w:r>
          </w:p>
        </w:tc>
        <w:tc>
          <w:tcPr>
            <w:tcW w:type="dxa" w:w="114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3,56</w:t>
            </w:r>
          </w:p>
        </w:tc>
        <w:tc>
          <w:tcPr>
            <w:tcW w:type="dxa" w:w="573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Zona segura (&gt; 2,99 seguro; &lt; 1,81 riesgo). No aplica a bancos ni aseguradoras, y subestima la solvencia de empresas con grandes anticipos de clientes o prefinanciación pública (contratistas, construcción), que inflan el pasivo.</w:t>
            </w:r>
          </w:p>
        </w:tc>
      </w:tr>
      <w:tr>
        <w:trPr>
          <w:cantSplit/>
        </w:trPr>
        <w:tc>
          <w:tcPr>
            <w:tcW w:type="dxa" w:w="275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Piotroski F</w:t>
            </w:r>
          </w:p>
        </w:tc>
        <w:tc>
          <w:tcPr>
            <w:tcW w:type="dxa" w:w="114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5 / 6</w:t>
            </w:r>
          </w:p>
        </w:tc>
        <w:tc>
          <w:tcPr>
            <w:tcW w:type="dxa" w:w="573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Intermedio (4-6).</w:t>
            </w:r>
          </w:p>
        </w:tc>
      </w:tr>
      <w:tr>
        <w:trPr>
          <w:cantSplit/>
        </w:trPr>
        <w:tc>
          <w:tcPr>
            <w:tcW w:type="dxa" w:w="275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Beneish M</w:t>
            </w:r>
          </w:p>
        </w:tc>
        <w:tc>
          <w:tcPr>
            <w:tcW w:type="dxa" w:w="114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-2,53</w:t>
            </w:r>
          </w:p>
        </w:tc>
        <w:tc>
          <w:tcPr>
            <w:tcW w:type="dxa" w:w="573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Por debajo de −1,78: sin señal de manipulación.</w:t>
            </w:r>
          </w:p>
        </w:tc>
      </w:tr>
      <w:tr>
        <w:trPr>
          <w:cantSplit/>
        </w:trPr>
        <w:tc>
          <w:tcPr>
            <w:tcW w:type="dxa" w:w="275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Flujo operativo / beneficio neto (acumulado)</w:t>
            </w:r>
          </w:p>
        </w:tc>
        <w:tc>
          <w:tcPr>
            <w:tcW w:type="dxa" w:w="114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0,81x</w:t>
            </w:r>
          </w:p>
        </w:tc>
        <w:tc>
          <w:tcPr>
            <w:tcW w:type="dxa" w:w="5738"/>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El beneficio se cobra solo en parte: mirar circulante y ajustes.</w:t>
            </w:r>
          </w:p>
        </w:tc>
      </w:tr>
    </w:tbl>
    <w:p>
      <w:pPr>
        <w:spacing w:after="160" w:before="0"/>
      </w:pP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7710"/>
        <w:gridCol w:w="1928"/>
      </w:tblGrid>
      <w:tr>
        <w:trPr>
          <w:cantSplit/>
          <w:tblHeader/>
        </w:trPr>
        <w:tc>
          <w:tcPr>
            <w:tcW w:type="dxa" w:w="7710"/>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Criterio Piotroski</w:t>
            </w:r>
          </w:p>
        </w:tc>
        <w:tc>
          <w:tcPr>
            <w:tcW w:type="dxa" w:w="1928"/>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center"/>
            </w:pPr>
            <w:r>
              <w:rPr>
                <w:rFonts w:ascii="Calibri" w:cs="Calibri" w:eastAsia="Calibri" w:hAnsi="Calibri"/>
                <w:b/>
                <w:bCs/>
                <w:color w:val="FFFFFF"/>
                <w:sz w:val="16"/>
                <w:szCs w:val="16"/>
              </w:rPr>
              <w:t xml:space="preserve">Cumple</w:t>
            </w:r>
          </w:p>
        </w:tc>
      </w:tr>
      <w:tr>
        <w:trPr>
          <w:cantSplit/>
        </w:trPr>
        <w:tc>
          <w:tcPr>
            <w:tcW w:type="dxa" w:w="771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Beneficio neto positivo</w:t>
            </w:r>
          </w:p>
        </w:tc>
        <w:tc>
          <w:tcPr>
            <w:tcW w:type="dxa" w:w="192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Sí</w:t>
            </w:r>
          </w:p>
        </w:tc>
      </w:tr>
      <w:tr>
        <w:trPr>
          <w:cantSplit/>
        </w:trPr>
        <w:tc>
          <w:tcPr>
            <w:tcW w:type="dxa" w:w="771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Flujo operativo positivo</w:t>
            </w:r>
          </w:p>
        </w:tc>
        <w:tc>
          <w:tcPr>
            <w:tcW w:type="dxa" w:w="192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Sí</w:t>
            </w:r>
          </w:p>
        </w:tc>
      </w:tr>
      <w:tr>
        <w:trPr>
          <w:cantSplit/>
        </w:trPr>
        <w:tc>
          <w:tcPr>
            <w:tcW w:type="dxa" w:w="771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ROA mejora</w:t>
            </w:r>
          </w:p>
        </w:tc>
        <w:tc>
          <w:tcPr>
            <w:tcW w:type="dxa" w:w="192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Sí</w:t>
            </w:r>
          </w:p>
        </w:tc>
      </w:tr>
      <w:tr>
        <w:trPr>
          <w:cantSplit/>
        </w:trPr>
        <w:tc>
          <w:tcPr>
            <w:tcW w:type="dxa" w:w="771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Flujo operativo &gt; beneficio neto</w:t>
            </w:r>
          </w:p>
        </w:tc>
        <w:tc>
          <w:tcPr>
            <w:tcW w:type="dxa" w:w="192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Sí</w:t>
            </w:r>
          </w:p>
        </w:tc>
      </w:tr>
      <w:tr>
        <w:trPr>
          <w:cantSplit/>
        </w:trPr>
        <w:tc>
          <w:tcPr>
            <w:tcW w:type="dxa" w:w="771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Baja el endeudamiento (deuda / activo)</w:t>
            </w:r>
          </w:p>
        </w:tc>
        <w:tc>
          <w:tcPr>
            <w:tcW w:type="dxa" w:w="192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No</w:t>
            </w:r>
          </w:p>
        </w:tc>
      </w:tr>
      <w:tr>
        <w:trPr>
          <w:cantSplit/>
        </w:trPr>
        <w:tc>
          <w:tcPr>
            <w:tcW w:type="dxa" w:w="771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Mejora la liquidez corriente</w:t>
            </w:r>
          </w:p>
        </w:tc>
        <w:tc>
          <w:tcPr>
            <w:tcW w:type="dxa" w:w="192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n.d.</w:t>
            </w:r>
          </w:p>
        </w:tc>
      </w:tr>
      <w:tr>
        <w:trPr>
          <w:cantSplit/>
        </w:trPr>
        <w:tc>
          <w:tcPr>
            <w:tcW w:type="dxa" w:w="771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No emite acciones</w:t>
            </w:r>
          </w:p>
        </w:tc>
        <w:tc>
          <w:tcPr>
            <w:tcW w:type="dxa" w:w="192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n.d.</w:t>
            </w:r>
          </w:p>
        </w:tc>
      </w:tr>
      <w:tr>
        <w:trPr>
          <w:cantSplit/>
        </w:trPr>
        <w:tc>
          <w:tcPr>
            <w:tcW w:type="dxa" w:w="771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Mejora el margen bruto</w:t>
            </w:r>
          </w:p>
        </w:tc>
        <w:tc>
          <w:tcPr>
            <w:tcW w:type="dxa" w:w="192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n.d.</w:t>
            </w:r>
          </w:p>
        </w:tc>
      </w:tr>
      <w:tr>
        <w:trPr>
          <w:cantSplit/>
        </w:trPr>
        <w:tc>
          <w:tcPr>
            <w:tcW w:type="dxa" w:w="771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Mejora la rotación del activo</w:t>
            </w:r>
          </w:p>
        </w:tc>
        <w:tc>
          <w:tcPr>
            <w:tcW w:type="dxa" w:w="1928"/>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val="false"/>
                <w:bCs w:val="false"/>
                <w:color w:val="1F2A3C"/>
                <w:sz w:val="16"/>
                <w:szCs w:val="16"/>
              </w:rPr>
              <w:t xml:space="preserve">Sí</w:t>
            </w:r>
          </w:p>
        </w:tc>
      </w:tr>
    </w:tbl>
    <w:p>
      <w:pPr>
        <w:spacing w:after="160" w:before="0"/>
      </w:pPr>
    </w:p>
    <w:p>
      <w:pPr>
        <w:pStyle w:val="Heading2"/>
      </w:pPr>
      <w:r>
        <w:t xml:space="preserve">Ajustes, criterios contables y remuneración en acciones</w:t>
      </w:r>
    </w:p>
    <w:p>
      <w:pPr>
        <w:spacing w:after="100"/>
      </w:pPr>
      <w:r>
        <w:t xml:space="preserve">Altman Z de 3,56 y Piotroski de 5: balance sólido, sin señales de tensión. El Beneish M (−2,53) no apunta a manipulación. La cuestión contable principal es la distancia entre core y NIIF (≈4.300 M USD de resultado operativo en 2025), que la dirección usa para su variable [1]. Riesgo de deterioro: del-desiran era el activo principal de Avidity (≈11.000 M de valor empresa) y falló en septiembre; un deterioro en el 3T o 4T26 bajaría el beneficio NIIF, no la caja [15, 21]. No hemos podido leer el informe del auditor (hueco).</w:t>
      </w:r>
    </w:p>
    <w:p>
      <w:pPr>
        <w:pStyle w:val="Heading2"/>
      </w:pPr>
      <w:r>
        <w:t xml:space="preserve">Señales de alerta</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3171"/>
        <w:gridCol w:w="976"/>
        <w:gridCol w:w="5491"/>
      </w:tblGrid>
      <w:tr>
        <w:trPr>
          <w:cantSplit/>
          <w:tblHeader/>
        </w:trPr>
        <w:tc>
          <w:tcPr>
            <w:tcW w:type="dxa" w:w="3171"/>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Señal</w:t>
            </w:r>
          </w:p>
        </w:tc>
        <w:tc>
          <w:tcPr>
            <w:tcW w:type="dxa" w:w="976"/>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center"/>
            </w:pPr>
            <w:r>
              <w:rPr>
                <w:rFonts w:ascii="Calibri" w:cs="Calibri" w:eastAsia="Calibri" w:hAnsi="Calibri"/>
                <w:b/>
                <w:bCs/>
                <w:color w:val="FFFFFF"/>
                <w:sz w:val="16"/>
                <w:szCs w:val="16"/>
              </w:rPr>
              <w:t xml:space="preserve">Nivel</w:t>
            </w:r>
          </w:p>
        </w:tc>
        <w:tc>
          <w:tcPr>
            <w:tcW w:type="dxa" w:w="5491"/>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Explicación</w:t>
            </w:r>
          </w:p>
        </w:tc>
      </w:tr>
      <w:tr>
        <w:trPr>
          <w:cantSplit/>
        </w:trPr>
        <w:tc>
          <w:tcPr>
            <w:tcW w:type="dxa" w:w="317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Posible deterioro de los intangibles de Avidity tras el fracaso de HARBOR</w:t>
            </w:r>
          </w:p>
        </w:tc>
        <w:tc>
          <w:tcPr>
            <w:tcW w:type="dxa" w:w="97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Media</w:t>
            </w:r>
          </w:p>
        </w:tc>
        <w:tc>
          <w:tcPr>
            <w:tcW w:type="dxa" w:w="549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Hasta ≈11.000 M USD de valor empresa pagado; no afecta al BPA core ni a la caja [15, 21].</w:t>
            </w:r>
          </w:p>
        </w:tc>
      </w:tr>
      <w:tr>
        <w:trPr>
          <w:cantSplit/>
        </w:trPr>
        <w:tc>
          <w:tcPr>
            <w:tcW w:type="dxa" w:w="3171"/>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Diferencia core/NIIF recurrente</w:t>
            </w:r>
          </w:p>
        </w:tc>
        <w:tc>
          <w:tcPr>
            <w:tcW w:type="dxa" w:w="97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val="false"/>
                <w:bCs w:val="false"/>
                <w:color w:val="1F2A3C"/>
                <w:sz w:val="16"/>
                <w:szCs w:val="16"/>
              </w:rPr>
              <w:t xml:space="preserve">Baja</w:t>
            </w:r>
          </w:p>
        </w:tc>
        <w:tc>
          <w:tcPr>
            <w:tcW w:type="dxa" w:w="5491"/>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Amortización de intangibles comprados: se repite cada año; el variable de la dirección se mide en core [1].</w:t>
            </w:r>
          </w:p>
        </w:tc>
      </w:tr>
    </w:tbl>
    <w:p>
      <w:pPr>
        <w:spacing w:after="160" w:before="0"/>
      </w:pPr>
    </w:p>
    <w:p>
      <w:pPr>
        <w:pStyle w:val="Heading1"/>
      </w:pPr>
      <w:r>
        <w:t xml:space="preserve">10. Rentabilidad sobre el capital</w:t>
      </w:r>
    </w:p>
    <w:p>
      <w:pPr>
        <w:pStyle w:val="Confianza"/>
        <w:spacing w:after="100"/>
      </w:pPr>
      <w:r>
        <w:t xml:space="preserve">Confianza: Media</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1126"/>
        <w:gridCol w:w="1126"/>
        <w:gridCol w:w="1126"/>
        <w:gridCol w:w="1126"/>
        <w:gridCol w:w="1251"/>
        <w:gridCol w:w="1251"/>
        <w:gridCol w:w="1251"/>
        <w:gridCol w:w="1381"/>
      </w:tblGrid>
      <w:tr>
        <w:trPr>
          <w:cantSplit/>
          <w:tblHeader/>
        </w:trPr>
        <w:tc>
          <w:tcPr>
            <w:tcW w:type="dxa" w:w="1126"/>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Periodo</w:t>
            </w:r>
          </w:p>
        </w:tc>
        <w:tc>
          <w:tcPr>
            <w:tcW w:type="dxa" w:w="1126"/>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ROIC</w:t>
            </w:r>
          </w:p>
        </w:tc>
        <w:tc>
          <w:tcPr>
            <w:tcW w:type="dxa" w:w="1126"/>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ROE</w:t>
            </w:r>
          </w:p>
        </w:tc>
        <w:tc>
          <w:tcPr>
            <w:tcW w:type="dxa" w:w="1126"/>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ROA</w:t>
            </w:r>
          </w:p>
        </w:tc>
        <w:tc>
          <w:tcPr>
            <w:tcW w:type="dxa" w:w="1251"/>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Margen neto</w:t>
            </w:r>
          </w:p>
        </w:tc>
        <w:tc>
          <w:tcPr>
            <w:tcW w:type="dxa" w:w="1251"/>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Rotación del activo</w:t>
            </w:r>
          </w:p>
        </w:tc>
        <w:tc>
          <w:tcPr>
            <w:tcW w:type="dxa" w:w="1251"/>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Apalancamiento</w:t>
            </w:r>
          </w:p>
        </w:tc>
        <w:tc>
          <w:tcPr>
            <w:tcW w:type="dxa" w:w="1381"/>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Capital invertido</w:t>
            </w:r>
          </w:p>
        </w:tc>
      </w:tr>
      <w:tr>
        <w:trPr>
          <w:cantSplit/>
        </w:trPr>
        <w:tc>
          <w:tcPr>
            <w:tcW w:type="dxa" w:w="112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2021</w:t>
            </w:r>
          </w:p>
        </w:tc>
        <w:tc>
          <w:tcPr>
            <w:tcW w:type="dxa" w:w="112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9,6 %</w:t>
            </w:r>
          </w:p>
        </w:tc>
        <w:tc>
          <w:tcPr>
            <w:tcW w:type="dxa" w:w="112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33,8 %</w:t>
            </w:r>
          </w:p>
        </w:tc>
        <w:tc>
          <w:tcPr>
            <w:tcW w:type="dxa" w:w="112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17,4 %</w:t>
            </w:r>
          </w:p>
        </w:tc>
        <w:tc>
          <w:tcPr>
            <w:tcW w:type="dxa" w:w="125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52,1 %</w:t>
            </w:r>
          </w:p>
        </w:tc>
        <w:tc>
          <w:tcPr>
            <w:tcW w:type="dxa" w:w="125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0,33x</w:t>
            </w:r>
          </w:p>
        </w:tc>
        <w:tc>
          <w:tcPr>
            <w:tcW w:type="dxa" w:w="125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1,94x</w:t>
            </w:r>
          </w:p>
        </w:tc>
        <w:tc>
          <w:tcPr>
            <w:tcW w:type="dxa" w:w="138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78.317</w:t>
            </w:r>
          </w:p>
        </w:tc>
      </w:tr>
      <w:tr>
        <w:trPr>
          <w:cantSplit/>
        </w:trPr>
        <w:tc>
          <w:tcPr>
            <w:tcW w:type="dxa" w:w="112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2022</w:t>
            </w:r>
          </w:p>
        </w:tc>
        <w:tc>
          <w:tcPr>
            <w:tcW w:type="dxa" w:w="112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7,9 %</w:t>
            </w:r>
          </w:p>
        </w:tc>
        <w:tc>
          <w:tcPr>
            <w:tcW w:type="dxa" w:w="112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9,5 %</w:t>
            </w:r>
          </w:p>
        </w:tc>
        <w:tc>
          <w:tcPr>
            <w:tcW w:type="dxa" w:w="112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4,9 %</w:t>
            </w:r>
          </w:p>
        </w:tc>
        <w:tc>
          <w:tcPr>
            <w:tcW w:type="dxa" w:w="125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13,9 %</w:t>
            </w:r>
          </w:p>
        </w:tc>
        <w:tc>
          <w:tcPr>
            <w:tcW w:type="dxa" w:w="125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0,35x</w:t>
            </w:r>
          </w:p>
        </w:tc>
        <w:tc>
          <w:tcPr>
            <w:tcW w:type="dxa" w:w="125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1,96x</w:t>
            </w:r>
          </w:p>
        </w:tc>
        <w:tc>
          <w:tcPr>
            <w:tcW w:type="dxa" w:w="138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75.234</w:t>
            </w:r>
          </w:p>
        </w:tc>
      </w:tr>
      <w:tr>
        <w:trPr>
          <w:cantSplit/>
        </w:trPr>
        <w:tc>
          <w:tcPr>
            <w:tcW w:type="dxa" w:w="112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2023</w:t>
            </w:r>
          </w:p>
        </w:tc>
        <w:tc>
          <w:tcPr>
            <w:tcW w:type="dxa" w:w="112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11,8 %</w:t>
            </w:r>
          </w:p>
        </w:tc>
        <w:tc>
          <w:tcPr>
            <w:tcW w:type="dxa" w:w="112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16,1 %</w:t>
            </w:r>
          </w:p>
        </w:tc>
        <w:tc>
          <w:tcPr>
            <w:tcW w:type="dxa" w:w="112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7,9 %</w:t>
            </w:r>
          </w:p>
        </w:tc>
        <w:tc>
          <w:tcPr>
            <w:tcW w:type="dxa" w:w="125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18,4 %</w:t>
            </w:r>
          </w:p>
        </w:tc>
        <w:tc>
          <w:tcPr>
            <w:tcW w:type="dxa" w:w="125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0,43x</w:t>
            </w:r>
          </w:p>
        </w:tc>
        <w:tc>
          <w:tcPr>
            <w:tcW w:type="dxa" w:w="125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2,05x</w:t>
            </w:r>
          </w:p>
        </w:tc>
        <w:tc>
          <w:tcPr>
            <w:tcW w:type="dxa" w:w="138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61.972</w:t>
            </w:r>
          </w:p>
        </w:tc>
      </w:tr>
      <w:tr>
        <w:trPr>
          <w:cantSplit/>
        </w:trPr>
        <w:tc>
          <w:tcPr>
            <w:tcW w:type="dxa" w:w="112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2024</w:t>
            </w:r>
          </w:p>
        </w:tc>
        <w:tc>
          <w:tcPr>
            <w:tcW w:type="dxa" w:w="112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20,6 %</w:t>
            </w:r>
          </w:p>
        </w:tc>
        <w:tc>
          <w:tcPr>
            <w:tcW w:type="dxa" w:w="112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26,3 %</w:t>
            </w:r>
          </w:p>
        </w:tc>
        <w:tc>
          <w:tcPr>
            <w:tcW w:type="dxa" w:w="112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11,8 %</w:t>
            </w:r>
          </w:p>
        </w:tc>
        <w:tc>
          <w:tcPr>
            <w:tcW w:type="dxa" w:w="125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23,1 %</w:t>
            </w:r>
          </w:p>
        </w:tc>
        <w:tc>
          <w:tcPr>
            <w:tcW w:type="dxa" w:w="125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0,51x</w:t>
            </w:r>
          </w:p>
        </w:tc>
        <w:tc>
          <w:tcPr>
            <w:tcW w:type="dxa" w:w="125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2,22x</w:t>
            </w:r>
          </w:p>
        </w:tc>
        <w:tc>
          <w:tcPr>
            <w:tcW w:type="dxa" w:w="138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52.913</w:t>
            </w:r>
          </w:p>
        </w:tc>
      </w:tr>
      <w:tr>
        <w:trPr>
          <w:cantSplit/>
        </w:trPr>
        <w:tc>
          <w:tcPr>
            <w:tcW w:type="dxa" w:w="11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2025</w:t>
            </w:r>
          </w:p>
        </w:tc>
        <w:tc>
          <w:tcPr>
            <w:tcW w:type="dxa" w:w="11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24,6 %</w:t>
            </w:r>
          </w:p>
        </w:tc>
        <w:tc>
          <w:tcPr>
            <w:tcW w:type="dxa" w:w="11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30,8 %</w:t>
            </w:r>
          </w:p>
        </w:tc>
        <w:tc>
          <w:tcPr>
            <w:tcW w:type="dxa" w:w="11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13,1 %</w:t>
            </w:r>
          </w:p>
        </w:tc>
        <w:tc>
          <w:tcPr>
            <w:tcW w:type="dxa" w:w="1251"/>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24,7 %</w:t>
            </w:r>
          </w:p>
        </w:tc>
        <w:tc>
          <w:tcPr>
            <w:tcW w:type="dxa" w:w="1251"/>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0,53x</w:t>
            </w:r>
          </w:p>
        </w:tc>
        <w:tc>
          <w:tcPr>
            <w:tcW w:type="dxa" w:w="1251"/>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2,35x</w:t>
            </w:r>
          </w:p>
        </w:tc>
        <w:tc>
          <w:tcPr>
            <w:tcW w:type="dxa" w:w="1381"/>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61.241</w:t>
            </w:r>
          </w:p>
        </w:tc>
      </w:tr>
    </w:tbl>
    <w:p>
      <w:pPr>
        <w:spacing w:after="160" w:before="0"/>
      </w:pPr>
    </w:p>
    <w:p>
      <w:pPr>
        <w:keepNext w:val="false"/>
        <w:spacing w:after="160" w:before="120"/>
        <w:jc w:val="center"/>
      </w:pPr>
      <w:r>
        <w:drawing>
          <wp:inline xmlns:wp="http://schemas.openxmlformats.org/drawingml/2006/wordprocessingDrawing" distT="0" distB="0" distL="0" distR="0">
            <wp:extent cx="5760000" cy="2700000"/>
            <wp:effectExtent l="0" t="0" r="0" b="0"/>
            <wp:docPr id="1009" name="Gráfico 9" descr="ROIC y ROE frente al coste del capital (%)"/>
            <wp:cNvGraphicFramePr/>
            <a:graphic xmlns:a="http://schemas.openxmlformats.org/drawingml/2006/main">
              <a:graphicData uri="http://schemas.openxmlformats.org/drawingml/2006/chart">
                <c:chart xmlns:c="http://schemas.openxmlformats.org/drawingml/2006/chart" xmlns:r="http://schemas.openxmlformats.org/officeDocument/2006/relationships" r:id="rIdGrafico9"/>
              </a:graphicData>
            </a:graphic>
          </wp:inline>
        </w:drawing>
      </w:r>
    </w:p>
    <w:p>
      <w:pPr>
        <w:spacing w:after="100"/>
      </w:pPr>
      <w:r>
        <w:rPr>
          <w:b/>
          <w:bCs/>
        </w:rPr>
        <w:t xml:space="preserve">ROIC incremental</w:t>
      </w:r>
      <w:r>
        <w:t xml:space="preserve"> (variación del NOPAT sobre variación del capital invertido en el periodo): n.d. · </w:t>
      </w:r>
      <w:r>
        <w:rPr>
          <w:b/>
          <w:bCs/>
        </w:rPr>
        <w:t xml:space="preserve">WACC</w:t>
      </w:r>
      <w:r>
        <w:t xml:space="preserve">: 8,1 %.</w:t>
      </w:r>
    </w:p>
    <w:p>
      <w:pPr>
        <w:spacing w:after="100"/>
      </w:pPr>
      <w:r>
        <w:t xml:space="preserve">Novartis crea valor: ROIC del 24,6 % en 2025 frente a un WACC del 8,14 %, 16,5 puntos de diferencia. No siempre fue así: el 7,9 % de 2022 y el 11,8 % de 2023 llevaban Sandoz y la reorganización; la subida a 20,6 % en 2024 y 24,6 % en 2025 viene del margen (beneficio del 24,7 % de los ingresos) más que de la rotación (0,53 veces). Frente a los comparables, solo Lilly (42,2 %), Novo (39,2 %) y Roche (27,1 %) están por encima [23]. El riesgo es el capital que entra con las compras: Avidity añade ≈12.000 M al capital invertido sin ventas a la vista tras HARBOR [15, 21].</w:t>
      </w:r>
    </w:p>
    <w:p>
      <w:pPr>
        <w:pStyle w:val="Heading1"/>
      </w:pPr>
      <w:r>
        <w:t xml:space="preserve">11. Deuda y solvencia</w:t>
      </w:r>
    </w:p>
    <w:p>
      <w:pPr>
        <w:pStyle w:val="Confianza"/>
        <w:spacing w:after="100"/>
      </w:pPr>
      <w:r>
        <w:t xml:space="preserve">Confianza: Media</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2023"/>
        <w:gridCol w:w="2796"/>
        <w:gridCol w:w="2023"/>
        <w:gridCol w:w="2796"/>
      </w:tblGrid>
      <w:tr>
        <w:trPr>
          <w:cantSplit/>
        </w:trPr>
        <w:tc>
          <w:tcPr>
            <w:tcW w:type="dxa" w:w="2023"/>
            <w:tcBorders>
              <w:top w:val="none" w:color="FFFFFF" w:sz="0"/>
              <w:left w:val="none" w:color="FFFFFF" w:sz="0"/>
              <w:bottom w:val="single" w:color="D9D8D3" w:sz="4"/>
              <w:right w:val="none" w:color="FFFFFF" w:sz="0"/>
            </w:tcBorders>
            <w:shd w:fill="F3F2EE" w:color="auto" w:val="clear"/>
            <w:tcMar>
              <w:top w:type="dxa" w:w="50"/>
              <w:left w:type="dxa" w:w="80"/>
              <w:bottom w:type="dxa" w:w="50"/>
              <w:right w:type="dxa" w:w="80"/>
            </w:tcMar>
          </w:tcPr>
          <w:p>
            <w:pPr>
              <w:spacing w:after="0" w:before="0"/>
              <w:jc w:val="left"/>
            </w:pPr>
            <w:r>
              <w:rPr>
                <w:rFonts w:ascii="Calibri" w:cs="Calibri" w:eastAsia="Calibri" w:hAnsi="Calibri"/>
                <w:b w:val="false"/>
                <w:bCs w:val="false"/>
                <w:color w:val="52514E"/>
                <w:sz w:val="16"/>
                <w:szCs w:val="16"/>
              </w:rPr>
              <w:t xml:space="preserve">Deuda neta a 30 jun 2026</w:t>
            </w:r>
          </w:p>
        </w:tc>
        <w:tc>
          <w:tcPr>
            <w:tcW w:type="dxa" w:w="279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7"/>
                <w:szCs w:val="17"/>
              </w:rPr>
              <w:t xml:space="preserve">39.400 M</w:t>
            </w:r>
          </w:p>
        </w:tc>
        <w:tc>
          <w:tcPr>
            <w:tcW w:type="dxa" w:w="2023"/>
            <w:tcBorders>
              <w:top w:val="none" w:color="FFFFFF" w:sz="0"/>
              <w:left w:val="none" w:color="FFFFFF" w:sz="0"/>
              <w:bottom w:val="single" w:color="D9D8D3" w:sz="4"/>
              <w:right w:val="none" w:color="FFFFFF" w:sz="0"/>
            </w:tcBorders>
            <w:shd w:fill="F3F2EE" w:color="auto" w:val="clear"/>
            <w:tcMar>
              <w:top w:type="dxa" w:w="50"/>
              <w:left w:type="dxa" w:w="80"/>
              <w:bottom w:type="dxa" w:w="50"/>
              <w:right w:type="dxa" w:w="80"/>
            </w:tcMar>
          </w:tcPr>
          <w:p>
            <w:pPr>
              <w:spacing w:after="0" w:before="0"/>
              <w:jc w:val="left"/>
            </w:pPr>
            <w:r>
              <w:rPr>
                <w:rFonts w:ascii="Calibri" w:cs="Calibri" w:eastAsia="Calibri" w:hAnsi="Calibri"/>
                <w:b w:val="false"/>
                <w:bCs w:val="false"/>
                <w:color w:val="52514E"/>
                <w:sz w:val="16"/>
                <w:szCs w:val="16"/>
              </w:rPr>
              <w:t xml:space="preserve">Deuda neta / EBITDA últimos 12 m</w:t>
            </w:r>
          </w:p>
        </w:tc>
        <w:tc>
          <w:tcPr>
            <w:tcW w:type="dxa" w:w="279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7"/>
                <w:szCs w:val="17"/>
              </w:rPr>
              <w:t xml:space="preserve">1,7x</w:t>
            </w:r>
          </w:p>
        </w:tc>
      </w:tr>
      <w:tr>
        <w:trPr>
          <w:cantSplit/>
        </w:trPr>
        <w:tc>
          <w:tcPr>
            <w:tcW w:type="dxa" w:w="2023"/>
            <w:tcBorders>
              <w:top w:val="none" w:color="FFFFFF" w:sz="0"/>
              <w:left w:val="none" w:color="FFFFFF" w:sz="0"/>
              <w:bottom w:val="single" w:color="D9D8D3" w:sz="4"/>
              <w:right w:val="none" w:color="FFFFFF" w:sz="0"/>
            </w:tcBorders>
            <w:shd w:fill="F3F2EE" w:color="auto" w:val="clear"/>
            <w:tcMar>
              <w:top w:type="dxa" w:w="50"/>
              <w:left w:type="dxa" w:w="80"/>
              <w:bottom w:type="dxa" w:w="50"/>
              <w:right w:type="dxa" w:w="80"/>
            </w:tcMar>
          </w:tcPr>
          <w:p>
            <w:pPr>
              <w:spacing w:after="0" w:before="0"/>
              <w:jc w:val="left"/>
            </w:pPr>
            <w:r>
              <w:rPr>
                <w:rFonts w:ascii="Calibri" w:cs="Calibri" w:eastAsia="Calibri" w:hAnsi="Calibri"/>
                <w:b w:val="false"/>
                <w:bCs w:val="false"/>
                <w:color w:val="52514E"/>
                <w:sz w:val="16"/>
                <w:szCs w:val="16"/>
              </w:rPr>
              <w:t xml:space="preserve">Deuda neta ajustada / EBITDA</w:t>
            </w:r>
          </w:p>
        </w:tc>
        <w:tc>
          <w:tcPr>
            <w:tcW w:type="dxa" w:w="279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7"/>
                <w:szCs w:val="17"/>
              </w:rPr>
              <w:t xml:space="preserve">1,7x</w:t>
            </w:r>
          </w:p>
        </w:tc>
        <w:tc>
          <w:tcPr>
            <w:tcW w:type="dxa" w:w="2023"/>
            <w:tcBorders>
              <w:top w:val="none" w:color="FFFFFF" w:sz="0"/>
              <w:left w:val="none" w:color="FFFFFF" w:sz="0"/>
              <w:bottom w:val="single" w:color="D9D8D3" w:sz="4"/>
              <w:right w:val="none" w:color="FFFFFF" w:sz="0"/>
            </w:tcBorders>
            <w:shd w:fill="F3F2EE" w:color="auto" w:val="clear"/>
            <w:tcMar>
              <w:top w:type="dxa" w:w="50"/>
              <w:left w:type="dxa" w:w="80"/>
              <w:bottom w:type="dxa" w:w="50"/>
              <w:right w:type="dxa" w:w="80"/>
            </w:tcMar>
          </w:tcPr>
          <w:p>
            <w:pPr>
              <w:spacing w:after="0" w:before="0"/>
              <w:jc w:val="left"/>
            </w:pPr>
            <w:r>
              <w:rPr>
                <w:rFonts w:ascii="Calibri" w:cs="Calibri" w:eastAsia="Calibri" w:hAnsi="Calibri"/>
                <w:b w:val="false"/>
                <w:bCs w:val="false"/>
                <w:color w:val="52514E"/>
                <w:sz w:val="16"/>
                <w:szCs w:val="16"/>
              </w:rPr>
              <w:t xml:space="preserve">Liquidez disponible</w:t>
            </w:r>
          </w:p>
        </w:tc>
        <w:tc>
          <w:tcPr>
            <w:tcW w:type="dxa" w:w="279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7"/>
                <w:szCs w:val="17"/>
              </w:rPr>
              <w:t xml:space="preserve">Caja de 11.435 M USD a dic-25 [6]; deuda neta de 21.900 M a dic-25 y de 39.400 M a jun-26 tras pagar Avidity (≈12.000 M) y el dividendo [11, 15].</w:t>
            </w:r>
          </w:p>
        </w:tc>
      </w:tr>
      <w:tr>
        <w:trPr>
          <w:cantSplit/>
        </w:trPr>
        <w:tc>
          <w:tcPr>
            <w:tcW w:type="dxa" w:w="2023"/>
            <w:tcBorders>
              <w:top w:val="none" w:color="FFFFFF" w:sz="0"/>
              <w:left w:val="none" w:color="FFFFFF" w:sz="0"/>
              <w:bottom w:val="single" w:color="D9D8D3" w:sz="4"/>
              <w:right w:val="none" w:color="FFFFFF" w:sz="0"/>
            </w:tcBorders>
            <w:tcMar>
              <w:top w:type="dxa" w:w="50"/>
              <w:left w:type="dxa" w:w="80"/>
              <w:bottom w:type="dxa" w:w="50"/>
              <w:right w:type="dxa" w:w="80"/>
            </w:tcMar>
          </w:tcPr>
          <w:p/>
        </w:tc>
        <w:tc>
          <w:tcPr>
            <w:tcW w:type="dxa" w:w="2796"/>
            <w:tcBorders>
              <w:top w:val="none" w:color="FFFFFF" w:sz="0"/>
              <w:left w:val="none" w:color="FFFFFF" w:sz="0"/>
              <w:bottom w:val="single" w:color="D9D8D3" w:sz="4"/>
              <w:right w:val="none" w:color="FFFFFF" w:sz="0"/>
            </w:tcBorders>
            <w:tcMar>
              <w:top w:type="dxa" w:w="50"/>
              <w:left w:type="dxa" w:w="80"/>
              <w:bottom w:type="dxa" w:w="50"/>
              <w:right w:type="dxa" w:w="80"/>
            </w:tcMar>
          </w:tcPr>
          <w:p/>
        </w:tc>
        <w:tc>
          <w:tcPr>
            <w:tcW w:type="dxa" w:w="2023"/>
            <w:tcBorders>
              <w:top w:val="none" w:color="FFFFFF" w:sz="0"/>
              <w:left w:val="none" w:color="FFFFFF" w:sz="0"/>
              <w:bottom w:val="single" w:color="D9D8D3" w:sz="4"/>
              <w:right w:val="none" w:color="FFFFFF" w:sz="0"/>
            </w:tcBorders>
            <w:shd w:fill="F3F2EE" w:color="auto" w:val="clear"/>
            <w:tcMar>
              <w:top w:type="dxa" w:w="50"/>
              <w:left w:type="dxa" w:w="80"/>
              <w:bottom w:type="dxa" w:w="50"/>
              <w:right w:type="dxa" w:w="80"/>
            </w:tcMar>
          </w:tcPr>
          <w:p>
            <w:pPr>
              <w:spacing w:after="0" w:before="0"/>
              <w:jc w:val="left"/>
            </w:pPr>
          </w:p>
        </w:tc>
        <w:tc>
          <w:tcPr>
            <w:tcW w:type="dxa" w:w="279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p>
        </w:tc>
      </w:tr>
    </w:tbl>
    <w:p>
      <w:pPr>
        <w:spacing w:after="160" w:before="0"/>
      </w:pPr>
    </w:p>
    <w:p>
      <w:pPr>
        <w:keepNext w:val="false"/>
        <w:spacing w:after="160" w:before="120"/>
        <w:jc w:val="center"/>
      </w:pPr>
      <w:r>
        <w:drawing>
          <wp:inline xmlns:wp="http://schemas.openxmlformats.org/drawingml/2006/wordprocessingDrawing" distT="0" distB="0" distL="0" distR="0">
            <wp:extent cx="5760000" cy="2160000"/>
            <wp:effectExtent l="0" t="0" r="0" b="0"/>
            <wp:docPr id="1010" name="Gráfico 10" descr="Deuda neta / EBITDA al cierre de cada ejercicio (veces)"/>
            <wp:cNvGraphicFramePr/>
            <a:graphic xmlns:a="http://schemas.openxmlformats.org/drawingml/2006/main">
              <a:graphicData uri="http://schemas.openxmlformats.org/drawingml/2006/chart">
                <c:chart xmlns:c="http://schemas.openxmlformats.org/drawingml/2006/chart" xmlns:r="http://schemas.openxmlformats.org/officeDocument/2006/relationships" r:id="rIdGrafico10"/>
              </a:graphicData>
            </a:graphic>
          </wp:inline>
        </w:drawing>
      </w:r>
    </w:p>
    <w:p>
      <w:pPr>
        <w:pStyle w:val="Heading2"/>
      </w:pPr>
      <w:r>
        <w:t xml:space="preserve">Covenants, pasivos fuera de la deuda y contingencias</w:t>
      </w:r>
    </w:p>
    <w:p>
      <w:pPr>
        <w:spacing w:after="100"/>
      </w:pPr>
      <w:r>
        <w:t xml:space="preserve">No hemos podido leer las notas de pensiones, provisiones y litigios del 20-F (hueco). Novartis tiene planes de prestación definida en Suiza y EE. UU.; su déficit no está en el puente, lo que sobrestima algo el valor por acción. Tras Avidity, la deuda neta subió de 21.900 M USD a 39.400 M en el 1S26 [11]; queda por ejecutar 5.600 M de la recompra de 10.000 M anunciada en julio de 2025 [11].</w:t>
      </w:r>
    </w:p>
    <w:p>
      <w:pPr>
        <w:pStyle w:val="Heading1"/>
      </w:pPr>
      <w:r>
        <w:t xml:space="preserve">12. Asignación de capital</w:t>
      </w:r>
    </w:p>
    <w:p>
      <w:pPr>
        <w:pStyle w:val="Confianza"/>
        <w:spacing w:after="100"/>
      </w:pPr>
      <w:r>
        <w:t xml:space="preserve">Confianza: Media</w:t>
      </w:r>
    </w:p>
    <w:p>
      <w:pPr>
        <w:spacing w:after="100"/>
      </w:pPr>
      <w:r>
        <w:t xml:space="preserve">Dividendo creciente en francos (3,70 CHF por 2025, +5,7 %, 29 subidas seguidas desde 1996) [17] y recompras: queda por ejecutar 5.600 M USD del programa de 10.000 M de julio de 2025 [11]. La prioridad declarada es invertir en la cartera (I+D interna y compras de complemento), después el dividendo y luego las recompras.</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2377"/>
        <w:gridCol w:w="1126"/>
        <w:gridCol w:w="1251"/>
        <w:gridCol w:w="1251"/>
        <w:gridCol w:w="1251"/>
        <w:gridCol w:w="1251"/>
        <w:gridCol w:w="1131"/>
      </w:tblGrid>
      <w:tr>
        <w:trPr>
          <w:cantSplit/>
          <w:tblHeader/>
        </w:trPr>
        <w:tc>
          <w:tcPr>
            <w:tcW w:type="dxa" w:w="1126"/>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Periodo</w:t>
            </w:r>
          </w:p>
        </w:tc>
        <w:tc>
          <w:tcPr>
            <w:tcW w:type="dxa" w:w="1126"/>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FCF</w:t>
            </w:r>
          </w:p>
        </w:tc>
        <w:tc>
          <w:tcPr>
            <w:tcW w:type="dxa" w:w="1251"/>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Dividendos</w:t>
            </w:r>
          </w:p>
        </w:tc>
        <w:tc>
          <w:tcPr>
            <w:tcW w:type="dxa" w:w="1251"/>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Recompras</w:t>
            </w:r>
          </w:p>
        </w:tc>
        <w:tc>
          <w:tcPr>
            <w:tcW w:type="dxa" w:w="1251"/>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Ampliaciones</w:t>
            </w:r>
          </w:p>
        </w:tc>
        <w:tc>
          <w:tcPr>
            <w:tcW w:type="dxa" w:w="1251"/>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Retorno / B. neto</w:t>
            </w:r>
          </w:p>
        </w:tc>
        <w:tc>
          <w:tcPr>
            <w:tcW w:type="dxa" w:w="1131"/>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Acciones (M)</w:t>
            </w:r>
          </w:p>
        </w:tc>
      </w:tr>
      <w:tr>
        <w:trPr>
          <w:cantSplit/>
        </w:trPr>
        <w:tc>
          <w:tcPr>
            <w:tcW w:type="dxa" w:w="112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2023</w:t>
            </w:r>
          </w:p>
        </w:tc>
        <w:tc>
          <w:tcPr>
            <w:tcW w:type="dxa" w:w="112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13.398</w:t>
            </w:r>
          </w:p>
        </w:tc>
        <w:tc>
          <w:tcPr>
            <w:tcW w:type="dxa" w:w="125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7.250</w:t>
            </w:r>
          </w:p>
        </w:tc>
        <w:tc>
          <w:tcPr>
            <w:tcW w:type="dxa" w:w="125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8.520</w:t>
            </w:r>
          </w:p>
        </w:tc>
        <w:tc>
          <w:tcPr>
            <w:tcW w:type="dxa" w:w="125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0</w:t>
            </w:r>
          </w:p>
        </w:tc>
        <w:tc>
          <w:tcPr>
            <w:tcW w:type="dxa" w:w="125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184 %</w:t>
            </w:r>
          </w:p>
        </w:tc>
        <w:tc>
          <w:tcPr>
            <w:tcW w:type="dxa" w:w="113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w:t>
            </w:r>
          </w:p>
        </w:tc>
      </w:tr>
      <w:tr>
        <w:trPr>
          <w:cantSplit/>
        </w:trPr>
        <w:tc>
          <w:tcPr>
            <w:tcW w:type="dxa" w:w="112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2024</w:t>
            </w:r>
          </w:p>
        </w:tc>
        <w:tc>
          <w:tcPr>
            <w:tcW w:type="dxa" w:w="112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16.253</w:t>
            </w:r>
          </w:p>
        </w:tc>
        <w:tc>
          <w:tcPr>
            <w:tcW w:type="dxa" w:w="125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7.620</w:t>
            </w:r>
          </w:p>
        </w:tc>
        <w:tc>
          <w:tcPr>
            <w:tcW w:type="dxa" w:w="125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8.450</w:t>
            </w:r>
          </w:p>
        </w:tc>
        <w:tc>
          <w:tcPr>
            <w:tcW w:type="dxa" w:w="125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0</w:t>
            </w:r>
          </w:p>
        </w:tc>
        <w:tc>
          <w:tcPr>
            <w:tcW w:type="dxa" w:w="125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135 %</w:t>
            </w:r>
          </w:p>
        </w:tc>
        <w:tc>
          <w:tcPr>
            <w:tcW w:type="dxa" w:w="113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w:t>
            </w:r>
          </w:p>
        </w:tc>
      </w:tr>
      <w:tr>
        <w:trPr>
          <w:cantSplit/>
        </w:trPr>
        <w:tc>
          <w:tcPr>
            <w:tcW w:type="dxa" w:w="11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2025</w:t>
            </w:r>
          </w:p>
        </w:tc>
        <w:tc>
          <w:tcPr>
            <w:tcW w:type="dxa" w:w="11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17.596</w:t>
            </w:r>
          </w:p>
        </w:tc>
        <w:tc>
          <w:tcPr>
            <w:tcW w:type="dxa" w:w="1251"/>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7.820</w:t>
            </w:r>
          </w:p>
        </w:tc>
        <w:tc>
          <w:tcPr>
            <w:tcW w:type="dxa" w:w="1251"/>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9.120</w:t>
            </w:r>
          </w:p>
        </w:tc>
        <w:tc>
          <w:tcPr>
            <w:tcW w:type="dxa" w:w="1251"/>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0</w:t>
            </w:r>
          </w:p>
        </w:tc>
        <w:tc>
          <w:tcPr>
            <w:tcW w:type="dxa" w:w="1251"/>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121 %</w:t>
            </w:r>
          </w:p>
        </w:tc>
        <w:tc>
          <w:tcPr>
            <w:tcW w:type="dxa" w:w="1131"/>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1.955,0</w:t>
            </w:r>
          </w:p>
        </w:tc>
      </w:tr>
    </w:tbl>
    <w:p>
      <w:pPr>
        <w:spacing w:after="160" w:before="0"/>
      </w:pPr>
    </w:p>
    <w:p>
      <w:pPr>
        <w:keepNext w:val="false"/>
        <w:spacing w:after="160" w:before="120"/>
        <w:jc w:val="center"/>
      </w:pPr>
      <w:r>
        <w:drawing>
          <wp:inline xmlns:wp="http://schemas.openxmlformats.org/drawingml/2006/wordprocessingDrawing" distT="0" distB="0" distL="0" distR="0">
            <wp:extent cx="5760000" cy="2700000"/>
            <wp:effectExtent l="0" t="0" r="0" b="0"/>
            <wp:docPr id="1011" name="Gráfico 11" descr="Usos de la caja (USD, millones)"/>
            <wp:cNvGraphicFramePr/>
            <a:graphic xmlns:a="http://schemas.openxmlformats.org/drawingml/2006/main">
              <a:graphicData uri="http://schemas.openxmlformats.org/drawingml/2006/chart">
                <c:chart xmlns:c="http://schemas.openxmlformats.org/drawingml/2006/chart" xmlns:r="http://schemas.openxmlformats.org/officeDocument/2006/relationships" r:id="rIdGrafico11"/>
              </a:graphicData>
            </a:graphic>
          </wp:inline>
        </w:drawing>
      </w:r>
    </w:p>
    <w:p>
      <w:pPr>
        <w:pStyle w:val="Heading2"/>
      </w:pPr>
      <w:r>
        <w:t xml:space="preserve">Historial de adquisiciones</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1664"/>
        <w:gridCol w:w="2141"/>
        <w:gridCol w:w="951"/>
        <w:gridCol w:w="1308"/>
        <w:gridCol w:w="3574"/>
      </w:tblGrid>
      <w:tr>
        <w:trPr>
          <w:cantSplit/>
          <w:tblHeader/>
        </w:trPr>
        <w:tc>
          <w:tcPr>
            <w:tcW w:type="dxa" w:w="713"/>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center"/>
            </w:pPr>
            <w:r>
              <w:rPr>
                <w:rFonts w:ascii="Calibri" w:cs="Calibri" w:eastAsia="Calibri" w:hAnsi="Calibri"/>
                <w:b/>
                <w:bCs/>
                <w:color w:val="FFFFFF"/>
                <w:sz w:val="16"/>
                <w:szCs w:val="16"/>
              </w:rPr>
              <w:t xml:space="preserve">Año</w:t>
            </w:r>
          </w:p>
        </w:tc>
        <w:tc>
          <w:tcPr>
            <w:tcW w:type="dxa" w:w="2141"/>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Objetivo</w:t>
            </w:r>
          </w:p>
        </w:tc>
        <w:tc>
          <w:tcPr>
            <w:tcW w:type="dxa" w:w="951"/>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Importe</w:t>
            </w:r>
          </w:p>
        </w:tc>
        <w:tc>
          <w:tcPr>
            <w:tcW w:type="dxa" w:w="1308"/>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Financiación</w:t>
            </w:r>
          </w:p>
        </w:tc>
        <w:tc>
          <w:tcPr>
            <w:tcW w:type="dxa" w:w="3574"/>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Resultado</w:t>
            </w:r>
          </w:p>
        </w:tc>
      </w:tr>
      <w:tr>
        <w:trPr>
          <w:cantSplit/>
        </w:trPr>
        <w:tc>
          <w:tcPr>
            <w:tcW w:type="dxa" w:w="71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bCs/>
                <w:color w:val="1F2A3C"/>
                <w:sz w:val="16"/>
                <w:szCs w:val="16"/>
              </w:rPr>
              <w:t xml:space="preserve">2021</w:t>
            </w:r>
          </w:p>
        </w:tc>
        <w:tc>
          <w:tcPr>
            <w:tcW w:type="dxa" w:w="214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Venta a Roche del 33 % de sus acciones al portador (53,3 M de acciones)</w:t>
            </w:r>
          </w:p>
        </w:tc>
        <w:tc>
          <w:tcPr>
            <w:tcW w:type="dxa" w:w="95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-19.024</w:t>
            </w:r>
          </w:p>
        </w:tc>
        <w:tc>
          <w:tcPr>
            <w:tcW w:type="dxa" w:w="130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Desinversión (19.024 M CHF cobrados)</w:t>
            </w:r>
          </w:p>
        </w:tc>
        <w:tc>
          <w:tcPr>
            <w:tcW w:type="dxa" w:w="3574"/>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Plusvalía que infla el beneficio de 2021; la caja financió recompras [16].</w:t>
            </w:r>
          </w:p>
        </w:tc>
      </w:tr>
      <w:tr>
        <w:trPr>
          <w:cantSplit/>
        </w:trPr>
        <w:tc>
          <w:tcPr>
            <w:tcW w:type="dxa" w:w="71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bCs/>
                <w:color w:val="1F2A3C"/>
                <w:sz w:val="16"/>
                <w:szCs w:val="16"/>
              </w:rPr>
              <w:t xml:space="preserve">2023</w:t>
            </w:r>
          </w:p>
        </w:tc>
        <w:tc>
          <w:tcPr>
            <w:tcW w:type="dxa" w:w="214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Escisión de Sandoz (genéricos y biosimilares) a sus accionistas</w:t>
            </w:r>
          </w:p>
        </w:tc>
        <w:tc>
          <w:tcPr>
            <w:tcW w:type="dxa" w:w="95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w:t>
            </w:r>
          </w:p>
        </w:tc>
        <w:tc>
          <w:tcPr>
            <w:tcW w:type="dxa" w:w="130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Escisión sin caja</w:t>
            </w:r>
          </w:p>
        </w:tc>
        <w:tc>
          <w:tcPr>
            <w:tcW w:type="dxa" w:w="3574"/>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Novartis queda como farmacéutica pura de medicamentos innovadores; el margen core sube de ≈36 % a 40 % en dos años [1, 10].</w:t>
            </w:r>
          </w:p>
        </w:tc>
      </w:tr>
      <w:tr>
        <w:trPr>
          <w:cantSplit/>
        </w:trPr>
        <w:tc>
          <w:tcPr>
            <w:tcW w:type="dxa" w:w="71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bCs/>
                <w:color w:val="1F2A3C"/>
                <w:sz w:val="16"/>
                <w:szCs w:val="16"/>
              </w:rPr>
              <w:t xml:space="preserve">2026</w:t>
            </w:r>
          </w:p>
        </w:tc>
        <w:tc>
          <w:tcPr>
            <w:tcW w:type="dxa" w:w="2141"/>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Avidity Biosciences (ARN dirigido a músculo: DM1, FSHD, Duchenne)</w:t>
            </w:r>
          </w:p>
        </w:tc>
        <w:tc>
          <w:tcPr>
            <w:tcW w:type="dxa" w:w="951"/>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12.000</w:t>
            </w:r>
          </w:p>
        </w:tc>
        <w:tc>
          <w:tcPr>
            <w:tcW w:type="dxa" w:w="1308"/>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Caja y deuda</w:t>
            </w:r>
          </w:p>
        </w:tc>
        <w:tc>
          <w:tcPr>
            <w:tcW w:type="dxa" w:w="3574"/>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Cerrada el 27-feb-2026 (72 USD por acción; valor empresa ≈11.000 M). En septiembre, del-desiran (DM1), su activo principal, falló la fase III HARBOR: riesgo de deterioro [15, B3].</w:t>
            </w:r>
          </w:p>
        </w:tc>
      </w:tr>
    </w:tbl>
    <w:p>
      <w:pPr>
        <w:spacing w:after="160" w:before="0"/>
      </w:pPr>
    </w:p>
    <w:p>
      <w:pPr>
        <w:spacing w:after="100"/>
      </w:pPr>
      <w:r>
        <w:t xml:space="preserve">La dirección ha creado valor con la reestructuración del perímetro (Alcon, Roche, Sandoz): el ROIC pasó del 7,9 % en 2022 al 24,6 % en 2025. Con la caja ha sido generosa con el accionista (49.000 M USD de dividendos y recompras en 2023-2025, por encima del flujo libre de 47.247 M) [7]. Las compras son el punto débil: Avidity (≈12.000 M) perdió su activo principal siete meses después de cerrarse [15, 21], y la deuda neta se duplicó. Con ese historial reciente, la proyección del DCF carga las compras como un coste recurrente y no les atribuye crecimiento propio.</w:t>
      </w:r>
    </w:p>
    <w:p>
      <w:r>
        <w:br w:type="page"/>
      </w:r>
    </w:p>
    <w:p>
      <w:pPr>
        <w:pStyle w:val="Parte"/>
      </w:pPr>
      <w:r>
        <w:t xml:space="preserve">Parte III — Equipo y gobierno</w:t>
      </w:r>
    </w:p>
    <w:p>
      <w:pPr>
        <w:pStyle w:val="Heading1"/>
      </w:pPr>
      <w:r>
        <w:t xml:space="preserve">13. Equipo directivo</w:t>
      </w:r>
    </w:p>
    <w:p>
      <w:pPr>
        <w:pStyle w:val="Confianza"/>
        <w:spacing w:after="100"/>
      </w:pPr>
      <w:r>
        <w:t xml:space="preserve">Confianza: Media</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2703"/>
        <w:gridCol w:w="1527"/>
        <w:gridCol w:w="705"/>
        <w:gridCol w:w="4703"/>
      </w:tblGrid>
      <w:tr>
        <w:trPr>
          <w:cantSplit/>
          <w:tblHeader/>
        </w:trPr>
        <w:tc>
          <w:tcPr>
            <w:tcW w:type="dxa" w:w="1763"/>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Nombre</w:t>
            </w:r>
          </w:p>
        </w:tc>
        <w:tc>
          <w:tcPr>
            <w:tcW w:type="dxa" w:w="1527"/>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Cargo</w:t>
            </w:r>
          </w:p>
        </w:tc>
        <w:tc>
          <w:tcPr>
            <w:tcW w:type="dxa" w:w="705"/>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center"/>
            </w:pPr>
            <w:r>
              <w:rPr>
                <w:rFonts w:ascii="Calibri" w:cs="Calibri" w:eastAsia="Calibri" w:hAnsi="Calibri"/>
                <w:b/>
                <w:bCs/>
                <w:color w:val="FFFFFF"/>
                <w:sz w:val="16"/>
                <w:szCs w:val="16"/>
              </w:rPr>
              <w:t xml:space="preserve">Desde</w:t>
            </w:r>
          </w:p>
        </w:tc>
        <w:tc>
          <w:tcPr>
            <w:tcW w:type="dxa" w:w="4703"/>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Trayectoria y resultados</w:t>
            </w:r>
          </w:p>
        </w:tc>
      </w:tr>
      <w:tr>
        <w:trPr>
          <w:cantSplit/>
        </w:trPr>
        <w:tc>
          <w:tcPr>
            <w:tcW w:type="dxa" w:w="176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Vasant (Vas) Narasimhan</w:t>
            </w:r>
          </w:p>
        </w:tc>
        <w:tc>
          <w:tcPr>
            <w:tcW w:type="dxa" w:w="152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Consejero delegado</w:t>
            </w:r>
          </w:p>
        </w:tc>
        <w:tc>
          <w:tcPr>
            <w:tcW w:type="dxa" w:w="70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2018</w:t>
            </w:r>
          </w:p>
        </w:tc>
        <w:tc>
          <w:tcPr>
            <w:tcW w:type="dxa" w:w="470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Médico; antes, director de desarrollo de fármacos del grupo. Ha llevado a Novartis a farmacéutica pura (Alcon en 2019, Sandoz en 2023) y del 36 % al 40 % de margen core [A1, A10].</w:t>
            </w:r>
          </w:p>
        </w:tc>
      </w:tr>
      <w:tr>
        <w:trPr>
          <w:cantSplit/>
        </w:trPr>
        <w:tc>
          <w:tcPr>
            <w:tcW w:type="dxa" w:w="176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Giovanni Caforio</w:t>
            </w:r>
          </w:p>
        </w:tc>
        <w:tc>
          <w:tcPr>
            <w:tcW w:type="dxa" w:w="152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Presidente</w:t>
            </w:r>
          </w:p>
        </w:tc>
        <w:tc>
          <w:tcPr>
            <w:tcW w:type="dxa" w:w="705"/>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val="false"/>
                <w:bCs w:val="false"/>
                <w:color w:val="1F2A3C"/>
                <w:sz w:val="16"/>
                <w:szCs w:val="16"/>
              </w:rPr>
              <w:t xml:space="preserve">2025</w:t>
            </w:r>
          </w:p>
        </w:tc>
        <w:tc>
          <w:tcPr>
            <w:tcW w:type="dxa" w:w="470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Antiguo consejero delegado de Bristol Myers Squibb; reelegido presidente en 2026 con el 97,5 % de los votos [25].</w:t>
            </w:r>
          </w:p>
        </w:tc>
      </w:tr>
    </w:tbl>
    <w:p>
      <w:pPr>
        <w:spacing w:after="160" w:before="0"/>
      </w:pPr>
    </w:p>
    <w:p>
      <w:pPr>
        <w:pStyle w:val="Heading2"/>
      </w:pPr>
      <w:r>
        <w:t xml:space="preserve">¿Cumple lo que promete?</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876"/>
        <w:gridCol w:w="3796"/>
        <w:gridCol w:w="3796"/>
        <w:gridCol w:w="1170"/>
      </w:tblGrid>
      <w:tr>
        <w:trPr>
          <w:cantSplit/>
          <w:tblHeader/>
        </w:trPr>
        <w:tc>
          <w:tcPr>
            <w:tcW w:type="dxa" w:w="876"/>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center"/>
            </w:pPr>
            <w:r>
              <w:rPr>
                <w:rFonts w:ascii="Calibri" w:cs="Calibri" w:eastAsia="Calibri" w:hAnsi="Calibri"/>
                <w:b/>
                <w:bCs/>
                <w:color w:val="FFFFFF"/>
                <w:sz w:val="16"/>
                <w:szCs w:val="16"/>
              </w:rPr>
              <w:t xml:space="preserve">Año</w:t>
            </w:r>
          </w:p>
        </w:tc>
        <w:tc>
          <w:tcPr>
            <w:tcW w:type="dxa" w:w="3796"/>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Lo que prometió</w:t>
            </w:r>
          </w:p>
        </w:tc>
        <w:tc>
          <w:tcPr>
            <w:tcW w:type="dxa" w:w="3796"/>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Lo que logró</w:t>
            </w:r>
          </w:p>
        </w:tc>
        <w:tc>
          <w:tcPr>
            <w:tcW w:type="dxa" w:w="1170"/>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center"/>
            </w:pPr>
            <w:r>
              <w:rPr>
                <w:rFonts w:ascii="Calibri" w:cs="Calibri" w:eastAsia="Calibri" w:hAnsi="Calibri"/>
                <w:b/>
                <w:bCs/>
                <w:color w:val="FFFFFF"/>
                <w:sz w:val="16"/>
                <w:szCs w:val="16"/>
              </w:rPr>
              <w:t xml:space="preserve">Cumplió</w:t>
            </w:r>
          </w:p>
        </w:tc>
      </w:tr>
      <w:tr>
        <w:trPr>
          <w:cantSplit/>
        </w:trPr>
        <w:tc>
          <w:tcPr>
            <w:tcW w:type="dxa" w:w="87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bCs/>
                <w:color w:val="1F2A3C"/>
                <w:sz w:val="16"/>
                <w:szCs w:val="16"/>
              </w:rPr>
              <w:t xml:space="preserve">2024</w:t>
            </w:r>
          </w:p>
        </w:tc>
        <w:tc>
          <w:tcPr>
            <w:tcW w:type="dxa" w:w="379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Ventas: crecimiento de un dígito alto; resultado operativo core: de dos dígitos bajos (tipo constante)</w:t>
            </w:r>
          </w:p>
        </w:tc>
        <w:tc>
          <w:tcPr>
            <w:tcW w:type="dxa" w:w="379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Ventas +12 % y resultado operativo core +22 % a tipo constante</w:t>
            </w:r>
          </w:p>
        </w:tc>
        <w:tc>
          <w:tcPr>
            <w:tcW w:type="dxa" w:w="117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Sí</w:t>
            </w:r>
          </w:p>
        </w:tc>
      </w:tr>
      <w:tr>
        <w:trPr>
          <w:cantSplit/>
        </w:trPr>
        <w:tc>
          <w:tcPr>
            <w:tcW w:type="dxa" w:w="87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bCs/>
                <w:color w:val="1F2A3C"/>
                <w:sz w:val="16"/>
                <w:szCs w:val="16"/>
              </w:rPr>
              <w:t xml:space="preserve">2025</w:t>
            </w:r>
          </w:p>
        </w:tc>
        <w:tc>
          <w:tcPr>
            <w:tcW w:type="dxa" w:w="379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Ventas: un dígito alto; resultado operativo core: de dos dígitos bajos</w:t>
            </w:r>
          </w:p>
        </w:tc>
        <w:tc>
          <w:tcPr>
            <w:tcW w:type="dxa" w:w="379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Ventas +8 %, resultado operativo core +14 % a tipo constante</w:t>
            </w:r>
          </w:p>
        </w:tc>
        <w:tc>
          <w:tcPr>
            <w:tcW w:type="dxa" w:w="117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Sí</w:t>
            </w:r>
          </w:p>
        </w:tc>
      </w:tr>
      <w:tr>
        <w:trPr>
          <w:cantSplit/>
        </w:trPr>
        <w:tc>
          <w:tcPr>
            <w:tcW w:type="dxa" w:w="87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bCs/>
                <w:color w:val="1F2A3C"/>
                <w:sz w:val="16"/>
                <w:szCs w:val="16"/>
              </w:rPr>
              <w:t xml:space="preserve">2026</w:t>
            </w:r>
          </w:p>
        </w:tc>
        <w:tc>
          <w:tcPr>
            <w:tcW w:type="dxa" w:w="379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Ventas: un dígito bajo; resultado operativo core: caída de un dígito bajo (tipo constante)</w:t>
            </w:r>
          </w:p>
        </w:tc>
        <w:tc>
          <w:tcPr>
            <w:tcW w:type="dxa" w:w="379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1S26: ventas −2 % a tipo constante; guía confirmada en julio, con un 2S de crecimiento de un dígito medio</w:t>
            </w:r>
          </w:p>
        </w:tc>
        <w:tc>
          <w:tcPr>
            <w:tcW w:type="dxa" w:w="117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val="false"/>
                <w:bCs w:val="false"/>
                <w:color w:val="1F2A3C"/>
                <w:sz w:val="16"/>
                <w:szCs w:val="16"/>
              </w:rPr>
              <w:t xml:space="preserve">Parcial</w:t>
            </w:r>
          </w:p>
        </w:tc>
      </w:tr>
    </w:tbl>
    <w:p>
      <w:pPr>
        <w:spacing w:after="160" w:before="0"/>
      </w:pPr>
    </w:p>
    <w:p>
      <w:pPr>
        <w:spacing w:after="100"/>
      </w:pPr>
      <w:r>
        <w:t xml:space="preserve">Equipo estable: Narasimhan es consejero delegado desde 2018 y Caforio presidente desde 2025, reelegido con el 97,5 % [25]. La guía anual se cumplió con holgura en 2024 y 2025 (resultado operativo core +22 % y +14 % a tipo constante) y la de 2026 sigue confirmada [1, 2, 25]. El fallo es de I+D, no de ejecución comercial: dos de tres lecturas clave de septiembre fallaron [19]. No hemos podido comprobar quién es el director financiero (hueco).</w:t>
      </w:r>
    </w:p>
    <w:p>
      <w:pPr>
        <w:pStyle w:val="Heading1"/>
      </w:pPr>
      <w:r>
        <w:t xml:space="preserve">14. Gobierno corporativo</w:t>
      </w:r>
    </w:p>
    <w:p>
      <w:pPr>
        <w:pStyle w:val="Confianza"/>
        <w:spacing w:after="100"/>
      </w:pPr>
      <w:r>
        <w:t xml:space="preserve">Confianza: Baja</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2023"/>
        <w:gridCol w:w="2796"/>
        <w:gridCol w:w="2023"/>
        <w:gridCol w:w="2796"/>
      </w:tblGrid>
      <w:tr>
        <w:trPr>
          <w:cantSplit/>
        </w:trPr>
        <w:tc>
          <w:tcPr>
            <w:tcW w:type="dxa" w:w="2023"/>
            <w:tcBorders>
              <w:top w:val="none" w:color="FFFFFF" w:sz="0"/>
              <w:left w:val="none" w:color="FFFFFF" w:sz="0"/>
              <w:bottom w:val="single" w:color="D9D8D3" w:sz="4"/>
              <w:right w:val="none" w:color="FFFFFF" w:sz="0"/>
            </w:tcBorders>
            <w:shd w:fill="F3F2EE" w:color="auto" w:val="clear"/>
            <w:tcMar>
              <w:top w:type="dxa" w:w="50"/>
              <w:left w:type="dxa" w:w="80"/>
              <w:bottom w:type="dxa" w:w="50"/>
              <w:right w:type="dxa" w:w="80"/>
            </w:tcMar>
          </w:tcPr>
          <w:p>
            <w:pPr>
              <w:spacing w:after="0" w:before="0"/>
              <w:jc w:val="left"/>
            </w:pPr>
            <w:r>
              <w:rPr>
                <w:rFonts w:ascii="Calibri" w:cs="Calibri" w:eastAsia="Calibri" w:hAnsi="Calibri"/>
                <w:b w:val="false"/>
                <w:bCs w:val="false"/>
                <w:color w:val="52514E"/>
                <w:sz w:val="16"/>
                <w:szCs w:val="16"/>
              </w:rPr>
              <w:t xml:space="preserve">Consejeros</w:t>
            </w:r>
          </w:p>
        </w:tc>
        <w:tc>
          <w:tcPr>
            <w:tcW w:type="dxa" w:w="279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7"/>
                <w:szCs w:val="17"/>
              </w:rPr>
              <w:t xml:space="preserve">1</w:t>
            </w:r>
          </w:p>
        </w:tc>
        <w:tc>
          <w:tcPr>
            <w:tcW w:type="dxa" w:w="2023"/>
            <w:tcBorders>
              <w:top w:val="none" w:color="FFFFFF" w:sz="0"/>
              <w:left w:val="none" w:color="FFFFFF" w:sz="0"/>
              <w:bottom w:val="single" w:color="D9D8D3" w:sz="4"/>
              <w:right w:val="none" w:color="FFFFFF" w:sz="0"/>
            </w:tcBorders>
            <w:shd w:fill="F3F2EE" w:color="auto" w:val="clear"/>
            <w:tcMar>
              <w:top w:type="dxa" w:w="50"/>
              <w:left w:type="dxa" w:w="80"/>
              <w:bottom w:type="dxa" w:w="50"/>
              <w:right w:type="dxa" w:w="80"/>
            </w:tcMar>
          </w:tcPr>
          <w:p>
            <w:pPr>
              <w:spacing w:after="0" w:before="0"/>
              <w:jc w:val="left"/>
            </w:pPr>
            <w:r>
              <w:rPr>
                <w:rFonts w:ascii="Calibri" w:cs="Calibri" w:eastAsia="Calibri" w:hAnsi="Calibri"/>
                <w:b w:val="false"/>
                <w:bCs w:val="false"/>
                <w:color w:val="52514E"/>
                <w:sz w:val="16"/>
                <w:szCs w:val="16"/>
              </w:rPr>
              <w:t xml:space="preserve">Independientes</w:t>
            </w:r>
          </w:p>
        </w:tc>
        <w:tc>
          <w:tcPr>
            <w:tcW w:type="dxa" w:w="279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7"/>
                <w:szCs w:val="17"/>
              </w:rPr>
              <w:t xml:space="preserve">100 %</w:t>
            </w:r>
          </w:p>
        </w:tc>
      </w:tr>
      <w:tr>
        <w:trPr>
          <w:cantSplit/>
        </w:trPr>
        <w:tc>
          <w:tcPr>
            <w:tcW w:type="dxa" w:w="2023"/>
            <w:tcBorders>
              <w:top w:val="none" w:color="FFFFFF" w:sz="0"/>
              <w:left w:val="none" w:color="FFFFFF" w:sz="0"/>
              <w:bottom w:val="single" w:color="D9D8D3" w:sz="4"/>
              <w:right w:val="none" w:color="FFFFFF" w:sz="0"/>
            </w:tcBorders>
            <w:shd w:fill="F3F2EE" w:color="auto" w:val="clear"/>
            <w:tcMar>
              <w:top w:type="dxa" w:w="50"/>
              <w:left w:type="dxa" w:w="80"/>
              <w:bottom w:type="dxa" w:w="50"/>
              <w:right w:type="dxa" w:w="80"/>
            </w:tcMar>
          </w:tcPr>
          <w:p>
            <w:pPr>
              <w:spacing w:after="0" w:before="0"/>
              <w:jc w:val="left"/>
            </w:pPr>
            <w:r>
              <w:rPr>
                <w:rFonts w:ascii="Calibri" w:cs="Calibri" w:eastAsia="Calibri" w:hAnsi="Calibri"/>
                <w:b w:val="false"/>
                <w:bCs w:val="false"/>
                <w:color w:val="52514E"/>
                <w:sz w:val="16"/>
                <w:szCs w:val="16"/>
              </w:rPr>
              <w:t xml:space="preserve">Antigüedad media en el consejo</w:t>
            </w:r>
          </w:p>
        </w:tc>
        <w:tc>
          <w:tcPr>
            <w:tcW w:type="dxa" w:w="279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7"/>
                <w:szCs w:val="17"/>
              </w:rPr>
              <w:t xml:space="preserve">1,0 años</w:t>
            </w:r>
          </w:p>
        </w:tc>
        <w:tc>
          <w:tcPr>
            <w:tcW w:type="dxa" w:w="2023"/>
            <w:tcBorders>
              <w:top w:val="none" w:color="FFFFFF" w:sz="0"/>
              <w:left w:val="none" w:color="FFFFFF" w:sz="0"/>
              <w:bottom w:val="single" w:color="D9D8D3" w:sz="4"/>
              <w:right w:val="none" w:color="FFFFFF" w:sz="0"/>
            </w:tcBorders>
            <w:shd w:fill="F3F2EE" w:color="auto" w:val="clear"/>
            <w:tcMar>
              <w:top w:type="dxa" w:w="50"/>
              <w:left w:type="dxa" w:w="80"/>
              <w:bottom w:type="dxa" w:w="50"/>
              <w:right w:type="dxa" w:w="80"/>
            </w:tcMar>
          </w:tcPr>
          <w:p>
            <w:pPr>
              <w:spacing w:after="0" w:before="0"/>
              <w:jc w:val="left"/>
            </w:pPr>
            <w:r>
              <w:rPr>
                <w:rFonts w:ascii="Calibri" w:cs="Calibri" w:eastAsia="Calibri" w:hAnsi="Calibri"/>
                <w:b w:val="false"/>
                <w:bCs w:val="false"/>
                <w:color w:val="52514E"/>
                <w:sz w:val="16"/>
                <w:szCs w:val="16"/>
              </w:rPr>
              <w:t xml:space="preserve">Criterios de buen gobierno cumplidos</w:t>
            </w:r>
          </w:p>
        </w:tc>
        <w:tc>
          <w:tcPr>
            <w:tcW w:type="dxa" w:w="279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7"/>
                <w:szCs w:val="17"/>
              </w:rPr>
              <w:t xml:space="preserve">8 de 13 (5 sin dato)</w:t>
            </w:r>
          </w:p>
        </w:tc>
      </w:tr>
      <w:tr>
        <w:trPr>
          <w:cantSplit/>
        </w:trPr>
        <w:tc>
          <w:tcPr>
            <w:tcW w:type="dxa" w:w="2023"/>
            <w:tcBorders>
              <w:top w:val="none" w:color="FFFFFF" w:sz="0"/>
              <w:left w:val="none" w:color="FFFFFF" w:sz="0"/>
              <w:bottom w:val="single" w:color="D9D8D3" w:sz="4"/>
              <w:right w:val="none" w:color="FFFFFF" w:sz="0"/>
            </w:tcBorders>
            <w:shd w:fill="F3F2EE" w:color="auto" w:val="clear"/>
            <w:tcMar>
              <w:top w:type="dxa" w:w="50"/>
              <w:left w:type="dxa" w:w="80"/>
              <w:bottom w:type="dxa" w:w="50"/>
              <w:right w:type="dxa" w:w="80"/>
            </w:tcMar>
          </w:tcPr>
          <w:p>
            <w:pPr>
              <w:spacing w:after="0" w:before="0"/>
              <w:jc w:val="left"/>
            </w:pPr>
            <w:r>
              <w:rPr>
                <w:rFonts w:ascii="Calibri" w:cs="Calibri" w:eastAsia="Calibri" w:hAnsi="Calibri"/>
                <w:b w:val="false"/>
                <w:bCs w:val="false"/>
                <w:color w:val="52514E"/>
                <w:sz w:val="16"/>
                <w:szCs w:val="16"/>
              </w:rPr>
              <w:t xml:space="preserve">Cambios de presidente o primer ejecutivo (24 meses)</w:t>
            </w:r>
          </w:p>
        </w:tc>
        <w:tc>
          <w:tcPr>
            <w:tcW w:type="dxa" w:w="279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7"/>
                <w:szCs w:val="17"/>
              </w:rPr>
              <w:t xml:space="preserve">1</w:t>
            </w:r>
          </w:p>
        </w:tc>
        <w:tc>
          <w:tcPr>
            <w:tcW w:type="dxa" w:w="2023"/>
            <w:tcBorders>
              <w:top w:val="none" w:color="FFFFFF" w:sz="0"/>
              <w:left w:val="none" w:color="FFFFFF" w:sz="0"/>
              <w:bottom w:val="single" w:color="D9D8D3" w:sz="4"/>
              <w:right w:val="none" w:color="FFFFFF" w:sz="0"/>
            </w:tcBorders>
            <w:shd w:fill="F3F2EE" w:color="auto" w:val="clear"/>
            <w:tcMar>
              <w:top w:type="dxa" w:w="50"/>
              <w:left w:type="dxa" w:w="80"/>
              <w:bottom w:type="dxa" w:w="50"/>
              <w:right w:type="dxa" w:w="80"/>
            </w:tcMar>
          </w:tcPr>
          <w:p>
            <w:pPr>
              <w:spacing w:after="0" w:before="0"/>
              <w:jc w:val="left"/>
            </w:pPr>
          </w:p>
        </w:tc>
        <w:tc>
          <w:tcPr>
            <w:tcW w:type="dxa" w:w="279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p>
        </w:tc>
      </w:tr>
    </w:tbl>
    <w:p>
      <w:pPr>
        <w:spacing w:after="160" w:before="0"/>
      </w:pPr>
    </w:p>
    <w:p>
      <w:pPr>
        <w:keepNext w:val="false"/>
        <w:spacing w:after="160" w:before="120"/>
        <w:jc w:val="center"/>
      </w:pPr>
      <w:r>
        <w:drawing>
          <wp:inline xmlns:wp="http://schemas.openxmlformats.org/drawingml/2006/wordprocessingDrawing" distT="0" distB="0" distL="0" distR="0">
            <wp:extent cx="5760000" cy="2160000"/>
            <wp:effectExtent l="0" t="0" r="0" b="0"/>
            <wp:docPr id="1012" name="Gráfico 12" descr="Composición del consejo (número de consejeros)"/>
            <wp:cNvGraphicFramePr/>
            <a:graphic xmlns:a="http://schemas.openxmlformats.org/drawingml/2006/main">
              <a:graphicData uri="http://schemas.openxmlformats.org/drawingml/2006/chart">
                <c:chart xmlns:c="http://schemas.openxmlformats.org/drawingml/2006/chart" xmlns:r="http://schemas.openxmlformats.org/officeDocument/2006/relationships" r:id="rIdGrafico12"/>
              </a:graphicData>
            </a:graphic>
          </wp:inline>
        </w:drawing>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5431"/>
        <w:gridCol w:w="1900"/>
        <w:gridCol w:w="1493"/>
        <w:gridCol w:w="814"/>
      </w:tblGrid>
      <w:tr>
        <w:trPr>
          <w:cantSplit/>
          <w:tblHeader/>
        </w:trPr>
        <w:tc>
          <w:tcPr>
            <w:tcW w:type="dxa" w:w="2443"/>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Consejero</w:t>
            </w:r>
          </w:p>
        </w:tc>
        <w:tc>
          <w:tcPr>
            <w:tcW w:type="dxa" w:w="1900"/>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Cargo</w:t>
            </w:r>
          </w:p>
        </w:tc>
        <w:tc>
          <w:tcPr>
            <w:tcW w:type="dxa" w:w="1493"/>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Tipo</w:t>
            </w:r>
          </w:p>
        </w:tc>
        <w:tc>
          <w:tcPr>
            <w:tcW w:type="dxa" w:w="814"/>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center"/>
            </w:pPr>
            <w:r>
              <w:rPr>
                <w:rFonts w:ascii="Calibri" w:cs="Calibri" w:eastAsia="Calibri" w:hAnsi="Calibri"/>
                <w:b/>
                <w:bCs/>
                <w:color w:val="FFFFFF"/>
                <w:sz w:val="16"/>
                <w:szCs w:val="16"/>
              </w:rPr>
              <w:t xml:space="preserve">Desde</w:t>
            </w:r>
          </w:p>
        </w:tc>
      </w:tr>
      <w:tr>
        <w:trPr>
          <w:cantSplit/>
        </w:trPr>
        <w:tc>
          <w:tcPr>
            <w:tcW w:type="dxa" w:w="244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Giovanni Caforio</w:t>
            </w:r>
          </w:p>
        </w:tc>
        <w:tc>
          <w:tcPr>
            <w:tcW w:type="dxa" w:w="190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Presidente</w:t>
            </w:r>
          </w:p>
        </w:tc>
        <w:tc>
          <w:tcPr>
            <w:tcW w:type="dxa" w:w="149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Independiente</w:t>
            </w:r>
          </w:p>
        </w:tc>
        <w:tc>
          <w:tcPr>
            <w:tcW w:type="dxa" w:w="814"/>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val="false"/>
                <w:bCs w:val="false"/>
                <w:color w:val="1F2A3C"/>
                <w:sz w:val="16"/>
                <w:szCs w:val="16"/>
              </w:rPr>
              <w:t xml:space="preserve">2025</w:t>
            </w:r>
          </w:p>
        </w:tc>
      </w:tr>
    </w:tbl>
    <w:p>
      <w:pPr>
        <w:spacing w:after="160" w:before="0"/>
      </w:pP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6236"/>
        <w:gridCol w:w="1984"/>
        <w:gridCol w:w="1418"/>
      </w:tblGrid>
      <w:tr>
        <w:trPr>
          <w:cantSplit/>
          <w:tblHeader/>
        </w:trPr>
        <w:tc>
          <w:tcPr>
            <w:tcW w:type="dxa" w:w="6236"/>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Criterio</w:t>
            </w:r>
          </w:p>
        </w:tc>
        <w:tc>
          <w:tcPr>
            <w:tcW w:type="dxa" w:w="1984"/>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center"/>
            </w:pPr>
            <w:r>
              <w:rPr>
                <w:rFonts w:ascii="Calibri" w:cs="Calibri" w:eastAsia="Calibri" w:hAnsi="Calibri"/>
                <w:b/>
                <w:bCs/>
                <w:color w:val="FFFFFF"/>
                <w:sz w:val="16"/>
                <w:szCs w:val="16"/>
              </w:rPr>
              <w:t xml:space="preserve">Dato</w:t>
            </w:r>
          </w:p>
        </w:tc>
        <w:tc>
          <w:tcPr>
            <w:tcW w:type="dxa" w:w="1418"/>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center"/>
            </w:pPr>
            <w:r>
              <w:rPr>
                <w:rFonts w:ascii="Calibri" w:cs="Calibri" w:eastAsia="Calibri" w:hAnsi="Calibri"/>
                <w:b/>
                <w:bCs/>
                <w:color w:val="FFFFFF"/>
                <w:sz w:val="16"/>
                <w:szCs w:val="16"/>
              </w:rPr>
              <w:t xml:space="preserve">Resultado</w:t>
            </w:r>
          </w:p>
        </w:tc>
      </w:tr>
      <w:tr>
        <w:trPr>
          <w:cantSplit/>
        </w:trPr>
        <w:tc>
          <w:tcPr>
            <w:tcW w:type="dxa" w:w="623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Consejeros independientes ≥ 50 % (≥ 33 % si hay accionista de control)</w:t>
            </w:r>
          </w:p>
        </w:tc>
        <w:tc>
          <w:tcPr>
            <w:tcW w:type="dxa" w:w="1984"/>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100 %</w:t>
            </w:r>
          </w:p>
        </w:tc>
        <w:tc>
          <w:tcPr>
            <w:tcW w:type="dxa" w:w="141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Cumple</w:t>
            </w:r>
          </w:p>
        </w:tc>
      </w:tr>
      <w:tr>
        <w:trPr>
          <w:cantSplit/>
        </w:trPr>
        <w:tc>
          <w:tcPr>
            <w:tcW w:type="dxa" w:w="623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Presidencia sin vínculo familiar ni profesional con el accionista de control</w:t>
            </w:r>
          </w:p>
        </w:tc>
        <w:tc>
          <w:tcPr>
            <w:tcW w:type="dxa" w:w="1984"/>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Sin control</w:t>
            </w:r>
          </w:p>
        </w:tc>
        <w:tc>
          <w:tcPr>
            <w:tcW w:type="dxa" w:w="141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Cumple</w:t>
            </w:r>
          </w:p>
        </w:tc>
      </w:tr>
      <w:tr>
        <w:trPr>
          <w:cantSplit/>
        </w:trPr>
        <w:tc>
          <w:tcPr>
            <w:tcW w:type="dxa" w:w="623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Presidente no ejecutivo, o consejero coordinador independiente</w:t>
            </w:r>
          </w:p>
        </w:tc>
        <w:tc>
          <w:tcPr>
            <w:tcW w:type="dxa" w:w="1984"/>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No ejecutivo</w:t>
            </w:r>
          </w:p>
        </w:tc>
        <w:tc>
          <w:tcPr>
            <w:tcW w:type="dxa" w:w="141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Cumple</w:t>
            </w:r>
          </w:p>
        </w:tc>
      </w:tr>
      <w:tr>
        <w:trPr>
          <w:cantSplit/>
        </w:trPr>
        <w:tc>
          <w:tcPr>
            <w:tcW w:type="dxa" w:w="623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Comisión de auditoría con mayoría de independientes y presidida por uno</w:t>
            </w:r>
          </w:p>
        </w:tc>
        <w:tc>
          <w:tcPr>
            <w:tcW w:type="dxa" w:w="1984"/>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Sin dato</w:t>
            </w:r>
          </w:p>
        </w:tc>
        <w:tc>
          <w:tcPr>
            <w:tcW w:type="dxa" w:w="141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Sin dato</w:t>
            </w:r>
          </w:p>
        </w:tc>
      </w:tr>
      <w:tr>
        <w:trPr>
          <w:cantSplit/>
        </w:trPr>
        <w:tc>
          <w:tcPr>
            <w:tcW w:type="dxa" w:w="623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Ningún consejero «otro externo» con más de 12 años</w:t>
            </w:r>
          </w:p>
        </w:tc>
        <w:tc>
          <w:tcPr>
            <w:tcW w:type="dxa" w:w="1984"/>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Ninguno</w:t>
            </w:r>
          </w:p>
        </w:tc>
        <w:tc>
          <w:tcPr>
            <w:tcW w:type="dxa" w:w="141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Cumple</w:t>
            </w:r>
          </w:p>
        </w:tc>
      </w:tr>
      <w:tr>
        <w:trPr>
          <w:cantSplit/>
        </w:trPr>
        <w:tc>
          <w:tcPr>
            <w:tcW w:type="dxa" w:w="623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Estabilidad de la cúpula: como mucho un cambio de presidente o primer ejecutivo en 24 meses</w:t>
            </w:r>
          </w:p>
        </w:tc>
        <w:tc>
          <w:tcPr>
            <w:tcW w:type="dxa" w:w="1984"/>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1 cambio</w:t>
            </w:r>
          </w:p>
        </w:tc>
        <w:tc>
          <w:tcPr>
            <w:tcW w:type="dxa" w:w="141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Cumple</w:t>
            </w:r>
          </w:p>
        </w:tc>
      </w:tr>
      <w:tr>
        <w:trPr>
          <w:cantSplit/>
        </w:trPr>
        <w:tc>
          <w:tcPr>
            <w:tcW w:type="dxa" w:w="623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Peor voto en contra sobre remuneración (3 juntas) ≤ 20 %</w:t>
            </w:r>
          </w:p>
        </w:tc>
        <w:tc>
          <w:tcPr>
            <w:tcW w:type="dxa" w:w="1984"/>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11,6 % en contra</w:t>
            </w:r>
          </w:p>
        </w:tc>
        <w:tc>
          <w:tcPr>
            <w:tcW w:type="dxa" w:w="141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Cumple</w:t>
            </w:r>
          </w:p>
        </w:tc>
      </w:tr>
      <w:tr>
        <w:trPr>
          <w:cantSplit/>
        </w:trPr>
        <w:tc>
          <w:tcPr>
            <w:tcW w:type="dxa" w:w="623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Variable a largo plazo ligado a rentabilidad (ROIC, TSR, FCF)</w:t>
            </w:r>
          </w:p>
        </w:tc>
        <w:tc>
          <w:tcPr>
            <w:tcW w:type="dxa" w:w="1984"/>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Sin dato</w:t>
            </w:r>
          </w:p>
        </w:tc>
        <w:tc>
          <w:tcPr>
            <w:tcW w:type="dxa" w:w="141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Sin dato</w:t>
            </w:r>
          </w:p>
        </w:tc>
      </w:tr>
      <w:tr>
        <w:trPr>
          <w:cantSplit/>
        </w:trPr>
        <w:tc>
          <w:tcPr>
            <w:tcW w:type="dxa" w:w="623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Una acción, un voto, sin blindajes ni límites de voto estatutarios</w:t>
            </w:r>
          </w:p>
        </w:tc>
        <w:tc>
          <w:tcPr>
            <w:tcW w:type="dxa" w:w="1984"/>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Sí</w:t>
            </w:r>
          </w:p>
        </w:tc>
        <w:tc>
          <w:tcPr>
            <w:tcW w:type="dxa" w:w="141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Cumple</w:t>
            </w:r>
          </w:p>
        </w:tc>
      </w:tr>
      <w:tr>
        <w:trPr>
          <w:cantSplit/>
        </w:trPr>
        <w:tc>
          <w:tcPr>
            <w:tcW w:type="dxa" w:w="623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Sin operaciones vinculadas relevantes</w:t>
            </w:r>
          </w:p>
        </w:tc>
        <w:tc>
          <w:tcPr>
            <w:tcW w:type="dxa" w:w="1984"/>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No hay</w:t>
            </w:r>
          </w:p>
        </w:tc>
        <w:tc>
          <w:tcPr>
            <w:tcW w:type="dxa" w:w="141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Cumple</w:t>
            </w:r>
          </w:p>
        </w:tc>
      </w:tr>
      <w:tr>
        <w:trPr>
          <w:cantSplit/>
        </w:trPr>
        <w:tc>
          <w:tcPr>
            <w:tcW w:type="dxa" w:w="623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Auditor con 10 años o menos en el cargo</w:t>
            </w:r>
          </w:p>
        </w:tc>
        <w:tc>
          <w:tcPr>
            <w:tcW w:type="dxa" w:w="1984"/>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Sin dato</w:t>
            </w:r>
          </w:p>
        </w:tc>
        <w:tc>
          <w:tcPr>
            <w:tcW w:type="dxa" w:w="141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Sin dato</w:t>
            </w:r>
          </w:p>
        </w:tc>
      </w:tr>
      <w:tr>
        <w:trPr>
          <w:cantSplit/>
        </w:trPr>
        <w:tc>
          <w:tcPr>
            <w:tcW w:type="dxa" w:w="623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Opinión de auditoría sin salvedades</w:t>
            </w:r>
          </w:p>
        </w:tc>
        <w:tc>
          <w:tcPr>
            <w:tcW w:type="dxa" w:w="1984"/>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Sin dato</w:t>
            </w:r>
          </w:p>
        </w:tc>
        <w:tc>
          <w:tcPr>
            <w:tcW w:type="dxa" w:w="141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Sin dato</w:t>
            </w:r>
          </w:p>
        </w:tc>
      </w:tr>
      <w:tr>
        <w:trPr>
          <w:cantSplit/>
        </w:trPr>
        <w:tc>
          <w:tcPr>
            <w:tcW w:type="dxa" w:w="623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Directivos compradores netos en 12 meses (o sin ventas relevantes)</w:t>
            </w:r>
          </w:p>
        </w:tc>
        <w:tc>
          <w:tcPr>
            <w:tcW w:type="dxa" w:w="1984"/>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val="false"/>
                <w:bCs w:val="false"/>
                <w:color w:val="1F2A3C"/>
                <w:sz w:val="16"/>
                <w:szCs w:val="16"/>
              </w:rPr>
              <w:t xml:space="preserve">Sin dato</w:t>
            </w:r>
          </w:p>
        </w:tc>
        <w:tc>
          <w:tcPr>
            <w:tcW w:type="dxa" w:w="1418"/>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val="false"/>
                <w:bCs w:val="false"/>
                <w:color w:val="1F2A3C"/>
                <w:sz w:val="16"/>
                <w:szCs w:val="16"/>
              </w:rPr>
              <w:t xml:space="preserve">Sin dato</w:t>
            </w:r>
          </w:p>
        </w:tc>
      </w:tr>
    </w:tbl>
    <w:p>
      <w:pPr>
        <w:spacing w:after="160" w:before="0"/>
      </w:pPr>
    </w:p>
    <w:p>
      <w:pPr>
        <w:pStyle w:val="Heading2"/>
      </w:pPr>
      <w:r>
        <w:t xml:space="preserve">Remuneración</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2023"/>
        <w:gridCol w:w="2796"/>
        <w:gridCol w:w="2023"/>
        <w:gridCol w:w="2796"/>
      </w:tblGrid>
      <w:tr>
        <w:trPr>
          <w:cantSplit/>
        </w:trPr>
        <w:tc>
          <w:tcPr>
            <w:tcW w:type="dxa" w:w="2023"/>
            <w:tcBorders>
              <w:top w:val="none" w:color="FFFFFF" w:sz="0"/>
              <w:left w:val="none" w:color="FFFFFF" w:sz="0"/>
              <w:bottom w:val="single" w:color="D9D8D3" w:sz="4"/>
              <w:right w:val="none" w:color="FFFFFF" w:sz="0"/>
            </w:tcBorders>
            <w:shd w:fill="F3F2EE" w:color="auto" w:val="clear"/>
            <w:tcMar>
              <w:top w:type="dxa" w:w="50"/>
              <w:left w:type="dxa" w:w="80"/>
              <w:bottom w:type="dxa" w:w="50"/>
              <w:right w:type="dxa" w:w="80"/>
            </w:tcMar>
          </w:tcPr>
          <w:p>
            <w:pPr>
              <w:spacing w:after="0" w:before="0"/>
              <w:jc w:val="left"/>
            </w:pPr>
            <w:r>
              <w:rPr>
                <w:rFonts w:ascii="Calibri" w:cs="Calibri" w:eastAsia="Calibri" w:hAnsi="Calibri"/>
                <w:b w:val="false"/>
                <w:bCs w:val="false"/>
                <w:color w:val="52514E"/>
                <w:sz w:val="16"/>
                <w:szCs w:val="16"/>
              </w:rPr>
              <w:t xml:space="preserve">Peor voto a favor (3 juntas)</w:t>
            </w:r>
          </w:p>
        </w:tc>
        <w:tc>
          <w:tcPr>
            <w:tcW w:type="dxa" w:w="279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7"/>
                <w:szCs w:val="17"/>
              </w:rPr>
              <w:t xml:space="preserve">87,2 %</w:t>
            </w:r>
          </w:p>
        </w:tc>
        <w:tc>
          <w:tcPr>
            <w:tcW w:type="dxa" w:w="2023"/>
            <w:tcBorders>
              <w:top w:val="none" w:color="FFFFFF" w:sz="0"/>
              <w:left w:val="none" w:color="FFFFFF" w:sz="0"/>
              <w:bottom w:val="single" w:color="D9D8D3" w:sz="4"/>
              <w:right w:val="none" w:color="FFFFFF" w:sz="0"/>
            </w:tcBorders>
            <w:shd w:fill="F3F2EE" w:color="auto" w:val="clear"/>
            <w:tcMar>
              <w:top w:type="dxa" w:w="50"/>
              <w:left w:type="dxa" w:w="80"/>
              <w:bottom w:type="dxa" w:w="50"/>
              <w:right w:type="dxa" w:w="80"/>
            </w:tcMar>
          </w:tcPr>
          <w:p>
            <w:pPr>
              <w:spacing w:after="0" w:before="0"/>
              <w:jc w:val="left"/>
            </w:pPr>
            <w:r>
              <w:rPr>
                <w:rFonts w:ascii="Calibri" w:cs="Calibri" w:eastAsia="Calibri" w:hAnsi="Calibri"/>
                <w:b w:val="false"/>
                <w:bCs w:val="false"/>
                <w:color w:val="52514E"/>
                <w:sz w:val="16"/>
                <w:szCs w:val="16"/>
              </w:rPr>
              <w:t xml:space="preserve">Peor voto en contra (3 juntas)</w:t>
            </w:r>
          </w:p>
        </w:tc>
        <w:tc>
          <w:tcPr>
            <w:tcW w:type="dxa" w:w="279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7"/>
                <w:szCs w:val="17"/>
              </w:rPr>
              <w:t xml:space="preserve">11,6 %</w:t>
            </w:r>
          </w:p>
        </w:tc>
      </w:tr>
      <w:tr>
        <w:trPr>
          <w:cantSplit/>
        </w:trPr>
        <w:tc>
          <w:tcPr>
            <w:tcW w:type="dxa" w:w="2023"/>
            <w:tcBorders>
              <w:top w:val="none" w:color="FFFFFF" w:sz="0"/>
              <w:left w:val="none" w:color="FFFFFF" w:sz="0"/>
              <w:bottom w:val="single" w:color="D9D8D3" w:sz="4"/>
              <w:right w:val="none" w:color="FFFFFF" w:sz="0"/>
            </w:tcBorders>
            <w:tcMar>
              <w:top w:type="dxa" w:w="50"/>
              <w:left w:type="dxa" w:w="80"/>
              <w:bottom w:type="dxa" w:w="50"/>
              <w:right w:type="dxa" w:w="80"/>
            </w:tcMar>
          </w:tcPr>
          <w:p/>
        </w:tc>
        <w:tc>
          <w:tcPr>
            <w:tcW w:type="dxa" w:w="2796"/>
            <w:tcBorders>
              <w:top w:val="none" w:color="FFFFFF" w:sz="0"/>
              <w:left w:val="none" w:color="FFFFFF" w:sz="0"/>
              <w:bottom w:val="single" w:color="D9D8D3" w:sz="4"/>
              <w:right w:val="none" w:color="FFFFFF" w:sz="0"/>
            </w:tcBorders>
            <w:tcMar>
              <w:top w:type="dxa" w:w="50"/>
              <w:left w:type="dxa" w:w="80"/>
              <w:bottom w:type="dxa" w:w="50"/>
              <w:right w:type="dxa" w:w="80"/>
            </w:tcMar>
          </w:tcPr>
          <w:p/>
        </w:tc>
        <w:tc>
          <w:tcPr>
            <w:tcW w:type="dxa" w:w="2023"/>
            <w:tcBorders>
              <w:top w:val="none" w:color="FFFFFF" w:sz="0"/>
              <w:left w:val="none" w:color="FFFFFF" w:sz="0"/>
              <w:bottom w:val="single" w:color="D9D8D3" w:sz="4"/>
              <w:right w:val="none" w:color="FFFFFF" w:sz="0"/>
            </w:tcBorders>
            <w:shd w:fill="F3F2EE" w:color="auto" w:val="clear"/>
            <w:tcMar>
              <w:top w:type="dxa" w:w="50"/>
              <w:left w:type="dxa" w:w="80"/>
              <w:bottom w:type="dxa" w:w="50"/>
              <w:right w:type="dxa" w:w="80"/>
            </w:tcMar>
          </w:tcPr>
          <w:p>
            <w:pPr>
              <w:spacing w:after="0" w:before="0"/>
              <w:jc w:val="left"/>
            </w:pPr>
          </w:p>
        </w:tc>
        <w:tc>
          <w:tcPr>
            <w:tcW w:type="dxa" w:w="279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p>
        </w:tc>
      </w:tr>
    </w:tbl>
    <w:p>
      <w:pPr>
        <w:spacing w:after="160" w:before="0"/>
      </w:pPr>
    </w:p>
    <w:p>
      <w:pPr>
        <w:spacing w:after="100"/>
      </w:pPr>
      <w:r>
        <w:t xml:space="preserve">No hemos podido leer el informe de remuneración 2025 (hueco). La junta de 2026 aprobó el informe con un 87,9 % a favor y un 11,6 % en contra (2025: 87,2 % a favor), y el máximo de remuneración del comité ejecutivo con un 90,3 % [25, 27]. El voto en contra está por debajo del 20 %, pero es el más alto de las propuestas: una parte de los inversores discute el peso de las métricas core en el variable.</w:t>
      </w:r>
    </w:p>
    <w:p>
      <w:pPr>
        <w:pStyle w:val="Heading2"/>
      </w:pPr>
      <w:r>
        <w:t xml:space="preserve">Operaciones vinculadas, estructura de control y defensas</w:t>
      </w:r>
    </w:p>
    <w:p>
      <w:pPr>
        <w:spacing w:after="100"/>
      </w:pPr>
      <w:r>
        <w:t xml:space="preserve">Accionariado disperso, sin accionista de control y con una acción, un voto [26]. Los estatutos suizos limitan el registro con voto de un solo accionista (tradicionalmente al 2 % para nominativos sin divulgar), un límite que no hemos podido comprobar en la versión vigente. No hay operaciones vinculadas relevantes en los extractos revisados.</w:t>
      </w:r>
    </w:p>
    <w:p>
      <w:pPr>
        <w:pStyle w:val="Heading2"/>
      </w:pPr>
      <w:r>
        <w:t xml:space="preserve">Señales de alerta</w:t>
      </w:r>
    </w:p>
    <w:p>
      <w:pPr>
        <w:pStyle w:val="ListParagraph"/>
        <w:numPr>
          <w:ilvl w:val="0"/>
          <w:numId w:val="2"/>
        </w:numPr>
        <w:spacing w:after="60"/>
      </w:pPr>
      <w:r>
        <w:t xml:space="preserve">Ninguna relevante detectada en los extractos revisados (junta de 2026 con todas las propuestas aprobadas); el informe de remuneración y el de gobierno no se pudieron leer.</w:t>
      </w:r>
    </w:p>
    <w:p>
      <w:r>
        <w:br w:type="page"/>
      </w:r>
    </w:p>
    <w:p>
      <w:pPr>
        <w:pStyle w:val="Parte"/>
      </w:pPr>
      <w:r>
        <w:t xml:space="preserve">Parte IV — Mercado y valoración</w:t>
      </w:r>
    </w:p>
    <w:p>
      <w:pPr>
        <w:pStyle w:val="Heading1"/>
      </w:pPr>
      <w:r>
        <w:t xml:space="preserve">15. Previsiones de la compañía y consenso</w:t>
      </w:r>
    </w:p>
    <w:p>
      <w:pPr>
        <w:pStyle w:val="Confianza"/>
        <w:spacing w:after="100"/>
      </w:pPr>
      <w:r>
        <w:t xml:space="preserve">Confianza: Baja</w:t>
      </w:r>
    </w:p>
    <w:p>
      <w:pPr>
        <w:spacing w:after="100"/>
      </w:pPr>
      <w:r>
        <w:t xml:space="preserve">Guía de 2026 (confirmada el 21-jul): ventas +un dígito bajo y resultado operativo core −un dígito bajo a tipo constante, con un segundo semestre de ventas +un dígito medio [2, 18]. A medio plazo: ventas +5-6 % anual en 2025-2030 a tipo constante y margen core por encima del 40 % hacia 2029; la dirección mantuvo ese objetivo tras los fracasos de septiembre [19]. Próximos resultados: 27-oct-2026 [36].</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4686"/>
        <w:gridCol w:w="1302"/>
        <w:gridCol w:w="1041"/>
        <w:gridCol w:w="2609"/>
      </w:tblGrid>
      <w:tr>
        <w:trPr>
          <w:cantSplit/>
          <w:tblHeader/>
        </w:trPr>
        <w:tc>
          <w:tcPr>
            <w:tcW w:type="dxa" w:w="1041"/>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Periodo</w:t>
            </w:r>
          </w:p>
        </w:tc>
        <w:tc>
          <w:tcPr>
            <w:tcW w:type="dxa" w:w="1302"/>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Ingresos</w:t>
            </w:r>
          </w:p>
        </w:tc>
        <w:tc>
          <w:tcPr>
            <w:tcW w:type="dxa" w:w="1041"/>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BPA</w:t>
            </w:r>
          </w:p>
        </w:tc>
        <w:tc>
          <w:tcPr>
            <w:tcW w:type="dxa" w:w="2609"/>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Fuente</w:t>
            </w:r>
          </w:p>
        </w:tc>
      </w:tr>
      <w:tr>
        <w:trPr>
          <w:cantSplit/>
        </w:trPr>
        <w:tc>
          <w:tcPr>
            <w:tcW w:type="dxa" w:w="104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2026e</w:t>
            </w:r>
          </w:p>
        </w:tc>
        <w:tc>
          <w:tcPr>
            <w:tcW w:type="dxa" w:w="1302"/>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w:t>
            </w:r>
          </w:p>
        </w:tc>
        <w:tc>
          <w:tcPr>
            <w:tcW w:type="dxa" w:w="104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8,74</w:t>
            </w:r>
          </w:p>
        </w:tc>
        <w:tc>
          <w:tcPr>
            <w:tcW w:type="dxa" w:w="260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BPA core: 4,39 del 1S26 real + 2,23 (3T26e) + 2,12 (4T26e) del consenso trimestral de Benzinga [A2, 7]</w:t>
            </w:r>
          </w:p>
        </w:tc>
      </w:tr>
      <w:tr>
        <w:trPr>
          <w:cantSplit/>
        </w:trPr>
        <w:tc>
          <w:tcPr>
            <w:tcW w:type="dxa" w:w="104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2027e</w:t>
            </w:r>
          </w:p>
        </w:tc>
        <w:tc>
          <w:tcPr>
            <w:tcW w:type="dxa" w:w="1302"/>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60.000</w:t>
            </w:r>
          </w:p>
        </w:tc>
        <w:tc>
          <w:tcPr>
            <w:tcW w:type="dxa" w:w="104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w:t>
            </w:r>
          </w:p>
        </w:tc>
        <w:tc>
          <w:tcPr>
            <w:tcW w:type="dxa" w:w="260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Ventas: modelo de VCP Scanner (no es consenso) [40]</w:t>
            </w:r>
          </w:p>
        </w:tc>
      </w:tr>
      <w:tr>
        <w:trPr>
          <w:cantSplit/>
        </w:trPr>
        <w:tc>
          <w:tcPr>
            <w:tcW w:type="dxa" w:w="1041"/>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2028e</w:t>
            </w:r>
          </w:p>
        </w:tc>
        <w:tc>
          <w:tcPr>
            <w:tcW w:type="dxa" w:w="1302"/>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61.800</w:t>
            </w:r>
          </w:p>
        </w:tc>
        <w:tc>
          <w:tcPr>
            <w:tcW w:type="dxa" w:w="1041"/>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w:t>
            </w:r>
          </w:p>
        </w:tc>
        <w:tc>
          <w:tcPr>
            <w:tcW w:type="dxa" w:w="2609"/>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Ventas: modelo de VCP Scanner [40]</w:t>
            </w:r>
          </w:p>
        </w:tc>
      </w:tr>
    </w:tbl>
    <w:p>
      <w:pPr>
        <w:spacing w:after="160" w:before="0"/>
      </w:pPr>
    </w:p>
    <w:p>
      <w:pPr>
        <w:pStyle w:val="Heading2"/>
      </w:pPr>
      <w:r>
        <w:t xml:space="preserve">Nuestra proyección frente al consenso</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3919"/>
        <w:gridCol w:w="1505"/>
        <w:gridCol w:w="1505"/>
        <w:gridCol w:w="1204"/>
        <w:gridCol w:w="1505"/>
      </w:tblGrid>
      <w:tr>
        <w:trPr>
          <w:cantSplit/>
          <w:tblHeader/>
        </w:trPr>
        <w:tc>
          <w:tcPr>
            <w:tcW w:type="dxa" w:w="1204"/>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Periodo</w:t>
            </w:r>
          </w:p>
        </w:tc>
        <w:tc>
          <w:tcPr>
            <w:tcW w:type="dxa" w:w="1505"/>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Ingresos propios</w:t>
            </w:r>
          </w:p>
        </w:tc>
        <w:tc>
          <w:tcPr>
            <w:tcW w:type="dxa" w:w="1505"/>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Ingresos consenso</w:t>
            </w:r>
          </w:p>
        </w:tc>
        <w:tc>
          <w:tcPr>
            <w:tcW w:type="dxa" w:w="1204"/>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Dif.</w:t>
            </w:r>
          </w:p>
        </w:tc>
        <w:tc>
          <w:tcPr>
            <w:tcW w:type="dxa" w:w="1505"/>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EBITDA propio</w:t>
            </w:r>
          </w:p>
        </w:tc>
      </w:tr>
      <w:tr>
        <w:trPr>
          <w:cantSplit/>
        </w:trPr>
        <w:tc>
          <w:tcPr>
            <w:tcW w:type="dxa" w:w="1204"/>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2026e</w:t>
            </w:r>
          </w:p>
        </w:tc>
        <w:tc>
          <w:tcPr>
            <w:tcW w:type="dxa" w:w="150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58.658</w:t>
            </w:r>
          </w:p>
        </w:tc>
        <w:tc>
          <w:tcPr>
            <w:tcW w:type="dxa" w:w="150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w:t>
            </w:r>
          </w:p>
        </w:tc>
        <w:tc>
          <w:tcPr>
            <w:tcW w:type="dxa" w:w="1204"/>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w:t>
            </w:r>
          </w:p>
        </w:tc>
        <w:tc>
          <w:tcPr>
            <w:tcW w:type="dxa" w:w="150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22.759</w:t>
            </w:r>
          </w:p>
        </w:tc>
      </w:tr>
      <w:tr>
        <w:trPr>
          <w:cantSplit/>
        </w:trPr>
        <w:tc>
          <w:tcPr>
            <w:tcW w:type="dxa" w:w="1204"/>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2027e</w:t>
            </w:r>
          </w:p>
        </w:tc>
        <w:tc>
          <w:tcPr>
            <w:tcW w:type="dxa" w:w="150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61.884</w:t>
            </w:r>
          </w:p>
        </w:tc>
        <w:tc>
          <w:tcPr>
            <w:tcW w:type="dxa" w:w="150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60.000</w:t>
            </w:r>
          </w:p>
        </w:tc>
        <w:tc>
          <w:tcPr>
            <w:tcW w:type="dxa" w:w="1204"/>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+3,1 %</w:t>
            </w:r>
          </w:p>
        </w:tc>
        <w:tc>
          <w:tcPr>
            <w:tcW w:type="dxa" w:w="150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24.754</w:t>
            </w:r>
          </w:p>
        </w:tc>
      </w:tr>
      <w:tr>
        <w:trPr>
          <w:cantSplit/>
        </w:trPr>
        <w:tc>
          <w:tcPr>
            <w:tcW w:type="dxa" w:w="1204"/>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2028e</w:t>
            </w:r>
          </w:p>
        </w:tc>
        <w:tc>
          <w:tcPr>
            <w:tcW w:type="dxa" w:w="1505"/>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65.287</w:t>
            </w:r>
          </w:p>
        </w:tc>
        <w:tc>
          <w:tcPr>
            <w:tcW w:type="dxa" w:w="1505"/>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61.800</w:t>
            </w:r>
          </w:p>
        </w:tc>
        <w:tc>
          <w:tcPr>
            <w:tcW w:type="dxa" w:w="1204"/>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+5,6 %</w:t>
            </w:r>
          </w:p>
        </w:tc>
        <w:tc>
          <w:tcPr>
            <w:tcW w:type="dxa" w:w="1505"/>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26.768</w:t>
            </w:r>
          </w:p>
        </w:tc>
      </w:tr>
    </w:tbl>
    <w:p>
      <w:pPr>
        <w:spacing w:after="160" w:before="0"/>
      </w:pP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2023"/>
        <w:gridCol w:w="2796"/>
        <w:gridCol w:w="2023"/>
        <w:gridCol w:w="2796"/>
      </w:tblGrid>
      <w:tr>
        <w:trPr>
          <w:cantSplit/>
        </w:trPr>
        <w:tc>
          <w:tcPr>
            <w:tcW w:type="dxa" w:w="2023"/>
            <w:tcBorders>
              <w:top w:val="none" w:color="FFFFFF" w:sz="0"/>
              <w:left w:val="none" w:color="FFFFFF" w:sz="0"/>
              <w:bottom w:val="single" w:color="D9D8D3" w:sz="4"/>
              <w:right w:val="none" w:color="FFFFFF" w:sz="0"/>
            </w:tcBorders>
            <w:shd w:fill="F3F2EE" w:color="auto" w:val="clear"/>
            <w:tcMar>
              <w:top w:type="dxa" w:w="50"/>
              <w:left w:type="dxa" w:w="80"/>
              <w:bottom w:type="dxa" w:w="50"/>
              <w:right w:type="dxa" w:w="80"/>
            </w:tcMar>
          </w:tcPr>
          <w:p>
            <w:pPr>
              <w:spacing w:after="0" w:before="0"/>
              <w:jc w:val="left"/>
            </w:pPr>
            <w:r>
              <w:rPr>
                <w:rFonts w:ascii="Calibri" w:cs="Calibri" w:eastAsia="Calibri" w:hAnsi="Calibri"/>
                <w:b w:val="false"/>
                <w:bCs w:val="false"/>
                <w:color w:val="52514E"/>
                <w:sz w:val="16"/>
                <w:szCs w:val="16"/>
              </w:rPr>
              <w:t xml:space="preserve">Analistas</w:t>
            </w:r>
          </w:p>
        </w:tc>
        <w:tc>
          <w:tcPr>
            <w:tcW w:type="dxa" w:w="279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7"/>
                <w:szCs w:val="17"/>
              </w:rPr>
              <w:t xml:space="preserve">34</w:t>
            </w:r>
          </w:p>
        </w:tc>
        <w:tc>
          <w:tcPr>
            <w:tcW w:type="dxa" w:w="2023"/>
            <w:tcBorders>
              <w:top w:val="none" w:color="FFFFFF" w:sz="0"/>
              <w:left w:val="none" w:color="FFFFFF" w:sz="0"/>
              <w:bottom w:val="single" w:color="D9D8D3" w:sz="4"/>
              <w:right w:val="none" w:color="FFFFFF" w:sz="0"/>
            </w:tcBorders>
            <w:shd w:fill="F3F2EE" w:color="auto" w:val="clear"/>
            <w:tcMar>
              <w:top w:type="dxa" w:w="50"/>
              <w:left w:type="dxa" w:w="80"/>
              <w:bottom w:type="dxa" w:w="50"/>
              <w:right w:type="dxa" w:w="80"/>
            </w:tcMar>
          </w:tcPr>
          <w:p>
            <w:pPr>
              <w:spacing w:after="0" w:before="0"/>
              <w:jc w:val="left"/>
            </w:pPr>
            <w:r>
              <w:rPr>
                <w:rFonts w:ascii="Calibri" w:cs="Calibri" w:eastAsia="Calibri" w:hAnsi="Calibri"/>
                <w:b w:val="false"/>
                <w:bCs w:val="false"/>
                <w:color w:val="52514E"/>
                <w:sz w:val="16"/>
                <w:szCs w:val="16"/>
              </w:rPr>
              <w:t xml:space="preserve">Comprar / mantener / vender</w:t>
            </w:r>
          </w:p>
        </w:tc>
        <w:tc>
          <w:tcPr>
            <w:tcW w:type="dxa" w:w="279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7"/>
                <w:szCs w:val="17"/>
              </w:rPr>
              <w:t xml:space="preserve">17 / 14 / 3</w:t>
            </w:r>
          </w:p>
        </w:tc>
      </w:tr>
      <w:tr>
        <w:trPr>
          <w:cantSplit/>
        </w:trPr>
        <w:tc>
          <w:tcPr>
            <w:tcW w:type="dxa" w:w="2023"/>
            <w:tcBorders>
              <w:top w:val="none" w:color="FFFFFF" w:sz="0"/>
              <w:left w:val="none" w:color="FFFFFF" w:sz="0"/>
              <w:bottom w:val="single" w:color="D9D8D3" w:sz="4"/>
              <w:right w:val="none" w:color="FFFFFF" w:sz="0"/>
            </w:tcBorders>
            <w:shd w:fill="F3F2EE" w:color="auto" w:val="clear"/>
            <w:tcMar>
              <w:top w:type="dxa" w:w="50"/>
              <w:left w:type="dxa" w:w="80"/>
              <w:bottom w:type="dxa" w:w="50"/>
              <w:right w:type="dxa" w:w="80"/>
            </w:tcMar>
          </w:tcPr>
          <w:p>
            <w:pPr>
              <w:spacing w:after="0" w:before="0"/>
              <w:jc w:val="left"/>
            </w:pPr>
            <w:r>
              <w:rPr>
                <w:rFonts w:ascii="Calibri" w:cs="Calibri" w:eastAsia="Calibri" w:hAnsi="Calibri"/>
                <w:b w:val="false"/>
                <w:bCs w:val="false"/>
                <w:color w:val="52514E"/>
                <w:sz w:val="16"/>
                <w:szCs w:val="16"/>
              </w:rPr>
              <w:t xml:space="preserve">Precio objetivo medio</w:t>
            </w:r>
          </w:p>
        </w:tc>
        <w:tc>
          <w:tcPr>
            <w:tcW w:type="dxa" w:w="279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7"/>
                <w:szCs w:val="17"/>
              </w:rPr>
              <w:t xml:space="preserve">128,42</w:t>
            </w:r>
          </w:p>
        </w:tc>
        <w:tc>
          <w:tcPr>
            <w:tcW w:type="dxa" w:w="2023"/>
            <w:tcBorders>
              <w:top w:val="none" w:color="FFFFFF" w:sz="0"/>
              <w:left w:val="none" w:color="FFFFFF" w:sz="0"/>
              <w:bottom w:val="single" w:color="D9D8D3" w:sz="4"/>
              <w:right w:val="none" w:color="FFFFFF" w:sz="0"/>
            </w:tcBorders>
            <w:shd w:fill="F3F2EE" w:color="auto" w:val="clear"/>
            <w:tcMar>
              <w:top w:type="dxa" w:w="50"/>
              <w:left w:type="dxa" w:w="80"/>
              <w:bottom w:type="dxa" w:w="50"/>
              <w:right w:type="dxa" w:w="80"/>
            </w:tcMar>
          </w:tcPr>
          <w:p>
            <w:pPr>
              <w:spacing w:after="0" w:before="0"/>
              <w:jc w:val="left"/>
            </w:pPr>
            <w:r>
              <w:rPr>
                <w:rFonts w:ascii="Calibri" w:cs="Calibri" w:eastAsia="Calibri" w:hAnsi="Calibri"/>
                <w:b w:val="false"/>
                <w:bCs w:val="false"/>
                <w:color w:val="52514E"/>
                <w:sz w:val="16"/>
                <w:szCs w:val="16"/>
              </w:rPr>
              <w:t xml:space="preserve">Rango de precios objetivo</w:t>
            </w:r>
          </w:p>
        </w:tc>
        <w:tc>
          <w:tcPr>
            <w:tcW w:type="dxa" w:w="279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7"/>
                <w:szCs w:val="17"/>
              </w:rPr>
              <w:t xml:space="preserve">95,95 – 150,69</w:t>
            </w:r>
          </w:p>
        </w:tc>
      </w:tr>
    </w:tbl>
    <w:p>
      <w:pPr>
        <w:spacing w:after="160" w:before="0"/>
      </w:pPr>
    </w:p>
    <w:p>
      <w:pPr>
        <w:pStyle w:val="Heading2"/>
      </w:pPr>
      <w:r>
        <w:t xml:space="preserve">Revisiones de estimaciones</w:t>
      </w:r>
    </w:p>
    <w:p>
      <w:pPr>
        <w:spacing w:after="100"/>
      </w:pPr>
      <w:r>
        <w:t xml:space="preserve">Tras el 8-sep, recortes: Deutsche Bank pasó a Mantener y bajó su objetivo de 140 a 120 CHF; ZKB quitó del modelo hasta 1.300 M USD de ventas de pelacarsen; JPMorgan cifró el efecto en un 2-3 % del valor [22]. Jefferies está en Mantener con 110 CHF [38]. Solo tenemos una fuente de objetivos (aktien.guide, 128,42 CHF de media) y el BPA core de 2026e sumando trimestres (8,74 USD); no hay estimaciones anuales gratuitas de 2027-2028 (hueco).</w:t>
      </w:r>
    </w:p>
    <w:p>
      <w:pPr>
        <w:pStyle w:val="Heading1"/>
      </w:pPr>
      <w:r>
        <w:t xml:space="preserve">16. Comportamiento en bolsa</w:t>
      </w:r>
    </w:p>
    <w:p>
      <w:pPr>
        <w:pStyle w:val="Confianza"/>
        <w:spacing w:after="100"/>
      </w:pPr>
      <w:r>
        <w:t xml:space="preserve">Confianza: Baja</w:t>
      </w:r>
    </w:p>
    <w:p>
      <w:pPr>
        <w:pStyle w:val="Nota"/>
        <w:spacing w:after="100"/>
      </w:pPr>
      <w:r>
        <w:t xml:space="preserve">Rentabilidad de precio (sin dividendos).</w:t>
      </w:r>
    </w:p>
    <w:p>
      <w:pPr>
        <w:spacing w:after="160" w:before="0"/>
      </w:pPr>
    </w:p>
    <w:p>
      <w:pPr>
        <w:keepNext w:val="false"/>
        <w:spacing w:after="160" w:before="120"/>
        <w:jc w:val="center"/>
      </w:pPr>
      <w:r>
        <w:drawing>
          <wp:inline xmlns:wp="http://schemas.openxmlformats.org/drawingml/2006/wordprocessingDrawing" distT="0" distB="0" distL="0" distR="0">
            <wp:extent cx="5760000" cy="2520000"/>
            <wp:effectExtent l="0" t="0" r="0" b="0"/>
            <wp:docPr id="1013" name="Gráfico 13" descr="Rentabilidad total por año: acción frente a su índice (%)"/>
            <wp:cNvGraphicFramePr/>
            <a:graphic xmlns:a="http://schemas.openxmlformats.org/drawingml/2006/main">
              <a:graphicData uri="http://schemas.openxmlformats.org/drawingml/2006/chart">
                <c:chart xmlns:c="http://schemas.openxmlformats.org/drawingml/2006/chart" xmlns:r="http://schemas.openxmlformats.org/officeDocument/2006/relationships" r:id="rIdGrafico13"/>
              </a:graphicData>
            </a:graphic>
          </wp:inline>
        </w:drawing>
      </w:r>
    </w:p>
    <w:p>
      <w:pPr>
        <w:spacing w:after="160" w:before="0"/>
      </w:pPr>
    </w:p>
    <w:p>
      <w:pPr>
        <w:spacing w:after="100"/>
      </w:pPr>
      <w:r>
        <w:t xml:space="preserve">El ADR ganó un 42,3 % en 2025 por el margen y la recompra, y siguió subiendo hasta el verano de 2026 (131,32 CHF el 20-ago) [33, 39]. El 4-sep falló pelacarsen y el 8-sep del-desiran: la acción cayó un 10,9 % en un día, su peor sesión, y la capitalización bajó de 239.000 a 215.000 M CHF [20]. Desde entonces se mueve entre 137 y 163 USD en el ADR [28]. No tenemos beta ni volatilidad con datos propios (hueco).</w:t>
      </w:r>
    </w:p>
    <w:p>
      <w:pPr>
        <w:pStyle w:val="Heading1"/>
      </w:pPr>
      <w:r>
        <w:t xml:space="preserve">17. Múltiplos frente a su historia</w:t>
      </w:r>
    </w:p>
    <w:p>
      <w:pPr>
        <w:pStyle w:val="Confianza"/>
        <w:spacing w:after="100"/>
      </w:pPr>
      <w:r>
        <w:t xml:space="preserve">Confianza: Media</w:t>
      </w:r>
    </w:p>
    <w:p>
      <w:pPr>
        <w:spacing w:after="160" w:before="0"/>
      </w:pPr>
    </w:p>
    <w:p>
      <w:pPr>
        <w:spacing w:after="100"/>
      </w:pPr>
      <w:r>
        <w:t xml:space="preserve">Con el BPA core en USD y el cierre del ADR ajustado por la escisión, el PER fue de 15,7x en 2022, 15,6x en 2023, 12,5x en 2024 y 15,4x en 2025 [1, 9, 10, 33]. Hoy, a 140,93 USD, cotiza a 14,6x nuestro BPA core de 2027e: por debajo de la mediana de esos cuatro años (15,5x) y por encima del mínimo de 2024. El descuento frente a 2025 refleja el riesgo de cartera tras septiembre y el valle de patentes de principios de los años 2030.</w:t>
      </w:r>
    </w:p>
    <w:p>
      <w:pPr>
        <w:pStyle w:val="Heading1"/>
      </w:pPr>
      <w:r>
        <w:t xml:space="preserve">18. Comparables cotizados</w:t>
      </w:r>
    </w:p>
    <w:p>
      <w:pPr>
        <w:pStyle w:val="Confianza"/>
        <w:spacing w:after="100"/>
      </w:pPr>
      <w:r>
        <w:t xml:space="preserve">Confianza: Media</w:t>
      </w:r>
    </w:p>
    <w:p>
      <w:pPr>
        <w:spacing w:after="100"/>
      </w:pPr>
      <w:r>
        <w:t xml:space="preserve">Siete grandes farmacéuticas de innovación con más de 50.000 M USD de capitalización: Roche, AstraZeneca, Merck &amp; Co, Sanofi, GSK, Eli Lilly y Novo Nordisk. Lilly y Novo están por la obesidad: su múltiplo refleja otro crecimiento y la mediana amortigua su efecto. Las cifras son las del informe de Roche del 14-oct (datos del 8-oct), pasadas a USD a 1,25 por franco [23].</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1715"/>
        <w:gridCol w:w="504"/>
        <w:gridCol w:w="908"/>
        <w:gridCol w:w="706"/>
        <w:gridCol w:w="807"/>
        <w:gridCol w:w="807"/>
        <w:gridCol w:w="706"/>
        <w:gridCol w:w="706"/>
        <w:gridCol w:w="756"/>
        <w:gridCol w:w="655"/>
        <w:gridCol w:w="655"/>
        <w:gridCol w:w="713"/>
      </w:tblGrid>
      <w:tr>
        <w:trPr>
          <w:cantSplit/>
          <w:tblHeader/>
        </w:trPr>
        <w:tc>
          <w:tcPr>
            <w:tcW w:type="dxa" w:w="1715"/>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Empresa</w:t>
            </w:r>
          </w:p>
        </w:tc>
        <w:tc>
          <w:tcPr>
            <w:tcW w:type="dxa" w:w="504"/>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País</w:t>
            </w:r>
          </w:p>
        </w:tc>
        <w:tc>
          <w:tcPr>
            <w:tcW w:type="dxa" w:w="908"/>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Capitaliz.</w:t>
            </w:r>
          </w:p>
        </w:tc>
        <w:tc>
          <w:tcPr>
            <w:tcW w:type="dxa" w:w="706"/>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EV/Vtas</w:t>
            </w:r>
          </w:p>
        </w:tc>
        <w:tc>
          <w:tcPr>
            <w:tcW w:type="dxa" w:w="807"/>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EV/EBITDA LTM</w:t>
            </w:r>
          </w:p>
        </w:tc>
        <w:tc>
          <w:tcPr>
            <w:tcW w:type="dxa" w:w="807"/>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EV/EBITDA NTM</w:t>
            </w:r>
          </w:p>
        </w:tc>
        <w:tc>
          <w:tcPr>
            <w:tcW w:type="dxa" w:w="706"/>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PER NTM</w:t>
            </w:r>
          </w:p>
        </w:tc>
        <w:tc>
          <w:tcPr>
            <w:tcW w:type="dxa" w:w="706"/>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Crec.</w:t>
            </w:r>
          </w:p>
        </w:tc>
        <w:tc>
          <w:tcPr>
            <w:tcW w:type="dxa" w:w="756"/>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M. EBITDA</w:t>
            </w:r>
          </w:p>
        </w:tc>
        <w:tc>
          <w:tcPr>
            <w:tcW w:type="dxa" w:w="655"/>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ROIC</w:t>
            </w:r>
          </w:p>
        </w:tc>
        <w:tc>
          <w:tcPr>
            <w:tcW w:type="dxa" w:w="655"/>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DN/ EBITDA</w:t>
            </w:r>
          </w:p>
        </w:tc>
        <w:tc>
          <w:tcPr>
            <w:tcW w:type="dxa" w:w="713"/>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FCF yield</w:t>
            </w:r>
          </w:p>
        </w:tc>
      </w:tr>
      <w:tr>
        <w:trPr>
          <w:cantSplit/>
        </w:trPr>
        <w:tc>
          <w:tcPr>
            <w:tcW w:type="dxa" w:w="171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Novartis</w:t>
            </w:r>
          </w:p>
        </w:tc>
        <w:tc>
          <w:tcPr>
            <w:tcW w:type="dxa" w:w="504"/>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CH</w:t>
            </w:r>
          </w:p>
        </w:tc>
        <w:tc>
          <w:tcPr>
            <w:tcW w:type="dxa" w:w="90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271.008</w:t>
            </w:r>
          </w:p>
        </w:tc>
        <w:tc>
          <w:tcPr>
            <w:tcW w:type="dxa" w:w="7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5,5x</w:t>
            </w:r>
          </w:p>
        </w:tc>
        <w:tc>
          <w:tcPr>
            <w:tcW w:type="dxa" w:w="80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13,5x</w:t>
            </w:r>
          </w:p>
        </w:tc>
        <w:tc>
          <w:tcPr>
            <w:tcW w:type="dxa" w:w="80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w:t>
            </w:r>
          </w:p>
        </w:tc>
        <w:tc>
          <w:tcPr>
            <w:tcW w:type="dxa" w:w="7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16,1x</w:t>
            </w:r>
          </w:p>
        </w:tc>
        <w:tc>
          <w:tcPr>
            <w:tcW w:type="dxa" w:w="7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+3,2 %</w:t>
            </w:r>
          </w:p>
        </w:tc>
        <w:tc>
          <w:tcPr>
            <w:tcW w:type="dxa" w:w="75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40,4 %</w:t>
            </w:r>
          </w:p>
        </w:tc>
        <w:tc>
          <w:tcPr>
            <w:tcW w:type="dxa" w:w="65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24,6 %</w:t>
            </w:r>
          </w:p>
        </w:tc>
        <w:tc>
          <w:tcPr>
            <w:tcW w:type="dxa" w:w="65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1,7x</w:t>
            </w:r>
          </w:p>
        </w:tc>
        <w:tc>
          <w:tcPr>
            <w:tcW w:type="dxa" w:w="71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6,5 %</w:t>
            </w:r>
          </w:p>
        </w:tc>
      </w:tr>
      <w:tr>
        <w:trPr>
          <w:cantSplit/>
        </w:trPr>
        <w:tc>
          <w:tcPr>
            <w:tcW w:type="dxa" w:w="171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Eli Lilly</w:t>
            </w:r>
          </w:p>
        </w:tc>
        <w:tc>
          <w:tcPr>
            <w:tcW w:type="dxa" w:w="504"/>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US</w:t>
            </w:r>
          </w:p>
        </w:tc>
        <w:tc>
          <w:tcPr>
            <w:tcW w:type="dxa" w:w="90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1.060.832</w:t>
            </w:r>
          </w:p>
        </w:tc>
        <w:tc>
          <w:tcPr>
            <w:tcW w:type="dxa" w:w="7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13,3x</w:t>
            </w:r>
          </w:p>
        </w:tc>
        <w:tc>
          <w:tcPr>
            <w:tcW w:type="dxa" w:w="80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25,5x</w:t>
            </w:r>
          </w:p>
        </w:tc>
        <w:tc>
          <w:tcPr>
            <w:tcW w:type="dxa" w:w="80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20,6x</w:t>
            </w:r>
          </w:p>
        </w:tc>
        <w:tc>
          <w:tcPr>
            <w:tcW w:type="dxa" w:w="7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26,7x</w:t>
            </w:r>
          </w:p>
        </w:tc>
        <w:tc>
          <w:tcPr>
            <w:tcW w:type="dxa" w:w="7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+24,4 %</w:t>
            </w:r>
          </w:p>
        </w:tc>
        <w:tc>
          <w:tcPr>
            <w:tcW w:type="dxa" w:w="75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52,4 %</w:t>
            </w:r>
          </w:p>
        </w:tc>
        <w:tc>
          <w:tcPr>
            <w:tcW w:type="dxa" w:w="65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42,2 %</w:t>
            </w:r>
          </w:p>
        </w:tc>
        <w:tc>
          <w:tcPr>
            <w:tcW w:type="dxa" w:w="65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1,1x</w:t>
            </w:r>
          </w:p>
        </w:tc>
        <w:tc>
          <w:tcPr>
            <w:tcW w:type="dxa" w:w="71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1,8 %</w:t>
            </w:r>
          </w:p>
        </w:tc>
      </w:tr>
      <w:tr>
        <w:trPr>
          <w:cantSplit/>
        </w:trPr>
        <w:tc>
          <w:tcPr>
            <w:tcW w:type="dxa" w:w="171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AstraZeneca</w:t>
            </w:r>
          </w:p>
        </w:tc>
        <w:tc>
          <w:tcPr>
            <w:tcW w:type="dxa" w:w="504"/>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GB</w:t>
            </w:r>
          </w:p>
        </w:tc>
        <w:tc>
          <w:tcPr>
            <w:tcW w:type="dxa" w:w="90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255.429</w:t>
            </w:r>
          </w:p>
        </w:tc>
        <w:tc>
          <w:tcPr>
            <w:tcW w:type="dxa" w:w="7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4,4x</w:t>
            </w:r>
          </w:p>
        </w:tc>
        <w:tc>
          <w:tcPr>
            <w:tcW w:type="dxa" w:w="80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13,5x</w:t>
            </w:r>
          </w:p>
        </w:tc>
        <w:tc>
          <w:tcPr>
            <w:tcW w:type="dxa" w:w="80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11,4x</w:t>
            </w:r>
          </w:p>
        </w:tc>
        <w:tc>
          <w:tcPr>
            <w:tcW w:type="dxa" w:w="7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18,3x</w:t>
            </w:r>
          </w:p>
        </w:tc>
        <w:tc>
          <w:tcPr>
            <w:tcW w:type="dxa" w:w="7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+7,8 %</w:t>
            </w:r>
          </w:p>
        </w:tc>
        <w:tc>
          <w:tcPr>
            <w:tcW w:type="dxa" w:w="75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33,0 %</w:t>
            </w:r>
          </w:p>
        </w:tc>
        <w:tc>
          <w:tcPr>
            <w:tcW w:type="dxa" w:w="65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16,1 %</w:t>
            </w:r>
          </w:p>
        </w:tc>
        <w:tc>
          <w:tcPr>
            <w:tcW w:type="dxa" w:w="65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1,4x</w:t>
            </w:r>
          </w:p>
        </w:tc>
        <w:tc>
          <w:tcPr>
            <w:tcW w:type="dxa" w:w="71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4,3 %</w:t>
            </w:r>
          </w:p>
        </w:tc>
      </w:tr>
      <w:tr>
        <w:trPr>
          <w:cantSplit/>
        </w:trPr>
        <w:tc>
          <w:tcPr>
            <w:tcW w:type="dxa" w:w="171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Sanofi</w:t>
            </w:r>
          </w:p>
        </w:tc>
        <w:tc>
          <w:tcPr>
            <w:tcW w:type="dxa" w:w="504"/>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FR</w:t>
            </w:r>
          </w:p>
        </w:tc>
        <w:tc>
          <w:tcPr>
            <w:tcW w:type="dxa" w:w="90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98.993</w:t>
            </w:r>
          </w:p>
        </w:tc>
        <w:tc>
          <w:tcPr>
            <w:tcW w:type="dxa" w:w="7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2,0x</w:t>
            </w:r>
          </w:p>
        </w:tc>
        <w:tc>
          <w:tcPr>
            <w:tcW w:type="dxa" w:w="80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7,4x</w:t>
            </w:r>
          </w:p>
        </w:tc>
        <w:tc>
          <w:tcPr>
            <w:tcW w:type="dxa" w:w="80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6,6x</w:t>
            </w:r>
          </w:p>
        </w:tc>
        <w:tc>
          <w:tcPr>
            <w:tcW w:type="dxa" w:w="7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9,9x</w:t>
            </w:r>
          </w:p>
        </w:tc>
        <w:tc>
          <w:tcPr>
            <w:tcW w:type="dxa" w:w="7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+0,2 %</w:t>
            </w:r>
          </w:p>
        </w:tc>
        <w:tc>
          <w:tcPr>
            <w:tcW w:type="dxa" w:w="75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27,7 %</w:t>
            </w:r>
          </w:p>
        </w:tc>
        <w:tc>
          <w:tcPr>
            <w:tcW w:type="dxa" w:w="65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9,1 %</w:t>
            </w:r>
          </w:p>
        </w:tc>
        <w:tc>
          <w:tcPr>
            <w:tcW w:type="dxa" w:w="65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1,3x</w:t>
            </w:r>
          </w:p>
        </w:tc>
        <w:tc>
          <w:tcPr>
            <w:tcW w:type="dxa" w:w="71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11,7 %</w:t>
            </w:r>
          </w:p>
        </w:tc>
      </w:tr>
      <w:tr>
        <w:trPr>
          <w:cantSplit/>
        </w:trPr>
        <w:tc>
          <w:tcPr>
            <w:tcW w:type="dxa" w:w="171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Merck &amp; Co</w:t>
            </w:r>
          </w:p>
        </w:tc>
        <w:tc>
          <w:tcPr>
            <w:tcW w:type="dxa" w:w="504"/>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US</w:t>
            </w:r>
          </w:p>
        </w:tc>
        <w:tc>
          <w:tcPr>
            <w:tcW w:type="dxa" w:w="90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358.935</w:t>
            </w:r>
          </w:p>
        </w:tc>
        <w:tc>
          <w:tcPr>
            <w:tcW w:type="dxa" w:w="7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5,9x</w:t>
            </w:r>
          </w:p>
        </w:tc>
        <w:tc>
          <w:tcPr>
            <w:tcW w:type="dxa" w:w="80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13,6x</w:t>
            </w:r>
          </w:p>
        </w:tc>
        <w:tc>
          <w:tcPr>
            <w:tcW w:type="dxa" w:w="80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13,3x</w:t>
            </w:r>
          </w:p>
        </w:tc>
        <w:tc>
          <w:tcPr>
            <w:tcW w:type="dxa" w:w="7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20,9x</w:t>
            </w:r>
          </w:p>
        </w:tc>
        <w:tc>
          <w:tcPr>
            <w:tcW w:type="dxa" w:w="7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+4,3 %</w:t>
            </w:r>
          </w:p>
        </w:tc>
        <w:tc>
          <w:tcPr>
            <w:tcW w:type="dxa" w:w="75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43,4 %</w:t>
            </w:r>
          </w:p>
        </w:tc>
        <w:tc>
          <w:tcPr>
            <w:tcW w:type="dxa" w:w="65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14,1 %</w:t>
            </w:r>
          </w:p>
        </w:tc>
        <w:tc>
          <w:tcPr>
            <w:tcW w:type="dxa" w:w="65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1,6x</w:t>
            </w:r>
          </w:p>
        </w:tc>
        <w:tc>
          <w:tcPr>
            <w:tcW w:type="dxa" w:w="71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4,6 %</w:t>
            </w:r>
          </w:p>
        </w:tc>
      </w:tr>
      <w:tr>
        <w:trPr>
          <w:cantSplit/>
        </w:trPr>
        <w:tc>
          <w:tcPr>
            <w:tcW w:type="dxa" w:w="171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GSK</w:t>
            </w:r>
          </w:p>
        </w:tc>
        <w:tc>
          <w:tcPr>
            <w:tcW w:type="dxa" w:w="504"/>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GB</w:t>
            </w:r>
          </w:p>
        </w:tc>
        <w:tc>
          <w:tcPr>
            <w:tcW w:type="dxa" w:w="90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96.440</w:t>
            </w:r>
          </w:p>
        </w:tc>
        <w:tc>
          <w:tcPr>
            <w:tcW w:type="dxa" w:w="7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2,5x</w:t>
            </w:r>
          </w:p>
        </w:tc>
        <w:tc>
          <w:tcPr>
            <w:tcW w:type="dxa" w:w="80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7,8x</w:t>
            </w:r>
          </w:p>
        </w:tc>
        <w:tc>
          <w:tcPr>
            <w:tcW w:type="dxa" w:w="80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6,9x</w:t>
            </w:r>
          </w:p>
        </w:tc>
        <w:tc>
          <w:tcPr>
            <w:tcW w:type="dxa" w:w="7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11,7x</w:t>
            </w:r>
          </w:p>
        </w:tc>
        <w:tc>
          <w:tcPr>
            <w:tcW w:type="dxa" w:w="7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+5,4 %</w:t>
            </w:r>
          </w:p>
        </w:tc>
        <w:tc>
          <w:tcPr>
            <w:tcW w:type="dxa" w:w="75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32,6 %</w:t>
            </w:r>
          </w:p>
        </w:tc>
        <w:tc>
          <w:tcPr>
            <w:tcW w:type="dxa" w:w="65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26,4 %</w:t>
            </w:r>
          </w:p>
        </w:tc>
        <w:tc>
          <w:tcPr>
            <w:tcW w:type="dxa" w:w="65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1,4x</w:t>
            </w:r>
          </w:p>
        </w:tc>
        <w:tc>
          <w:tcPr>
            <w:tcW w:type="dxa" w:w="71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9,6 %</w:t>
            </w:r>
          </w:p>
        </w:tc>
      </w:tr>
      <w:tr>
        <w:trPr>
          <w:cantSplit/>
        </w:trPr>
        <w:tc>
          <w:tcPr>
            <w:tcW w:type="dxa" w:w="171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Novo Nordisk</w:t>
            </w:r>
          </w:p>
        </w:tc>
        <w:tc>
          <w:tcPr>
            <w:tcW w:type="dxa" w:w="504"/>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DK</w:t>
            </w:r>
          </w:p>
        </w:tc>
        <w:tc>
          <w:tcPr>
            <w:tcW w:type="dxa" w:w="90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167.628</w:t>
            </w:r>
          </w:p>
        </w:tc>
        <w:tc>
          <w:tcPr>
            <w:tcW w:type="dxa" w:w="7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3,6x</w:t>
            </w:r>
          </w:p>
        </w:tc>
        <w:tc>
          <w:tcPr>
            <w:tcW w:type="dxa" w:w="80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6,9x</w:t>
            </w:r>
          </w:p>
        </w:tc>
        <w:tc>
          <w:tcPr>
            <w:tcW w:type="dxa" w:w="80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w:t>
            </w:r>
          </w:p>
        </w:tc>
        <w:tc>
          <w:tcPr>
            <w:tcW w:type="dxa" w:w="7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11,7x</w:t>
            </w:r>
          </w:p>
        </w:tc>
        <w:tc>
          <w:tcPr>
            <w:tcW w:type="dxa" w:w="7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-2,7 %</w:t>
            </w:r>
          </w:p>
        </w:tc>
        <w:tc>
          <w:tcPr>
            <w:tcW w:type="dxa" w:w="75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52,7 %</w:t>
            </w:r>
          </w:p>
        </w:tc>
        <w:tc>
          <w:tcPr>
            <w:tcW w:type="dxa" w:w="65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39,2 %</w:t>
            </w:r>
          </w:p>
        </w:tc>
        <w:tc>
          <w:tcPr>
            <w:tcW w:type="dxa" w:w="65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0,6x</w:t>
            </w:r>
          </w:p>
        </w:tc>
        <w:tc>
          <w:tcPr>
            <w:tcW w:type="dxa" w:w="71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6,9 %</w:t>
            </w:r>
          </w:p>
        </w:tc>
      </w:tr>
      <w:tr>
        <w:trPr>
          <w:cantSplit/>
        </w:trPr>
        <w:tc>
          <w:tcPr>
            <w:tcW w:type="dxa" w:w="1715"/>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Roche</w:t>
            </w:r>
          </w:p>
        </w:tc>
        <w:tc>
          <w:tcPr>
            <w:tcW w:type="dxa" w:w="504"/>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CH</w:t>
            </w:r>
          </w:p>
        </w:tc>
        <w:tc>
          <w:tcPr>
            <w:tcW w:type="dxa" w:w="908"/>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332.470</w:t>
            </w:r>
          </w:p>
        </w:tc>
        <w:tc>
          <w:tcPr>
            <w:tcW w:type="dxa" w:w="70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5,0x</w:t>
            </w:r>
          </w:p>
        </w:tc>
        <w:tc>
          <w:tcPr>
            <w:tcW w:type="dxa" w:w="80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14,3x</w:t>
            </w:r>
          </w:p>
        </w:tc>
        <w:tc>
          <w:tcPr>
            <w:tcW w:type="dxa" w:w="80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12,8x</w:t>
            </w:r>
          </w:p>
        </w:tc>
        <w:tc>
          <w:tcPr>
            <w:tcW w:type="dxa" w:w="70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15,5x</w:t>
            </w:r>
          </w:p>
        </w:tc>
        <w:tc>
          <w:tcPr>
            <w:tcW w:type="dxa" w:w="70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+1,6 %</w:t>
            </w:r>
          </w:p>
        </w:tc>
        <w:tc>
          <w:tcPr>
            <w:tcW w:type="dxa" w:w="75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34,5 %</w:t>
            </w:r>
          </w:p>
        </w:tc>
        <w:tc>
          <w:tcPr>
            <w:tcW w:type="dxa" w:w="655"/>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27,1 %</w:t>
            </w:r>
          </w:p>
        </w:tc>
        <w:tc>
          <w:tcPr>
            <w:tcW w:type="dxa" w:w="655"/>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1,1x</w:t>
            </w:r>
          </w:p>
        </w:tc>
        <w:tc>
          <w:tcPr>
            <w:tcW w:type="dxa" w:w="71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5,7 %</w:t>
            </w:r>
          </w:p>
        </w:tc>
      </w:tr>
    </w:tbl>
    <w:p>
      <w:pPr>
        <w:spacing w:after="160" w:before="0"/>
      </w:pPr>
    </w:p>
    <w:p>
      <w:pPr>
        <w:pStyle w:val="Nota"/>
        <w:spacing w:after="100"/>
      </w:pPr>
      <w:r>
        <w:t xml:space="preserve">La primera fila es la empresa analizada (calculada con sus propios datos). Los estadísticos excluyen a la empresa.</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1848"/>
        <w:gridCol w:w="1056"/>
        <w:gridCol w:w="1188"/>
        <w:gridCol w:w="1188"/>
        <w:gridCol w:w="1056"/>
        <w:gridCol w:w="1056"/>
        <w:gridCol w:w="1188"/>
        <w:gridCol w:w="1058"/>
      </w:tblGrid>
      <w:tr>
        <w:trPr>
          <w:cantSplit/>
          <w:tblHeader/>
        </w:trPr>
        <w:tc>
          <w:tcPr>
            <w:tcW w:type="dxa" w:w="1848"/>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Estadístico</w:t>
            </w:r>
          </w:p>
        </w:tc>
        <w:tc>
          <w:tcPr>
            <w:tcW w:type="dxa" w:w="1056"/>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EV/Vtas</w:t>
            </w:r>
          </w:p>
        </w:tc>
        <w:tc>
          <w:tcPr>
            <w:tcW w:type="dxa" w:w="1188"/>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EV/EBITDA LTM</w:t>
            </w:r>
          </w:p>
        </w:tc>
        <w:tc>
          <w:tcPr>
            <w:tcW w:type="dxa" w:w="1188"/>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EV/EBITDA NTM</w:t>
            </w:r>
          </w:p>
        </w:tc>
        <w:tc>
          <w:tcPr>
            <w:tcW w:type="dxa" w:w="1056"/>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PER NTM</w:t>
            </w:r>
          </w:p>
        </w:tc>
        <w:tc>
          <w:tcPr>
            <w:tcW w:type="dxa" w:w="1056"/>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Crec.</w:t>
            </w:r>
          </w:p>
        </w:tc>
        <w:tc>
          <w:tcPr>
            <w:tcW w:type="dxa" w:w="1188"/>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M. EBITDA</w:t>
            </w:r>
          </w:p>
        </w:tc>
        <w:tc>
          <w:tcPr>
            <w:tcW w:type="dxa" w:w="1058"/>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ROIC</w:t>
            </w:r>
          </w:p>
        </w:tc>
      </w:tr>
      <w:tr>
        <w:trPr>
          <w:cantSplit/>
        </w:trPr>
        <w:tc>
          <w:tcPr>
            <w:tcW w:type="dxa" w:w="184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Mediana</w:t>
            </w:r>
          </w:p>
        </w:tc>
        <w:tc>
          <w:tcPr>
            <w:tcW w:type="dxa" w:w="105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4,4x</w:t>
            </w:r>
          </w:p>
        </w:tc>
        <w:tc>
          <w:tcPr>
            <w:tcW w:type="dxa" w:w="118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13,5x</w:t>
            </w:r>
          </w:p>
        </w:tc>
        <w:tc>
          <w:tcPr>
            <w:tcW w:type="dxa" w:w="118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12,1x</w:t>
            </w:r>
          </w:p>
        </w:tc>
        <w:tc>
          <w:tcPr>
            <w:tcW w:type="dxa" w:w="105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15,5x</w:t>
            </w:r>
          </w:p>
        </w:tc>
        <w:tc>
          <w:tcPr>
            <w:tcW w:type="dxa" w:w="105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+4,3 %</w:t>
            </w:r>
          </w:p>
        </w:tc>
        <w:tc>
          <w:tcPr>
            <w:tcW w:type="dxa" w:w="118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34,5 %</w:t>
            </w:r>
          </w:p>
        </w:tc>
        <w:tc>
          <w:tcPr>
            <w:tcW w:type="dxa" w:w="105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26,4 %</w:t>
            </w:r>
          </w:p>
        </w:tc>
      </w:tr>
      <w:tr>
        <w:trPr>
          <w:cantSplit/>
        </w:trPr>
        <w:tc>
          <w:tcPr>
            <w:tcW w:type="dxa" w:w="184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Media</w:t>
            </w:r>
          </w:p>
        </w:tc>
        <w:tc>
          <w:tcPr>
            <w:tcW w:type="dxa" w:w="105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5,3x</w:t>
            </w:r>
          </w:p>
        </w:tc>
        <w:tc>
          <w:tcPr>
            <w:tcW w:type="dxa" w:w="118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12,7x</w:t>
            </w:r>
          </w:p>
        </w:tc>
        <w:tc>
          <w:tcPr>
            <w:tcW w:type="dxa" w:w="118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11,9x</w:t>
            </w:r>
          </w:p>
        </w:tc>
        <w:tc>
          <w:tcPr>
            <w:tcW w:type="dxa" w:w="105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16,4x</w:t>
            </w:r>
          </w:p>
        </w:tc>
        <w:tc>
          <w:tcPr>
            <w:tcW w:type="dxa" w:w="105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+5,9 %</w:t>
            </w:r>
          </w:p>
        </w:tc>
        <w:tc>
          <w:tcPr>
            <w:tcW w:type="dxa" w:w="118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39,5 %</w:t>
            </w:r>
          </w:p>
        </w:tc>
        <w:tc>
          <w:tcPr>
            <w:tcW w:type="dxa" w:w="105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24,9 %</w:t>
            </w:r>
          </w:p>
        </w:tc>
      </w:tr>
      <w:tr>
        <w:trPr>
          <w:cantSplit/>
        </w:trPr>
        <w:tc>
          <w:tcPr>
            <w:tcW w:type="dxa" w:w="184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Percentil 25</w:t>
            </w:r>
          </w:p>
        </w:tc>
        <w:tc>
          <w:tcPr>
            <w:tcW w:type="dxa" w:w="105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3,1x</w:t>
            </w:r>
          </w:p>
        </w:tc>
        <w:tc>
          <w:tcPr>
            <w:tcW w:type="dxa" w:w="118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7,6x</w:t>
            </w:r>
          </w:p>
        </w:tc>
        <w:tc>
          <w:tcPr>
            <w:tcW w:type="dxa" w:w="118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8,0x</w:t>
            </w:r>
          </w:p>
        </w:tc>
        <w:tc>
          <w:tcPr>
            <w:tcW w:type="dxa" w:w="105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11,7x</w:t>
            </w:r>
          </w:p>
        </w:tc>
        <w:tc>
          <w:tcPr>
            <w:tcW w:type="dxa" w:w="105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+0,9 %</w:t>
            </w:r>
          </w:p>
        </w:tc>
        <w:tc>
          <w:tcPr>
            <w:tcW w:type="dxa" w:w="118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32,8 %</w:t>
            </w:r>
          </w:p>
        </w:tc>
        <w:tc>
          <w:tcPr>
            <w:tcW w:type="dxa" w:w="105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15,1 %</w:t>
            </w:r>
          </w:p>
        </w:tc>
      </w:tr>
      <w:tr>
        <w:trPr>
          <w:cantSplit/>
        </w:trPr>
        <w:tc>
          <w:tcPr>
            <w:tcW w:type="dxa" w:w="1848"/>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Percentil 75</w:t>
            </w:r>
          </w:p>
        </w:tc>
        <w:tc>
          <w:tcPr>
            <w:tcW w:type="dxa" w:w="105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5,4x</w:t>
            </w:r>
          </w:p>
        </w:tc>
        <w:tc>
          <w:tcPr>
            <w:tcW w:type="dxa" w:w="1188"/>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14,0x</w:t>
            </w:r>
          </w:p>
        </w:tc>
        <w:tc>
          <w:tcPr>
            <w:tcW w:type="dxa" w:w="1188"/>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13,2x</w:t>
            </w:r>
          </w:p>
        </w:tc>
        <w:tc>
          <w:tcPr>
            <w:tcW w:type="dxa" w:w="105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19,6x</w:t>
            </w:r>
          </w:p>
        </w:tc>
        <w:tc>
          <w:tcPr>
            <w:tcW w:type="dxa" w:w="105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+6,6 %</w:t>
            </w:r>
          </w:p>
        </w:tc>
        <w:tc>
          <w:tcPr>
            <w:tcW w:type="dxa" w:w="1188"/>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47,9 %</w:t>
            </w:r>
          </w:p>
        </w:tc>
        <w:tc>
          <w:tcPr>
            <w:tcW w:type="dxa" w:w="1058"/>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33,2 %</w:t>
            </w:r>
          </w:p>
        </w:tc>
      </w:tr>
    </w:tbl>
    <w:p>
      <w:pPr>
        <w:spacing w:after="160" w:before="0"/>
      </w:pPr>
    </w:p>
    <w:p>
      <w:pPr>
        <w:pStyle w:val="Heading2"/>
      </w:pPr>
      <w:r>
        <w:t xml:space="preserve">Valor implícito por acción</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2524"/>
        <w:gridCol w:w="1147"/>
        <w:gridCol w:w="1835"/>
        <w:gridCol w:w="1032"/>
        <w:gridCol w:w="1032"/>
        <w:gridCol w:w="1032"/>
        <w:gridCol w:w="1036"/>
      </w:tblGrid>
      <w:tr>
        <w:trPr>
          <w:cantSplit/>
          <w:tblHeader/>
        </w:trPr>
        <w:tc>
          <w:tcPr>
            <w:tcW w:type="dxa" w:w="2524"/>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Múltiplo aplicado</w:t>
            </w:r>
          </w:p>
        </w:tc>
        <w:tc>
          <w:tcPr>
            <w:tcW w:type="dxa" w:w="1147"/>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Métrica de la empresa</w:t>
            </w:r>
          </w:p>
        </w:tc>
        <w:tc>
          <w:tcPr>
            <w:tcW w:type="dxa" w:w="1835"/>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Múltiplo p25 / mediana / p75</w:t>
            </w:r>
          </w:p>
        </w:tc>
        <w:tc>
          <w:tcPr>
            <w:tcW w:type="dxa" w:w="1032"/>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Valor p25</w:t>
            </w:r>
          </w:p>
        </w:tc>
        <w:tc>
          <w:tcPr>
            <w:tcW w:type="dxa" w:w="1032"/>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Valor mediana</w:t>
            </w:r>
          </w:p>
        </w:tc>
        <w:tc>
          <w:tcPr>
            <w:tcW w:type="dxa" w:w="1032"/>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Valor p75</w:t>
            </w:r>
          </w:p>
        </w:tc>
        <w:tc>
          <w:tcPr>
            <w:tcW w:type="dxa" w:w="1036"/>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Potencial</w:t>
            </w:r>
          </w:p>
        </w:tc>
      </w:tr>
      <w:tr>
        <w:trPr>
          <w:cantSplit/>
        </w:trPr>
        <w:tc>
          <w:tcPr>
            <w:tcW w:type="dxa" w:w="2524"/>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EV/EBITDA últimos 12 meses</w:t>
            </w:r>
          </w:p>
        </w:tc>
        <w:tc>
          <w:tcPr>
            <w:tcW w:type="dxa" w:w="114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22.919</w:t>
            </w:r>
          </w:p>
        </w:tc>
        <w:tc>
          <w:tcPr>
            <w:tcW w:type="dxa" w:w="183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7,6x / 13,5x / 13,9x</w:t>
            </w:r>
          </w:p>
        </w:tc>
        <w:tc>
          <w:tcPr>
            <w:tcW w:type="dxa" w:w="1032"/>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70,04</w:t>
            </w:r>
          </w:p>
        </w:tc>
        <w:tc>
          <w:tcPr>
            <w:tcW w:type="dxa" w:w="1032"/>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140,36</w:t>
            </w:r>
          </w:p>
        </w:tc>
        <w:tc>
          <w:tcPr>
            <w:tcW w:type="dxa" w:w="1032"/>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145,72</w:t>
            </w:r>
          </w:p>
        </w:tc>
        <w:tc>
          <w:tcPr>
            <w:tcW w:type="dxa" w:w="103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-0,4 %</w:t>
            </w:r>
          </w:p>
        </w:tc>
      </w:tr>
      <w:tr>
        <w:trPr>
          <w:cantSplit/>
        </w:trPr>
        <w:tc>
          <w:tcPr>
            <w:tcW w:type="dxa" w:w="2524"/>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PER próximos 12 meses</w:t>
            </w:r>
          </w:p>
        </w:tc>
        <w:tc>
          <w:tcPr>
            <w:tcW w:type="dxa" w:w="114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8,7</w:t>
            </w:r>
          </w:p>
        </w:tc>
        <w:tc>
          <w:tcPr>
            <w:tcW w:type="dxa" w:w="183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11,7x / 15,5x / 19,6x</w:t>
            </w:r>
          </w:p>
        </w:tc>
        <w:tc>
          <w:tcPr>
            <w:tcW w:type="dxa" w:w="1032"/>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102,26</w:t>
            </w:r>
          </w:p>
        </w:tc>
        <w:tc>
          <w:tcPr>
            <w:tcW w:type="dxa" w:w="1032"/>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135,47</w:t>
            </w:r>
          </w:p>
        </w:tc>
        <w:tc>
          <w:tcPr>
            <w:tcW w:type="dxa" w:w="1032"/>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171,30</w:t>
            </w:r>
          </w:p>
        </w:tc>
        <w:tc>
          <w:tcPr>
            <w:tcW w:type="dxa" w:w="103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-3,9 %</w:t>
            </w:r>
          </w:p>
        </w:tc>
      </w:tr>
      <w:tr>
        <w:trPr>
          <w:cantSplit/>
        </w:trPr>
        <w:tc>
          <w:tcPr>
            <w:tcW w:type="dxa" w:w="2524"/>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EV/Ventas últimos 12 meses</w:t>
            </w:r>
          </w:p>
        </w:tc>
        <w:tc>
          <w:tcPr>
            <w:tcW w:type="dxa" w:w="114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56.674</w:t>
            </w:r>
          </w:p>
        </w:tc>
        <w:tc>
          <w:tcPr>
            <w:tcW w:type="dxa" w:w="1835"/>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3,1x / 4,4x / 5,4x</w:t>
            </w:r>
          </w:p>
        </w:tc>
        <w:tc>
          <w:tcPr>
            <w:tcW w:type="dxa" w:w="1032"/>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70,53</w:t>
            </w:r>
          </w:p>
        </w:tc>
        <w:tc>
          <w:tcPr>
            <w:tcW w:type="dxa" w:w="1032"/>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110,31</w:t>
            </w:r>
          </w:p>
        </w:tc>
        <w:tc>
          <w:tcPr>
            <w:tcW w:type="dxa" w:w="1032"/>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139,05</w:t>
            </w:r>
          </w:p>
        </w:tc>
        <w:tc>
          <w:tcPr>
            <w:tcW w:type="dxa" w:w="103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-21,7 %</w:t>
            </w:r>
          </w:p>
        </w:tc>
      </w:tr>
    </w:tbl>
    <w:p>
      <w:pPr>
        <w:spacing w:after="160" w:before="0"/>
      </w:pPr>
    </w:p>
    <w:p>
      <w:pPr>
        <w:keepNext w:val="false"/>
        <w:spacing w:after="160" w:before="120"/>
        <w:jc w:val="center"/>
      </w:pPr>
      <w:r>
        <w:drawing>
          <wp:inline xmlns:wp="http://schemas.openxmlformats.org/drawingml/2006/wordprocessingDrawing" distT="0" distB="0" distL="0" distR="0">
            <wp:extent cx="5760000" cy="2700000"/>
            <wp:effectExtent l="0" t="0" r="0" b="0"/>
            <wp:docPr id="1014" name="Gráfico 14" descr="EV/EBITDA de los próximos 12 meses: empresa y comparables (veces)"/>
            <wp:cNvGraphicFramePr/>
            <a:graphic xmlns:a="http://schemas.openxmlformats.org/drawingml/2006/main">
              <a:graphicData uri="http://schemas.openxmlformats.org/drawingml/2006/chart">
                <c:chart xmlns:c="http://schemas.openxmlformats.org/drawingml/2006/chart" xmlns:r="http://schemas.openxmlformats.org/officeDocument/2006/relationships" r:id="rIdGrafico14"/>
              </a:graphicData>
            </a:graphic>
          </wp:inline>
        </w:drawing>
      </w:r>
    </w:p>
    <w:p>
      <w:pPr>
        <w:keepNext w:val="false"/>
        <w:spacing w:after="160" w:before="120"/>
        <w:jc w:val="center"/>
      </w:pPr>
      <w:r>
        <w:drawing>
          <wp:inline xmlns:wp="http://schemas.openxmlformats.org/drawingml/2006/wordprocessingDrawing" distT="0" distB="0" distL="0" distR="0">
            <wp:extent cx="5760000" cy="3060000"/>
            <wp:effectExtent l="0" t="0" r="0" b="0"/>
            <wp:docPr id="1015" name="Gráfico 15" descr="Crecimiento esperado frente a múltiplo"/>
            <wp:cNvGraphicFramePr/>
            <a:graphic xmlns:a="http://schemas.openxmlformats.org/drawingml/2006/main">
              <a:graphicData uri="http://schemas.openxmlformats.org/drawingml/2006/chart">
                <c:chart xmlns:c="http://schemas.openxmlformats.org/drawingml/2006/chart" xmlns:r="http://schemas.openxmlformats.org/officeDocument/2006/relationships" r:id="rIdGrafico15"/>
              </a:graphicData>
            </a:graphic>
          </wp:inline>
        </w:drawing>
      </w:r>
    </w:p>
    <w:p>
      <w:pPr>
        <w:spacing w:after="100"/>
      </w:pPr>
      <w:r>
        <w:t xml:space="preserve">Novartis cotiza a 16,1x el PER de los próximos 12 meses, encima de la mediana de los comparables (15,5x), con un margen EBITDA (40,4 %) y un ROIC (24,6 %) del tercio superior. La prima es pequeña y se explica por el margen; el crecimiento que pide el precio es el problema: el PER de los comparables da 135,47 USD por acción, un 3,9 % por debajo del precio. Sanofi (9,9x) y GSK (11,7x) muestran a cuánto cotiza una farmacéutica con un vencimiento grande a la vista.</w:t>
      </w:r>
    </w:p>
    <w:p>
      <w:pPr>
        <w:pStyle w:val="Heading1"/>
      </w:pPr>
      <w:r>
        <w:t xml:space="preserve">20. Descuento de flujos de caja (DCF)</w:t>
      </w:r>
    </w:p>
    <w:p>
      <w:pPr>
        <w:pStyle w:val="Confianza"/>
        <w:spacing w:after="100"/>
      </w:pPr>
      <w:r>
        <w:t xml:space="preserve">Confianza: Media</w:t>
      </w:r>
    </w:p>
    <w:p>
      <w:pPr>
        <w:pStyle w:val="Heading2"/>
      </w:pPr>
      <w:r>
        <w:t xml:space="preserve">Supuestos y su justificación</w:t>
      </w:r>
    </w:p>
    <w:p>
      <w:pPr>
        <w:keepNext/>
        <w:spacing w:after="100"/>
      </w:pPr>
      <w:r>
        <w:rPr>
          <w:b/>
          <w:bCs/>
        </w:rPr>
        <w:t xml:space="preserve">Crecimiento de ingresos.</w:t>
      </w:r>
    </w:p>
    <w:p>
      <w:pPr>
        <w:spacing w:after="100"/>
      </w:pPr>
      <w:r>
        <w:t xml:space="preserve">Partimos de 56.674 M USD de ingresos en 2025 [4]. 2026e: +3,5 % (fijo), la guía de ventas de un dígito bajo a tipo constante más el efecto del dólar débil [2]. 2027e-2030e: +5,5 %, +5,5 %, +5,0 % y +4,5 %, medio punto por debajo de la guía del 5-6 % anual que la dirección mantuvo tras los fracasos [19], porque pelacarsen y del-desiran estaban en ella. 2031e-2033e: 0 %, −2 % y +1 % por los vencimientos de Cosentyx, Kisqali y Kesimpta [22]; después, 2 %.</w:t>
      </w:r>
    </w:p>
    <w:p>
      <w:pPr>
        <w:keepNext/>
        <w:spacing w:after="100"/>
      </w:pPr>
      <w:r>
        <w:rPr>
          <w:b/>
          <w:bCs/>
        </w:rPr>
        <w:t xml:space="preserve">Márgenes.</w:t>
      </w:r>
    </w:p>
    <w:p>
      <w:pPr>
        <w:spacing w:after="100"/>
      </w:pPr>
      <w:r>
        <w:t xml:space="preserve">EBITDA NIIF del 38,8 % en 2026e (resultado operativo core −un dígito bajo con ventas al alza), 40,0 % en 2027e y 41,0-41,5 % en 2028e-2030e, en línea con el objetivo de margen core por encima del 40 % hacia 2029 [19]; en 2025 fue del 40,4 %. Con los vencimientos baja al 38 % desde 2033e: el margen de 2023-2024 (38,9-39,9 %).</w:t>
      </w:r>
    </w:p>
    <w:p>
      <w:pPr>
        <w:keepNext/>
        <w:spacing w:after="100"/>
      </w:pPr>
      <w:r>
        <w:rPr>
          <w:b/>
          <w:bCs/>
        </w:rPr>
        <w:t xml:space="preserve">Inversión y circulante.</w:t>
      </w:r>
    </w:p>
    <w:p>
      <w:pPr>
        <w:spacing w:after="100"/>
      </w:pPr>
      <w:r>
        <w:t xml:space="preserve">Capex del 10 % de los ingresos hasta 2030e y del 9,5 % después: ≈2,5 puntos de inmovilizado y ≈7 de compras de biotecnológicas y licencias, que son el coste de reponer la cartera y que el flujo libre de la empresa no recoge (Avidity: ≈12.000 M en 2026) [15]. Amortización del 9,5 % (9,3 % en 2025) [5]. Circulante del 15,5 % de los ingresos (clientes de 2025: 15,8 %) [6].</w:t>
      </w:r>
    </w:p>
    <w:p>
      <w:pPr>
        <w:keepNext/>
        <w:spacing w:after="100"/>
      </w:pPr>
      <w:r>
        <w:rPr>
          <w:b/>
          <w:bCs/>
        </w:rPr>
        <w:t xml:space="preserve">Coste del capital.</w:t>
      </w:r>
    </w:p>
    <w:p>
      <w:pPr>
        <w:spacing w:after="100"/>
      </w:pPr>
      <w:r>
        <w:t xml:space="preserve">Flujos en dólares, así que la tasa libre es el bono estadounidense a 10 años (5,22 %) [35], no el suizo. Beta de 0,65 (farmacéutica defensiva; no hemos podido calcularla, hueco), prima de mercado del 5,5 % y coste de los recursos propios del 8,8 %. Deuda al 4,5 % antes de impuestos con un peso del 13 % (39.400 M de deuda neta frente a 271.008 M de capitalización). WACC del 8,14 %. Con la prima implícita del mercado (4,2 %) baja al 7,4 % [37].</w:t>
      </w:r>
    </w:p>
    <w:p>
      <w:pPr>
        <w:keepNext/>
        <w:spacing w:after="100"/>
      </w:pPr>
      <w:r>
        <w:rPr>
          <w:b/>
          <w:bCs/>
        </w:rPr>
        <w:t xml:space="preserve">Valor terminal.</w:t>
      </w:r>
    </w:p>
    <w:p>
      <w:pPr>
        <w:spacing w:after="100"/>
      </w:pPr>
      <w:r>
        <w:t xml:space="preserve">Gordon con un 2,0 % de crecimiento, por debajo de la inflación esperada en dólares más un crecimiento real modesto y 3,2 puntos por debajo de la tasa libre. El valor terminal pesa un 56 % del valor. Un múltiplo de salida de 12 veces el EBITDA, en la parte baja de los comparables, se da como contraste.</w:t>
      </w:r>
    </w:p>
    <w:p>
      <w:pPr>
        <w:pStyle w:val="Heading2"/>
      </w:pPr>
      <w:r>
        <w:t xml:space="preserve">Coste medio ponderado del capital</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7413"/>
        <w:gridCol w:w="2225"/>
      </w:tblGrid>
      <w:tr>
        <w:trPr>
          <w:cantSplit/>
          <w:tblHeader/>
        </w:trPr>
        <w:tc>
          <w:tcPr>
            <w:tcW w:type="dxa" w:w="7413"/>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Componente</w:t>
            </w:r>
          </w:p>
        </w:tc>
        <w:tc>
          <w:tcPr>
            <w:tcW w:type="dxa" w:w="2225"/>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Valor</w:t>
            </w:r>
          </w:p>
        </w:tc>
      </w:tr>
      <w:tr>
        <w:trPr>
          <w:cantSplit/>
        </w:trPr>
        <w:tc>
          <w:tcPr>
            <w:tcW w:type="dxa" w:w="741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Tasa libre de riesgo</w:t>
            </w:r>
          </w:p>
        </w:tc>
        <w:tc>
          <w:tcPr>
            <w:tcW w:type="dxa" w:w="222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5,22 %</w:t>
            </w:r>
          </w:p>
        </w:tc>
      </w:tr>
      <w:tr>
        <w:trPr>
          <w:cantSplit/>
        </w:trPr>
        <w:tc>
          <w:tcPr>
            <w:tcW w:type="dxa" w:w="741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Beta</w:t>
            </w:r>
          </w:p>
        </w:tc>
        <w:tc>
          <w:tcPr>
            <w:tcW w:type="dxa" w:w="222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0,65</w:t>
            </w:r>
          </w:p>
        </w:tc>
      </w:tr>
      <w:tr>
        <w:trPr>
          <w:cantSplit/>
        </w:trPr>
        <w:tc>
          <w:tcPr>
            <w:tcW w:type="dxa" w:w="741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Prima de riesgo de mercado</w:t>
            </w:r>
          </w:p>
        </w:tc>
        <w:tc>
          <w:tcPr>
            <w:tcW w:type="dxa" w:w="222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5,50 %</w:t>
            </w:r>
          </w:p>
        </w:tc>
      </w:tr>
      <w:tr>
        <w:trPr>
          <w:cantSplit/>
        </w:trPr>
        <w:tc>
          <w:tcPr>
            <w:tcW w:type="dxa" w:w="741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Prima adicional (país, tamaño, específica)</w:t>
            </w:r>
          </w:p>
        </w:tc>
        <w:tc>
          <w:tcPr>
            <w:tcW w:type="dxa" w:w="222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0,00 %</w:t>
            </w:r>
          </w:p>
        </w:tc>
      </w:tr>
      <w:tr>
        <w:trPr>
          <w:cantSplit/>
        </w:trPr>
        <w:tc>
          <w:tcPr>
            <w:tcW w:type="dxa" w:w="741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Coste de los fondos propios</w:t>
            </w:r>
          </w:p>
        </w:tc>
        <w:tc>
          <w:tcPr>
            <w:tcW w:type="dxa" w:w="222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8,79 %</w:t>
            </w:r>
          </w:p>
        </w:tc>
      </w:tr>
      <w:tr>
        <w:trPr>
          <w:cantSplit/>
        </w:trPr>
        <w:tc>
          <w:tcPr>
            <w:tcW w:type="dxa" w:w="741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Coste de la deuda antes de impuestos</w:t>
            </w:r>
          </w:p>
        </w:tc>
        <w:tc>
          <w:tcPr>
            <w:tcW w:type="dxa" w:w="222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4,50 %</w:t>
            </w:r>
          </w:p>
        </w:tc>
      </w:tr>
      <w:tr>
        <w:trPr>
          <w:cantSplit/>
        </w:trPr>
        <w:tc>
          <w:tcPr>
            <w:tcW w:type="dxa" w:w="741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Tipo impositivo</w:t>
            </w:r>
          </w:p>
        </w:tc>
        <w:tc>
          <w:tcPr>
            <w:tcW w:type="dxa" w:w="222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16,50 %</w:t>
            </w:r>
          </w:p>
        </w:tc>
      </w:tr>
      <w:tr>
        <w:trPr>
          <w:cantSplit/>
        </w:trPr>
        <w:tc>
          <w:tcPr>
            <w:tcW w:type="dxa" w:w="741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Coste de la deuda después de impuestos</w:t>
            </w:r>
          </w:p>
        </w:tc>
        <w:tc>
          <w:tcPr>
            <w:tcW w:type="dxa" w:w="222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3,76 %</w:t>
            </w:r>
          </w:p>
        </w:tc>
      </w:tr>
      <w:tr>
        <w:trPr>
          <w:cantSplit/>
        </w:trPr>
        <w:tc>
          <w:tcPr>
            <w:tcW w:type="dxa" w:w="741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Peso de la deuda (D / (D + E))</w:t>
            </w:r>
          </w:p>
        </w:tc>
        <w:tc>
          <w:tcPr>
            <w:tcW w:type="dxa" w:w="222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13,00 %</w:t>
            </w:r>
          </w:p>
        </w:tc>
      </w:tr>
      <w:tr>
        <w:trPr>
          <w:cantSplit/>
        </w:trPr>
        <w:tc>
          <w:tcPr>
            <w:tcW w:type="dxa" w:w="741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WACC</w:t>
            </w:r>
          </w:p>
        </w:tc>
        <w:tc>
          <w:tcPr>
            <w:tcW w:type="dxa" w:w="222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8,14 %</w:t>
            </w:r>
          </w:p>
        </w:tc>
      </w:tr>
      <w:tr>
        <w:trPr>
          <w:cantSplit/>
        </w:trPr>
        <w:tc>
          <w:tcPr>
            <w:tcW w:type="dxa" w:w="741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Prima de riesgo implícita del mercado (regla relativa)</w:t>
            </w:r>
          </w:p>
        </w:tc>
        <w:tc>
          <w:tcPr>
            <w:tcW w:type="dxa" w:w="222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4,20 %</w:t>
            </w:r>
          </w:p>
        </w:tc>
      </w:tr>
      <w:tr>
        <w:trPr>
          <w:cantSplit/>
        </w:trPr>
        <w:tc>
          <w:tcPr>
            <w:tcW w:type="dxa" w:w="741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WACC con la prima implícita del mercado</w:t>
            </w:r>
          </w:p>
        </w:tc>
        <w:tc>
          <w:tcPr>
            <w:tcW w:type="dxa" w:w="2225"/>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7,40 %</w:t>
            </w:r>
          </w:p>
        </w:tc>
      </w:tr>
    </w:tbl>
    <w:p>
      <w:pPr>
        <w:spacing w:after="160" w:before="0"/>
      </w:pPr>
    </w:p>
    <w:p>
      <w:pPr>
        <w:pStyle w:val="Heading2"/>
      </w:pPr>
      <w:r>
        <w:t xml:space="preserve">Proyección</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781"/>
        <w:gridCol w:w="937"/>
        <w:gridCol w:w="729"/>
        <w:gridCol w:w="885"/>
        <w:gridCol w:w="833"/>
        <w:gridCol w:w="781"/>
        <w:gridCol w:w="833"/>
        <w:gridCol w:w="781"/>
        <w:gridCol w:w="729"/>
        <w:gridCol w:w="833"/>
        <w:gridCol w:w="729"/>
        <w:gridCol w:w="787"/>
      </w:tblGrid>
      <w:tr>
        <w:trPr>
          <w:cantSplit/>
          <w:tblHeader/>
        </w:trPr>
        <w:tc>
          <w:tcPr>
            <w:tcW w:type="dxa" w:w="781"/>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Año</w:t>
            </w:r>
          </w:p>
        </w:tc>
        <w:tc>
          <w:tcPr>
            <w:tcW w:type="dxa" w:w="937"/>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Ingresos</w:t>
            </w:r>
          </w:p>
        </w:tc>
        <w:tc>
          <w:tcPr>
            <w:tcW w:type="dxa" w:w="729"/>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Crec.</w:t>
            </w:r>
          </w:p>
        </w:tc>
        <w:tc>
          <w:tcPr>
            <w:tcW w:type="dxa" w:w="885"/>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EBITDA</w:t>
            </w:r>
          </w:p>
        </w:tc>
        <w:tc>
          <w:tcPr>
            <w:tcW w:type="dxa" w:w="833"/>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M. EBITDA</w:t>
            </w:r>
          </w:p>
        </w:tc>
        <w:tc>
          <w:tcPr>
            <w:tcW w:type="dxa" w:w="781"/>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Amort.</w:t>
            </w:r>
          </w:p>
        </w:tc>
        <w:tc>
          <w:tcPr>
            <w:tcW w:type="dxa" w:w="833"/>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Impuestos</w:t>
            </w:r>
          </w:p>
        </w:tc>
        <w:tc>
          <w:tcPr>
            <w:tcW w:type="dxa" w:w="781"/>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Capex</w:t>
            </w:r>
          </w:p>
        </w:tc>
        <w:tc>
          <w:tcPr>
            <w:tcW w:type="dxa" w:w="729"/>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Δ Circ.</w:t>
            </w:r>
          </w:p>
        </w:tc>
        <w:tc>
          <w:tcPr>
            <w:tcW w:type="dxa" w:w="833"/>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FCFF</w:t>
            </w:r>
          </w:p>
        </w:tc>
        <w:tc>
          <w:tcPr>
            <w:tcW w:type="dxa" w:w="729"/>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Fracción</w:t>
            </w:r>
          </w:p>
        </w:tc>
        <w:tc>
          <w:tcPr>
            <w:tcW w:type="dxa" w:w="787"/>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VA</w:t>
            </w:r>
          </w:p>
        </w:tc>
      </w:tr>
      <w:tr>
        <w:trPr>
          <w:cantSplit/>
        </w:trPr>
        <w:tc>
          <w:tcPr>
            <w:tcW w:type="dxa" w:w="78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2026e</w:t>
            </w:r>
          </w:p>
        </w:tc>
        <w:tc>
          <w:tcPr>
            <w:tcW w:type="dxa" w:w="93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58.658</w:t>
            </w:r>
          </w:p>
        </w:tc>
        <w:tc>
          <w:tcPr>
            <w:tcW w:type="dxa" w:w="72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3,5 %</w:t>
            </w:r>
          </w:p>
        </w:tc>
        <w:tc>
          <w:tcPr>
            <w:tcW w:type="dxa" w:w="88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22.759</w:t>
            </w:r>
          </w:p>
        </w:tc>
        <w:tc>
          <w:tcPr>
            <w:tcW w:type="dxa" w:w="83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38,8 %</w:t>
            </w:r>
          </w:p>
        </w:tc>
        <w:tc>
          <w:tcPr>
            <w:tcW w:type="dxa" w:w="78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5.572</w:t>
            </w:r>
          </w:p>
        </w:tc>
        <w:tc>
          <w:tcPr>
            <w:tcW w:type="dxa" w:w="83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2.836</w:t>
            </w:r>
          </w:p>
        </w:tc>
        <w:tc>
          <w:tcPr>
            <w:tcW w:type="dxa" w:w="78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5.866</w:t>
            </w:r>
          </w:p>
        </w:tc>
        <w:tc>
          <w:tcPr>
            <w:tcW w:type="dxa" w:w="72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155</w:t>
            </w:r>
          </w:p>
        </w:tc>
        <w:tc>
          <w:tcPr>
            <w:tcW w:type="dxa" w:w="83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13.903</w:t>
            </w:r>
          </w:p>
        </w:tc>
        <w:tc>
          <w:tcPr>
            <w:tcW w:type="dxa" w:w="72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0,21</w:t>
            </w:r>
          </w:p>
        </w:tc>
        <w:tc>
          <w:tcPr>
            <w:tcW w:type="dxa" w:w="78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2.944</w:t>
            </w:r>
          </w:p>
        </w:tc>
      </w:tr>
      <w:tr>
        <w:trPr>
          <w:cantSplit/>
        </w:trPr>
        <w:tc>
          <w:tcPr>
            <w:tcW w:type="dxa" w:w="78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2027e</w:t>
            </w:r>
          </w:p>
        </w:tc>
        <w:tc>
          <w:tcPr>
            <w:tcW w:type="dxa" w:w="93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61.884</w:t>
            </w:r>
          </w:p>
        </w:tc>
        <w:tc>
          <w:tcPr>
            <w:tcW w:type="dxa" w:w="72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5,5 %</w:t>
            </w:r>
          </w:p>
        </w:tc>
        <w:tc>
          <w:tcPr>
            <w:tcW w:type="dxa" w:w="88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24.754</w:t>
            </w:r>
          </w:p>
        </w:tc>
        <w:tc>
          <w:tcPr>
            <w:tcW w:type="dxa" w:w="83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40,0 %</w:t>
            </w:r>
          </w:p>
        </w:tc>
        <w:tc>
          <w:tcPr>
            <w:tcW w:type="dxa" w:w="78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5.879</w:t>
            </w:r>
          </w:p>
        </w:tc>
        <w:tc>
          <w:tcPr>
            <w:tcW w:type="dxa" w:w="83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3.114</w:t>
            </w:r>
          </w:p>
        </w:tc>
        <w:tc>
          <w:tcPr>
            <w:tcW w:type="dxa" w:w="78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6.188</w:t>
            </w:r>
          </w:p>
        </w:tc>
        <w:tc>
          <w:tcPr>
            <w:tcW w:type="dxa" w:w="72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500</w:t>
            </w:r>
          </w:p>
        </w:tc>
        <w:tc>
          <w:tcPr>
            <w:tcW w:type="dxa" w:w="83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14.951</w:t>
            </w:r>
          </w:p>
        </w:tc>
        <w:tc>
          <w:tcPr>
            <w:tcW w:type="dxa" w:w="72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1,00</w:t>
            </w:r>
          </w:p>
        </w:tc>
        <w:tc>
          <w:tcPr>
            <w:tcW w:type="dxa" w:w="78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14.129</w:t>
            </w:r>
          </w:p>
        </w:tc>
      </w:tr>
      <w:tr>
        <w:trPr>
          <w:cantSplit/>
        </w:trPr>
        <w:tc>
          <w:tcPr>
            <w:tcW w:type="dxa" w:w="78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2028e</w:t>
            </w:r>
          </w:p>
        </w:tc>
        <w:tc>
          <w:tcPr>
            <w:tcW w:type="dxa" w:w="93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65.287</w:t>
            </w:r>
          </w:p>
        </w:tc>
        <w:tc>
          <w:tcPr>
            <w:tcW w:type="dxa" w:w="72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5,5 %</w:t>
            </w:r>
          </w:p>
        </w:tc>
        <w:tc>
          <w:tcPr>
            <w:tcW w:type="dxa" w:w="88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26.768</w:t>
            </w:r>
          </w:p>
        </w:tc>
        <w:tc>
          <w:tcPr>
            <w:tcW w:type="dxa" w:w="83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41,0 %</w:t>
            </w:r>
          </w:p>
        </w:tc>
        <w:tc>
          <w:tcPr>
            <w:tcW w:type="dxa" w:w="78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6.202</w:t>
            </w:r>
          </w:p>
        </w:tc>
        <w:tc>
          <w:tcPr>
            <w:tcW w:type="dxa" w:w="83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3.393</w:t>
            </w:r>
          </w:p>
        </w:tc>
        <w:tc>
          <w:tcPr>
            <w:tcW w:type="dxa" w:w="78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6.529</w:t>
            </w:r>
          </w:p>
        </w:tc>
        <w:tc>
          <w:tcPr>
            <w:tcW w:type="dxa" w:w="72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528</w:t>
            </w:r>
          </w:p>
        </w:tc>
        <w:tc>
          <w:tcPr>
            <w:tcW w:type="dxa" w:w="83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16.318</w:t>
            </w:r>
          </w:p>
        </w:tc>
        <w:tc>
          <w:tcPr>
            <w:tcW w:type="dxa" w:w="72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1,00</w:t>
            </w:r>
          </w:p>
        </w:tc>
        <w:tc>
          <w:tcPr>
            <w:tcW w:type="dxa" w:w="78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14.269</w:t>
            </w:r>
          </w:p>
        </w:tc>
      </w:tr>
      <w:tr>
        <w:trPr>
          <w:cantSplit/>
        </w:trPr>
        <w:tc>
          <w:tcPr>
            <w:tcW w:type="dxa" w:w="78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2029e</w:t>
            </w:r>
          </w:p>
        </w:tc>
        <w:tc>
          <w:tcPr>
            <w:tcW w:type="dxa" w:w="93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68.552</w:t>
            </w:r>
          </w:p>
        </w:tc>
        <w:tc>
          <w:tcPr>
            <w:tcW w:type="dxa" w:w="72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5,0 %</w:t>
            </w:r>
          </w:p>
        </w:tc>
        <w:tc>
          <w:tcPr>
            <w:tcW w:type="dxa" w:w="88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28.449</w:t>
            </w:r>
          </w:p>
        </w:tc>
        <w:tc>
          <w:tcPr>
            <w:tcW w:type="dxa" w:w="83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41,5 %</w:t>
            </w:r>
          </w:p>
        </w:tc>
        <w:tc>
          <w:tcPr>
            <w:tcW w:type="dxa" w:w="78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6.512</w:t>
            </w:r>
          </w:p>
        </w:tc>
        <w:tc>
          <w:tcPr>
            <w:tcW w:type="dxa" w:w="83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3.620</w:t>
            </w:r>
          </w:p>
        </w:tc>
        <w:tc>
          <w:tcPr>
            <w:tcW w:type="dxa" w:w="78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6.855</w:t>
            </w:r>
          </w:p>
        </w:tc>
        <w:tc>
          <w:tcPr>
            <w:tcW w:type="dxa" w:w="72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506</w:t>
            </w:r>
          </w:p>
        </w:tc>
        <w:tc>
          <w:tcPr>
            <w:tcW w:type="dxa" w:w="83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17.468</w:t>
            </w:r>
          </w:p>
        </w:tc>
        <w:tc>
          <w:tcPr>
            <w:tcW w:type="dxa" w:w="72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1,00</w:t>
            </w:r>
          </w:p>
        </w:tc>
        <w:tc>
          <w:tcPr>
            <w:tcW w:type="dxa" w:w="78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14.115</w:t>
            </w:r>
          </w:p>
        </w:tc>
      </w:tr>
      <w:tr>
        <w:trPr>
          <w:cantSplit/>
        </w:trPr>
        <w:tc>
          <w:tcPr>
            <w:tcW w:type="dxa" w:w="78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2030e</w:t>
            </w:r>
          </w:p>
        </w:tc>
        <w:tc>
          <w:tcPr>
            <w:tcW w:type="dxa" w:w="93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71.637</w:t>
            </w:r>
          </w:p>
        </w:tc>
        <w:tc>
          <w:tcPr>
            <w:tcW w:type="dxa" w:w="72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4,5 %</w:t>
            </w:r>
          </w:p>
        </w:tc>
        <w:tc>
          <w:tcPr>
            <w:tcW w:type="dxa" w:w="88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29.729</w:t>
            </w:r>
          </w:p>
        </w:tc>
        <w:tc>
          <w:tcPr>
            <w:tcW w:type="dxa" w:w="83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41,5 %</w:t>
            </w:r>
          </w:p>
        </w:tc>
        <w:tc>
          <w:tcPr>
            <w:tcW w:type="dxa" w:w="78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6.805</w:t>
            </w:r>
          </w:p>
        </w:tc>
        <w:tc>
          <w:tcPr>
            <w:tcW w:type="dxa" w:w="83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3.782</w:t>
            </w:r>
          </w:p>
        </w:tc>
        <w:tc>
          <w:tcPr>
            <w:tcW w:type="dxa" w:w="78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7.164</w:t>
            </w:r>
          </w:p>
        </w:tc>
        <w:tc>
          <w:tcPr>
            <w:tcW w:type="dxa" w:w="72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478</w:t>
            </w:r>
          </w:p>
        </w:tc>
        <w:tc>
          <w:tcPr>
            <w:tcW w:type="dxa" w:w="83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18.305</w:t>
            </w:r>
          </w:p>
        </w:tc>
        <w:tc>
          <w:tcPr>
            <w:tcW w:type="dxa" w:w="72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1,00</w:t>
            </w:r>
          </w:p>
        </w:tc>
        <w:tc>
          <w:tcPr>
            <w:tcW w:type="dxa" w:w="78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13.679</w:t>
            </w:r>
          </w:p>
        </w:tc>
      </w:tr>
      <w:tr>
        <w:trPr>
          <w:cantSplit/>
        </w:trPr>
        <w:tc>
          <w:tcPr>
            <w:tcW w:type="dxa" w:w="78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2031e</w:t>
            </w:r>
          </w:p>
        </w:tc>
        <w:tc>
          <w:tcPr>
            <w:tcW w:type="dxa" w:w="93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71.637</w:t>
            </w:r>
          </w:p>
        </w:tc>
        <w:tc>
          <w:tcPr>
            <w:tcW w:type="dxa" w:w="72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0,0 %</w:t>
            </w:r>
          </w:p>
        </w:tc>
        <w:tc>
          <w:tcPr>
            <w:tcW w:type="dxa" w:w="88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28.655</w:t>
            </w:r>
          </w:p>
        </w:tc>
        <w:tc>
          <w:tcPr>
            <w:tcW w:type="dxa" w:w="83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40,0 %</w:t>
            </w:r>
          </w:p>
        </w:tc>
        <w:tc>
          <w:tcPr>
            <w:tcW w:type="dxa" w:w="78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6.805</w:t>
            </w:r>
          </w:p>
        </w:tc>
        <w:tc>
          <w:tcPr>
            <w:tcW w:type="dxa" w:w="83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3.605</w:t>
            </w:r>
          </w:p>
        </w:tc>
        <w:tc>
          <w:tcPr>
            <w:tcW w:type="dxa" w:w="78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6.805</w:t>
            </w:r>
          </w:p>
        </w:tc>
        <w:tc>
          <w:tcPr>
            <w:tcW w:type="dxa" w:w="72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0</w:t>
            </w:r>
          </w:p>
        </w:tc>
        <w:tc>
          <w:tcPr>
            <w:tcW w:type="dxa" w:w="83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18.244</w:t>
            </w:r>
          </w:p>
        </w:tc>
        <w:tc>
          <w:tcPr>
            <w:tcW w:type="dxa" w:w="72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1,00</w:t>
            </w:r>
          </w:p>
        </w:tc>
        <w:tc>
          <w:tcPr>
            <w:tcW w:type="dxa" w:w="78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12.608</w:t>
            </w:r>
          </w:p>
        </w:tc>
      </w:tr>
      <w:tr>
        <w:trPr>
          <w:cantSplit/>
        </w:trPr>
        <w:tc>
          <w:tcPr>
            <w:tcW w:type="dxa" w:w="78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2032e</w:t>
            </w:r>
          </w:p>
        </w:tc>
        <w:tc>
          <w:tcPr>
            <w:tcW w:type="dxa" w:w="93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70.204</w:t>
            </w:r>
          </w:p>
        </w:tc>
        <w:tc>
          <w:tcPr>
            <w:tcW w:type="dxa" w:w="72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-2,0 %</w:t>
            </w:r>
          </w:p>
        </w:tc>
        <w:tc>
          <w:tcPr>
            <w:tcW w:type="dxa" w:w="88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27.028</w:t>
            </w:r>
          </w:p>
        </w:tc>
        <w:tc>
          <w:tcPr>
            <w:tcW w:type="dxa" w:w="83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38,5 %</w:t>
            </w:r>
          </w:p>
        </w:tc>
        <w:tc>
          <w:tcPr>
            <w:tcW w:type="dxa" w:w="78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6.669</w:t>
            </w:r>
          </w:p>
        </w:tc>
        <w:tc>
          <w:tcPr>
            <w:tcW w:type="dxa" w:w="83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3.359</w:t>
            </w:r>
          </w:p>
        </w:tc>
        <w:tc>
          <w:tcPr>
            <w:tcW w:type="dxa" w:w="78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6.669</w:t>
            </w:r>
          </w:p>
        </w:tc>
        <w:tc>
          <w:tcPr>
            <w:tcW w:type="dxa" w:w="72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-222</w:t>
            </w:r>
          </w:p>
        </w:tc>
        <w:tc>
          <w:tcPr>
            <w:tcW w:type="dxa" w:w="83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17.222</w:t>
            </w:r>
          </w:p>
        </w:tc>
        <w:tc>
          <w:tcPr>
            <w:tcW w:type="dxa" w:w="72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1,00</w:t>
            </w:r>
          </w:p>
        </w:tc>
        <w:tc>
          <w:tcPr>
            <w:tcW w:type="dxa" w:w="78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11.012</w:t>
            </w:r>
          </w:p>
        </w:tc>
      </w:tr>
      <w:tr>
        <w:trPr>
          <w:cantSplit/>
        </w:trPr>
        <w:tc>
          <w:tcPr>
            <w:tcW w:type="dxa" w:w="78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2033e</w:t>
            </w:r>
          </w:p>
        </w:tc>
        <w:tc>
          <w:tcPr>
            <w:tcW w:type="dxa" w:w="93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70.906</w:t>
            </w:r>
          </w:p>
        </w:tc>
        <w:tc>
          <w:tcPr>
            <w:tcW w:type="dxa" w:w="72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1,0 %</w:t>
            </w:r>
          </w:p>
        </w:tc>
        <w:tc>
          <w:tcPr>
            <w:tcW w:type="dxa" w:w="88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26.944</w:t>
            </w:r>
          </w:p>
        </w:tc>
        <w:tc>
          <w:tcPr>
            <w:tcW w:type="dxa" w:w="83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38,0 %</w:t>
            </w:r>
          </w:p>
        </w:tc>
        <w:tc>
          <w:tcPr>
            <w:tcW w:type="dxa" w:w="78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6.736</w:t>
            </w:r>
          </w:p>
        </w:tc>
        <w:tc>
          <w:tcPr>
            <w:tcW w:type="dxa" w:w="83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3.334</w:t>
            </w:r>
          </w:p>
        </w:tc>
        <w:tc>
          <w:tcPr>
            <w:tcW w:type="dxa" w:w="78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6.736</w:t>
            </w:r>
          </w:p>
        </w:tc>
        <w:tc>
          <w:tcPr>
            <w:tcW w:type="dxa" w:w="72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109</w:t>
            </w:r>
          </w:p>
        </w:tc>
        <w:tc>
          <w:tcPr>
            <w:tcW w:type="dxa" w:w="83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16.765</w:t>
            </w:r>
          </w:p>
        </w:tc>
        <w:tc>
          <w:tcPr>
            <w:tcW w:type="dxa" w:w="72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1,00</w:t>
            </w:r>
          </w:p>
        </w:tc>
        <w:tc>
          <w:tcPr>
            <w:tcW w:type="dxa" w:w="78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9.906</w:t>
            </w:r>
          </w:p>
        </w:tc>
      </w:tr>
      <w:tr>
        <w:trPr>
          <w:cantSplit/>
        </w:trPr>
        <w:tc>
          <w:tcPr>
            <w:tcW w:type="dxa" w:w="78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2034e</w:t>
            </w:r>
          </w:p>
        </w:tc>
        <w:tc>
          <w:tcPr>
            <w:tcW w:type="dxa" w:w="93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72.324</w:t>
            </w:r>
          </w:p>
        </w:tc>
        <w:tc>
          <w:tcPr>
            <w:tcW w:type="dxa" w:w="72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2,0 %</w:t>
            </w:r>
          </w:p>
        </w:tc>
        <w:tc>
          <w:tcPr>
            <w:tcW w:type="dxa" w:w="88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27.483</w:t>
            </w:r>
          </w:p>
        </w:tc>
        <w:tc>
          <w:tcPr>
            <w:tcW w:type="dxa" w:w="83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38,0 %</w:t>
            </w:r>
          </w:p>
        </w:tc>
        <w:tc>
          <w:tcPr>
            <w:tcW w:type="dxa" w:w="78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6.871</w:t>
            </w:r>
          </w:p>
        </w:tc>
        <w:tc>
          <w:tcPr>
            <w:tcW w:type="dxa" w:w="83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3.401</w:t>
            </w:r>
          </w:p>
        </w:tc>
        <w:tc>
          <w:tcPr>
            <w:tcW w:type="dxa" w:w="78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6.871</w:t>
            </w:r>
          </w:p>
        </w:tc>
        <w:tc>
          <w:tcPr>
            <w:tcW w:type="dxa" w:w="72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220</w:t>
            </w:r>
          </w:p>
        </w:tc>
        <w:tc>
          <w:tcPr>
            <w:tcW w:type="dxa" w:w="83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16.991</w:t>
            </w:r>
          </w:p>
        </w:tc>
        <w:tc>
          <w:tcPr>
            <w:tcW w:type="dxa" w:w="72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1,00</w:t>
            </w:r>
          </w:p>
        </w:tc>
        <w:tc>
          <w:tcPr>
            <w:tcW w:type="dxa" w:w="78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9.285</w:t>
            </w:r>
          </w:p>
        </w:tc>
      </w:tr>
      <w:tr>
        <w:trPr>
          <w:cantSplit/>
        </w:trPr>
        <w:tc>
          <w:tcPr>
            <w:tcW w:type="dxa" w:w="781"/>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2035e</w:t>
            </w:r>
          </w:p>
        </w:tc>
        <w:tc>
          <w:tcPr>
            <w:tcW w:type="dxa" w:w="93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73.770</w:t>
            </w:r>
          </w:p>
        </w:tc>
        <w:tc>
          <w:tcPr>
            <w:tcW w:type="dxa" w:w="729"/>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2,0 %</w:t>
            </w:r>
          </w:p>
        </w:tc>
        <w:tc>
          <w:tcPr>
            <w:tcW w:type="dxa" w:w="885"/>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28.033</w:t>
            </w:r>
          </w:p>
        </w:tc>
        <w:tc>
          <w:tcPr>
            <w:tcW w:type="dxa" w:w="83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38,0 %</w:t>
            </w:r>
          </w:p>
        </w:tc>
        <w:tc>
          <w:tcPr>
            <w:tcW w:type="dxa" w:w="781"/>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7.008</w:t>
            </w:r>
          </w:p>
        </w:tc>
        <w:tc>
          <w:tcPr>
            <w:tcW w:type="dxa" w:w="83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3.469</w:t>
            </w:r>
          </w:p>
        </w:tc>
        <w:tc>
          <w:tcPr>
            <w:tcW w:type="dxa" w:w="781"/>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7.008</w:t>
            </w:r>
          </w:p>
        </w:tc>
        <w:tc>
          <w:tcPr>
            <w:tcW w:type="dxa" w:w="729"/>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224</w:t>
            </w:r>
          </w:p>
        </w:tc>
        <w:tc>
          <w:tcPr>
            <w:tcW w:type="dxa" w:w="83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17.331</w:t>
            </w:r>
          </w:p>
        </w:tc>
        <w:tc>
          <w:tcPr>
            <w:tcW w:type="dxa" w:w="729"/>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1,00</w:t>
            </w:r>
          </w:p>
        </w:tc>
        <w:tc>
          <w:tcPr>
            <w:tcW w:type="dxa" w:w="78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8.758</w:t>
            </w:r>
          </w:p>
        </w:tc>
      </w:tr>
    </w:tbl>
    <w:p>
      <w:pPr>
        <w:spacing w:after="160" w:before="0"/>
      </w:pPr>
    </w:p>
    <w:p>
      <w:pPr>
        <w:pStyle w:val="Nota"/>
        <w:spacing w:after="100"/>
      </w:pPr>
      <w:r>
        <w:t xml:space="preserve">FCFF = EBIT × (1 − t) + amortizaciones − capex − variación del circulante. «Fracción» es la parte del ejercicio que queda por delante desde la fecha de valoración; VA, el valor actual.</w:t>
      </w:r>
    </w:p>
    <w:p>
      <w:pPr>
        <w:keepNext w:val="false"/>
        <w:spacing w:after="160" w:before="120"/>
        <w:jc w:val="center"/>
      </w:pPr>
      <w:r>
        <w:drawing>
          <wp:inline xmlns:wp="http://schemas.openxmlformats.org/drawingml/2006/wordprocessingDrawing" distT="0" distB="0" distL="0" distR="0">
            <wp:extent cx="5760000" cy="2160000"/>
            <wp:effectExtent l="0" t="0" r="0" b="0"/>
            <wp:docPr id="1016" name="Gráfico 16" descr="Flujo de caja libre para la empresa proyectado (USD, millones)"/>
            <wp:cNvGraphicFramePr/>
            <a:graphic xmlns:a="http://schemas.openxmlformats.org/drawingml/2006/main">
              <a:graphicData uri="http://schemas.openxmlformats.org/drawingml/2006/chart">
                <c:chart xmlns:c="http://schemas.openxmlformats.org/drawingml/2006/chart" xmlns:r="http://schemas.openxmlformats.org/officeDocument/2006/relationships" r:id="rIdGrafico16"/>
              </a:graphicData>
            </a:graphic>
          </wp:inline>
        </w:drawing>
      </w:r>
    </w:p>
    <w:p>
      <w:pPr>
        <w:pStyle w:val="Heading2"/>
      </w:pPr>
      <w:r>
        <w:t xml:space="preserve">Valor terminal</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7139"/>
        <w:gridCol w:w="2499"/>
      </w:tblGrid>
      <w:tr>
        <w:trPr>
          <w:cantSplit/>
          <w:tblHeader/>
        </w:trPr>
        <w:tc>
          <w:tcPr>
            <w:tcW w:type="dxa" w:w="7139"/>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Concepto</w:t>
            </w:r>
          </w:p>
        </w:tc>
        <w:tc>
          <w:tcPr>
            <w:tcW w:type="dxa" w:w="2499"/>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Valor</w:t>
            </w:r>
          </w:p>
        </w:tc>
      </w:tr>
      <w:tr>
        <w:trPr>
          <w:cantSplit/>
        </w:trPr>
        <w:tc>
          <w:tcPr>
            <w:tcW w:type="dxa" w:w="713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Método principal</w:t>
            </w:r>
          </w:p>
        </w:tc>
        <w:tc>
          <w:tcPr>
            <w:tcW w:type="dxa" w:w="249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Crecimiento a perpetuidad</w:t>
            </w:r>
          </w:p>
        </w:tc>
      </w:tr>
      <w:tr>
        <w:trPr>
          <w:cantSplit/>
        </w:trPr>
        <w:tc>
          <w:tcPr>
            <w:tcW w:type="dxa" w:w="713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Crecimiento a perpetuidad</w:t>
            </w:r>
          </w:p>
        </w:tc>
        <w:tc>
          <w:tcPr>
            <w:tcW w:type="dxa" w:w="249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2,0 %</w:t>
            </w:r>
          </w:p>
        </w:tc>
      </w:tr>
      <w:tr>
        <w:trPr>
          <w:cantSplit/>
        </w:trPr>
        <w:tc>
          <w:tcPr>
            <w:tcW w:type="dxa" w:w="713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Múltiplo EV/EBITDA de salida</w:t>
            </w:r>
          </w:p>
        </w:tc>
        <w:tc>
          <w:tcPr>
            <w:tcW w:type="dxa" w:w="249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12,0x</w:t>
            </w:r>
          </w:p>
        </w:tc>
      </w:tr>
      <w:tr>
        <w:trPr>
          <w:cantSplit/>
        </w:trPr>
        <w:tc>
          <w:tcPr>
            <w:tcW w:type="dxa" w:w="713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Valor terminal (Gordon)</w:t>
            </w:r>
          </w:p>
        </w:tc>
        <w:tc>
          <w:tcPr>
            <w:tcW w:type="dxa" w:w="249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287.909</w:t>
            </w:r>
          </w:p>
        </w:tc>
      </w:tr>
      <w:tr>
        <w:trPr>
          <w:cantSplit/>
        </w:trPr>
        <w:tc>
          <w:tcPr>
            <w:tcW w:type="dxa" w:w="713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Valor terminal (múltiplo)</w:t>
            </w:r>
          </w:p>
        </w:tc>
        <w:tc>
          <w:tcPr>
            <w:tcW w:type="dxa" w:w="249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336.393</w:t>
            </w:r>
          </w:p>
        </w:tc>
      </w:tr>
      <w:tr>
        <w:trPr>
          <w:cantSplit/>
        </w:trPr>
        <w:tc>
          <w:tcPr>
            <w:tcW w:type="dxa" w:w="713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Múltiplo de salida implícito en Gordon</w:t>
            </w:r>
          </w:p>
        </w:tc>
        <w:tc>
          <w:tcPr>
            <w:tcW w:type="dxa" w:w="249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10,3x</w:t>
            </w:r>
          </w:p>
        </w:tc>
      </w:tr>
      <w:tr>
        <w:trPr>
          <w:cantSplit/>
        </w:trPr>
        <w:tc>
          <w:tcPr>
            <w:tcW w:type="dxa" w:w="713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Crecimiento implícito en el múltiplo</w:t>
            </w:r>
          </w:p>
        </w:tc>
        <w:tc>
          <w:tcPr>
            <w:tcW w:type="dxa" w:w="249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2,84 %</w:t>
            </w:r>
          </w:p>
        </w:tc>
      </w:tr>
      <w:tr>
        <w:trPr>
          <w:cantSplit/>
        </w:trPr>
        <w:tc>
          <w:tcPr>
            <w:tcW w:type="dxa" w:w="7139"/>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Peso del valor terminal en el valor empresa</w:t>
            </w:r>
          </w:p>
        </w:tc>
        <w:tc>
          <w:tcPr>
            <w:tcW w:type="dxa" w:w="2499"/>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56 %</w:t>
            </w:r>
          </w:p>
        </w:tc>
      </w:tr>
    </w:tbl>
    <w:p>
      <w:pPr>
        <w:spacing w:after="160" w:before="0"/>
      </w:pPr>
    </w:p>
    <w:p>
      <w:pPr>
        <w:pStyle w:val="Heading2"/>
      </w:pPr>
      <w:r>
        <w:t xml:space="preserve">Del valor empresa al valor por acción</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7139"/>
        <w:gridCol w:w="2499"/>
      </w:tblGrid>
      <w:tr>
        <w:trPr>
          <w:cantSplit/>
          <w:tblHeader/>
        </w:trPr>
        <w:tc>
          <w:tcPr>
            <w:tcW w:type="dxa" w:w="7139"/>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Concepto</w:t>
            </w:r>
          </w:p>
        </w:tc>
        <w:tc>
          <w:tcPr>
            <w:tcW w:type="dxa" w:w="2499"/>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Importe</w:t>
            </w:r>
          </w:p>
        </w:tc>
      </w:tr>
      <w:tr>
        <w:trPr>
          <w:cantSplit/>
        </w:trPr>
        <w:tc>
          <w:tcPr>
            <w:tcW w:type="dxa" w:w="713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Valor actual de los flujos proyectados</w:t>
            </w:r>
          </w:p>
        </w:tc>
        <w:tc>
          <w:tcPr>
            <w:tcW w:type="dxa" w:w="249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110.705</w:t>
            </w:r>
          </w:p>
        </w:tc>
      </w:tr>
      <w:tr>
        <w:trPr>
          <w:cantSplit/>
        </w:trPr>
        <w:tc>
          <w:tcPr>
            <w:tcW w:type="dxa" w:w="713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Valor actual del valor terminal</w:t>
            </w:r>
          </w:p>
        </w:tc>
        <w:tc>
          <w:tcPr>
            <w:tcW w:type="dxa" w:w="249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140.003</w:t>
            </w:r>
          </w:p>
        </w:tc>
      </w:tr>
      <w:tr>
        <w:trPr>
          <w:cantSplit/>
        </w:trPr>
        <w:tc>
          <w:tcPr>
            <w:tcW w:type="dxa" w:w="713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Valor empresa</w:t>
            </w:r>
          </w:p>
        </w:tc>
        <w:tc>
          <w:tcPr>
            <w:tcW w:type="dxa" w:w="249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250.708</w:t>
            </w:r>
          </w:p>
        </w:tc>
      </w:tr>
      <w:tr>
        <w:trPr>
          <w:cantSplit/>
        </w:trPr>
        <w:tc>
          <w:tcPr>
            <w:tcW w:type="dxa" w:w="713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 Deuda financiera neta (con arrendamientos)</w:t>
            </w:r>
          </w:p>
        </w:tc>
        <w:tc>
          <w:tcPr>
            <w:tcW w:type="dxa" w:w="249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-39.400</w:t>
            </w:r>
          </w:p>
        </w:tc>
      </w:tr>
      <w:tr>
        <w:trPr>
          <w:cantSplit/>
        </w:trPr>
        <w:tc>
          <w:tcPr>
            <w:tcW w:type="dxa" w:w="713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 Minoritarios, pensiones y otros; + asociadas</w:t>
            </w:r>
          </w:p>
        </w:tc>
        <w:tc>
          <w:tcPr>
            <w:tcW w:type="dxa" w:w="249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-100</w:t>
            </w:r>
          </w:p>
        </w:tc>
      </w:tr>
      <w:tr>
        <w:trPr>
          <w:cantSplit/>
        </w:trPr>
        <w:tc>
          <w:tcPr>
            <w:tcW w:type="dxa" w:w="713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Valor de los fondos propios</w:t>
            </w:r>
          </w:p>
        </w:tc>
        <w:tc>
          <w:tcPr>
            <w:tcW w:type="dxa" w:w="249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211.208</w:t>
            </w:r>
          </w:p>
        </w:tc>
      </w:tr>
      <w:tr>
        <w:trPr>
          <w:cantSplit/>
        </w:trPr>
        <w:tc>
          <w:tcPr>
            <w:tcW w:type="dxa" w:w="713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Acciones diluidas (millones)</w:t>
            </w:r>
          </w:p>
        </w:tc>
        <w:tc>
          <w:tcPr>
            <w:tcW w:type="dxa" w:w="249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1.923,0</w:t>
            </w:r>
          </w:p>
        </w:tc>
      </w:tr>
      <w:tr>
        <w:trPr>
          <w:cantSplit/>
        </w:trPr>
        <w:tc>
          <w:tcPr>
            <w:tcW w:type="dxa" w:w="7139"/>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Valor por acción</w:t>
            </w:r>
          </w:p>
        </w:tc>
        <w:tc>
          <w:tcPr>
            <w:tcW w:type="dxa" w:w="2499"/>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109,83</w:t>
            </w:r>
          </w:p>
        </w:tc>
      </w:tr>
    </w:tbl>
    <w:p>
      <w:pPr>
        <w:spacing w:after="160" w:before="0"/>
      </w:pPr>
    </w:p>
    <w:p>
      <w:pPr>
        <w:keepNext w:val="false"/>
        <w:spacing w:after="160" w:before="120"/>
        <w:jc w:val="center"/>
      </w:pPr>
      <w:r>
        <w:drawing>
          <wp:inline xmlns:wp="http://schemas.openxmlformats.org/drawingml/2006/wordprocessingDrawing" distT="0" distB="0" distL="0" distR="0">
            <wp:extent cx="5760000" cy="2160000"/>
            <wp:effectExtent l="0" t="0" r="0" b="0"/>
            <wp:docPr id="1017" name="Gráfico 17" descr="De dónde sale el valor empresa del DCF (USD, millones)"/>
            <wp:cNvGraphicFramePr/>
            <a:graphic xmlns:a="http://schemas.openxmlformats.org/drawingml/2006/main">
              <a:graphicData uri="http://schemas.openxmlformats.org/drawingml/2006/chart">
                <c:chart xmlns:c="http://schemas.openxmlformats.org/drawingml/2006/chart" xmlns:r="http://schemas.openxmlformats.org/officeDocument/2006/relationships" r:id="rIdGrafico17"/>
              </a:graphicData>
            </a:graphic>
          </wp:inline>
        </w:drawing>
      </w:r>
    </w:p>
    <w:p>
      <w:pPr>
        <w:pStyle w:val="Heading2"/>
      </w:pPr>
      <w:r>
        <w:t xml:space="preserve">Sensibilidad: WACC × Crecimiento a perpetuidad</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1606"/>
        <w:gridCol w:w="1606"/>
        <w:gridCol w:w="1606"/>
        <w:gridCol w:w="1606"/>
        <w:gridCol w:w="1606"/>
        <w:gridCol w:w="1608"/>
      </w:tblGrid>
      <w:tr>
        <w:trPr>
          <w:cantSplit/>
          <w:tblHeader/>
        </w:trPr>
        <w:tc>
          <w:tcPr>
            <w:tcW w:type="dxa" w:w="1606"/>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WACC</w:t>
            </w:r>
          </w:p>
        </w:tc>
        <w:tc>
          <w:tcPr>
            <w:tcW w:type="dxa" w:w="1606"/>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1,0 %</w:t>
            </w:r>
          </w:p>
        </w:tc>
        <w:tc>
          <w:tcPr>
            <w:tcW w:type="dxa" w:w="1606"/>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1,5 %</w:t>
            </w:r>
          </w:p>
        </w:tc>
        <w:tc>
          <w:tcPr>
            <w:tcW w:type="dxa" w:w="1606"/>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2,0 %</w:t>
            </w:r>
          </w:p>
        </w:tc>
        <w:tc>
          <w:tcPr>
            <w:tcW w:type="dxa" w:w="1606"/>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2,5 %</w:t>
            </w:r>
          </w:p>
        </w:tc>
        <w:tc>
          <w:tcPr>
            <w:tcW w:type="dxa" w:w="1608"/>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3,0 %</w:t>
            </w:r>
          </w:p>
        </w:tc>
      </w:tr>
      <w:tr>
        <w:trPr>
          <w:cantSplit/>
        </w:trPr>
        <w:tc>
          <w:tcPr>
            <w:tcW w:type="dxa" w:w="16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7,1 %</w:t>
            </w:r>
          </w:p>
        </w:tc>
        <w:tc>
          <w:tcPr>
            <w:tcW w:type="dxa" w:w="16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117,85</w:t>
            </w:r>
          </w:p>
        </w:tc>
        <w:tc>
          <w:tcPr>
            <w:tcW w:type="dxa" w:w="16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125,23</w:t>
            </w:r>
          </w:p>
        </w:tc>
        <w:tc>
          <w:tcPr>
            <w:tcW w:type="dxa" w:w="16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134,05</w:t>
            </w:r>
          </w:p>
        </w:tc>
        <w:tc>
          <w:tcPr>
            <w:tcW w:type="dxa" w:w="16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144,78</w:t>
            </w:r>
          </w:p>
        </w:tc>
        <w:tc>
          <w:tcPr>
            <w:tcW w:type="dxa" w:w="160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158,09</w:t>
            </w:r>
          </w:p>
        </w:tc>
      </w:tr>
      <w:tr>
        <w:trPr>
          <w:cantSplit/>
        </w:trPr>
        <w:tc>
          <w:tcPr>
            <w:tcW w:type="dxa" w:w="16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7,6 %</w:t>
            </w:r>
          </w:p>
        </w:tc>
        <w:tc>
          <w:tcPr>
            <w:tcW w:type="dxa" w:w="16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107,72</w:t>
            </w:r>
          </w:p>
        </w:tc>
        <w:tc>
          <w:tcPr>
            <w:tcW w:type="dxa" w:w="16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113,76</w:t>
            </w:r>
          </w:p>
        </w:tc>
        <w:tc>
          <w:tcPr>
            <w:tcW w:type="dxa" w:w="16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120,87</w:t>
            </w:r>
          </w:p>
        </w:tc>
        <w:tc>
          <w:tcPr>
            <w:tcW w:type="dxa" w:w="16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129,36</w:t>
            </w:r>
          </w:p>
        </w:tc>
        <w:tc>
          <w:tcPr>
            <w:tcW w:type="dxa" w:w="160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139,68</w:t>
            </w:r>
          </w:p>
        </w:tc>
      </w:tr>
      <w:tr>
        <w:trPr>
          <w:cantSplit/>
        </w:trPr>
        <w:tc>
          <w:tcPr>
            <w:tcW w:type="dxa" w:w="16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8,1 %</w:t>
            </w:r>
          </w:p>
        </w:tc>
        <w:tc>
          <w:tcPr>
            <w:tcW w:type="dxa" w:w="16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99,02</w:t>
            </w:r>
          </w:p>
        </w:tc>
        <w:tc>
          <w:tcPr>
            <w:tcW w:type="dxa" w:w="16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104,02</w:t>
            </w:r>
          </w:p>
        </w:tc>
        <w:tc>
          <w:tcPr>
            <w:tcW w:type="dxa" w:w="16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109,83</w:t>
            </w:r>
          </w:p>
        </w:tc>
        <w:tc>
          <w:tcPr>
            <w:tcW w:type="dxa" w:w="16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116,68</w:t>
            </w:r>
          </w:p>
        </w:tc>
        <w:tc>
          <w:tcPr>
            <w:tcW w:type="dxa" w:w="160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124,85</w:t>
            </w:r>
          </w:p>
        </w:tc>
      </w:tr>
      <w:tr>
        <w:trPr>
          <w:cantSplit/>
        </w:trPr>
        <w:tc>
          <w:tcPr>
            <w:tcW w:type="dxa" w:w="16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8,6 %</w:t>
            </w:r>
          </w:p>
        </w:tc>
        <w:tc>
          <w:tcPr>
            <w:tcW w:type="dxa" w:w="16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91,46</w:t>
            </w:r>
          </w:p>
        </w:tc>
        <w:tc>
          <w:tcPr>
            <w:tcW w:type="dxa" w:w="16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95,65</w:t>
            </w:r>
          </w:p>
        </w:tc>
        <w:tc>
          <w:tcPr>
            <w:tcW w:type="dxa" w:w="16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100,46</w:t>
            </w:r>
          </w:p>
        </w:tc>
        <w:tc>
          <w:tcPr>
            <w:tcW w:type="dxa" w:w="16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106,05</w:t>
            </w:r>
          </w:p>
        </w:tc>
        <w:tc>
          <w:tcPr>
            <w:tcW w:type="dxa" w:w="160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112,64</w:t>
            </w:r>
          </w:p>
        </w:tc>
      </w:tr>
      <w:tr>
        <w:trPr>
          <w:cantSplit/>
        </w:trPr>
        <w:tc>
          <w:tcPr>
            <w:tcW w:type="dxa" w:w="160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9,1 %</w:t>
            </w:r>
          </w:p>
        </w:tc>
        <w:tc>
          <w:tcPr>
            <w:tcW w:type="dxa" w:w="160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84,84</w:t>
            </w:r>
          </w:p>
        </w:tc>
        <w:tc>
          <w:tcPr>
            <w:tcW w:type="dxa" w:w="160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88,37</w:t>
            </w:r>
          </w:p>
        </w:tc>
        <w:tc>
          <w:tcPr>
            <w:tcW w:type="dxa" w:w="160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92,40</w:t>
            </w:r>
          </w:p>
        </w:tc>
        <w:tc>
          <w:tcPr>
            <w:tcW w:type="dxa" w:w="160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97,03</w:t>
            </w:r>
          </w:p>
        </w:tc>
        <w:tc>
          <w:tcPr>
            <w:tcW w:type="dxa" w:w="1608"/>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102,42</w:t>
            </w:r>
          </w:p>
        </w:tc>
      </w:tr>
    </w:tbl>
    <w:p>
      <w:pPr>
        <w:spacing w:after="160" w:before="0"/>
      </w:pPr>
    </w:p>
    <w:p>
      <w:pPr>
        <w:pStyle w:val="Heading2"/>
      </w:pPr>
      <w:r>
        <w:t xml:space="preserve">Sensibilidad: margen EBITDA × crecimiento de ingresos (desplazamiento de toda la proyección)</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1606"/>
        <w:gridCol w:w="1606"/>
        <w:gridCol w:w="1606"/>
        <w:gridCol w:w="1606"/>
        <w:gridCol w:w="1606"/>
        <w:gridCol w:w="1608"/>
      </w:tblGrid>
      <w:tr>
        <w:trPr>
          <w:cantSplit/>
          <w:tblHeader/>
        </w:trPr>
        <w:tc>
          <w:tcPr>
            <w:tcW w:type="dxa" w:w="1606"/>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Margen \ crec.</w:t>
            </w:r>
          </w:p>
        </w:tc>
        <w:tc>
          <w:tcPr>
            <w:tcW w:type="dxa" w:w="1606"/>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-2 pp</w:t>
            </w:r>
          </w:p>
        </w:tc>
        <w:tc>
          <w:tcPr>
            <w:tcW w:type="dxa" w:w="1606"/>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-1 pp</w:t>
            </w:r>
          </w:p>
        </w:tc>
        <w:tc>
          <w:tcPr>
            <w:tcW w:type="dxa" w:w="1606"/>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0 pp</w:t>
            </w:r>
          </w:p>
        </w:tc>
        <w:tc>
          <w:tcPr>
            <w:tcW w:type="dxa" w:w="1606"/>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+1 pp</w:t>
            </w:r>
          </w:p>
        </w:tc>
        <w:tc>
          <w:tcPr>
            <w:tcW w:type="dxa" w:w="1608"/>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+2 pp</w:t>
            </w:r>
          </w:p>
        </w:tc>
      </w:tr>
      <w:tr>
        <w:trPr>
          <w:cantSplit/>
        </w:trPr>
        <w:tc>
          <w:tcPr>
            <w:tcW w:type="dxa" w:w="16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-2 pp</w:t>
            </w:r>
          </w:p>
        </w:tc>
        <w:tc>
          <w:tcPr>
            <w:tcW w:type="dxa" w:w="16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86,90</w:t>
            </w:r>
          </w:p>
        </w:tc>
        <w:tc>
          <w:tcPr>
            <w:tcW w:type="dxa" w:w="16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93,65</w:t>
            </w:r>
          </w:p>
        </w:tc>
        <w:tc>
          <w:tcPr>
            <w:tcW w:type="dxa" w:w="16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100,86</w:t>
            </w:r>
          </w:p>
        </w:tc>
        <w:tc>
          <w:tcPr>
            <w:tcW w:type="dxa" w:w="16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108,54</w:t>
            </w:r>
          </w:p>
        </w:tc>
        <w:tc>
          <w:tcPr>
            <w:tcW w:type="dxa" w:w="160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116,72</w:t>
            </w:r>
          </w:p>
        </w:tc>
      </w:tr>
      <w:tr>
        <w:trPr>
          <w:cantSplit/>
        </w:trPr>
        <w:tc>
          <w:tcPr>
            <w:tcW w:type="dxa" w:w="16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-1 pp</w:t>
            </w:r>
          </w:p>
        </w:tc>
        <w:tc>
          <w:tcPr>
            <w:tcW w:type="dxa" w:w="16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90,81</w:t>
            </w:r>
          </w:p>
        </w:tc>
        <w:tc>
          <w:tcPr>
            <w:tcW w:type="dxa" w:w="16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97,84</w:t>
            </w:r>
          </w:p>
        </w:tc>
        <w:tc>
          <w:tcPr>
            <w:tcW w:type="dxa" w:w="16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105,34</w:t>
            </w:r>
          </w:p>
        </w:tc>
        <w:tc>
          <w:tcPr>
            <w:tcW w:type="dxa" w:w="16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113,35</w:t>
            </w:r>
          </w:p>
        </w:tc>
        <w:tc>
          <w:tcPr>
            <w:tcW w:type="dxa" w:w="160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121,88</w:t>
            </w:r>
          </w:p>
        </w:tc>
      </w:tr>
      <w:tr>
        <w:trPr>
          <w:cantSplit/>
        </w:trPr>
        <w:tc>
          <w:tcPr>
            <w:tcW w:type="dxa" w:w="16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0 pp</w:t>
            </w:r>
          </w:p>
        </w:tc>
        <w:tc>
          <w:tcPr>
            <w:tcW w:type="dxa" w:w="16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94,72</w:t>
            </w:r>
          </w:p>
        </w:tc>
        <w:tc>
          <w:tcPr>
            <w:tcW w:type="dxa" w:w="16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102,03</w:t>
            </w:r>
          </w:p>
        </w:tc>
        <w:tc>
          <w:tcPr>
            <w:tcW w:type="dxa" w:w="16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109,83</w:t>
            </w:r>
          </w:p>
        </w:tc>
        <w:tc>
          <w:tcPr>
            <w:tcW w:type="dxa" w:w="16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118,16</w:t>
            </w:r>
          </w:p>
        </w:tc>
        <w:tc>
          <w:tcPr>
            <w:tcW w:type="dxa" w:w="160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127,04</w:t>
            </w:r>
          </w:p>
        </w:tc>
      </w:tr>
      <w:tr>
        <w:trPr>
          <w:cantSplit/>
        </w:trPr>
        <w:tc>
          <w:tcPr>
            <w:tcW w:type="dxa" w:w="16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+1 pp</w:t>
            </w:r>
          </w:p>
        </w:tc>
        <w:tc>
          <w:tcPr>
            <w:tcW w:type="dxa" w:w="16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98,62</w:t>
            </w:r>
          </w:p>
        </w:tc>
        <w:tc>
          <w:tcPr>
            <w:tcW w:type="dxa" w:w="16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106,21</w:t>
            </w:r>
          </w:p>
        </w:tc>
        <w:tc>
          <w:tcPr>
            <w:tcW w:type="dxa" w:w="16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114,32</w:t>
            </w:r>
          </w:p>
        </w:tc>
        <w:tc>
          <w:tcPr>
            <w:tcW w:type="dxa" w:w="16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122,97</w:t>
            </w:r>
          </w:p>
        </w:tc>
        <w:tc>
          <w:tcPr>
            <w:tcW w:type="dxa" w:w="160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132,19</w:t>
            </w:r>
          </w:p>
        </w:tc>
      </w:tr>
      <w:tr>
        <w:trPr>
          <w:cantSplit/>
        </w:trPr>
        <w:tc>
          <w:tcPr>
            <w:tcW w:type="dxa" w:w="160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+2 pp</w:t>
            </w:r>
          </w:p>
        </w:tc>
        <w:tc>
          <w:tcPr>
            <w:tcW w:type="dxa" w:w="160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102,53</w:t>
            </w:r>
          </w:p>
        </w:tc>
        <w:tc>
          <w:tcPr>
            <w:tcW w:type="dxa" w:w="160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110,40</w:t>
            </w:r>
          </w:p>
        </w:tc>
        <w:tc>
          <w:tcPr>
            <w:tcW w:type="dxa" w:w="160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118,81</w:t>
            </w:r>
          </w:p>
        </w:tc>
        <w:tc>
          <w:tcPr>
            <w:tcW w:type="dxa" w:w="160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127,78</w:t>
            </w:r>
          </w:p>
        </w:tc>
        <w:tc>
          <w:tcPr>
            <w:tcW w:type="dxa" w:w="1608"/>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137,35</w:t>
            </w:r>
          </w:p>
        </w:tc>
      </w:tr>
    </w:tbl>
    <w:p>
      <w:pPr>
        <w:spacing w:after="160" w:before="0"/>
      </w:pPr>
    </w:p>
    <w:p>
      <w:pPr>
        <w:pStyle w:val="Heading2"/>
      </w:pPr>
      <w:r>
        <w:t xml:space="preserve">¿Puede la empresa sostener el crecimiento previsto?</w:t>
      </w:r>
    </w:p>
    <w:p>
      <w:pPr>
        <w:spacing w:after="100"/>
      </w:pPr>
      <w:r>
        <w:rPr>
          <w:b/>
          <w:bCs/>
        </w:rPr>
        <w:t xml:space="preserve">Veredicto: En parte.</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6646"/>
        <w:gridCol w:w="2992"/>
      </w:tblGrid>
      <w:tr>
        <w:trPr>
          <w:cantSplit/>
          <w:tblHeader/>
        </w:trPr>
        <w:tc>
          <w:tcPr>
            <w:tcW w:type="dxa" w:w="6646"/>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Prueba</w:t>
            </w:r>
          </w:p>
        </w:tc>
        <w:tc>
          <w:tcPr>
            <w:tcW w:type="dxa" w:w="2992"/>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Valor</w:t>
            </w:r>
          </w:p>
        </w:tc>
      </w:tr>
      <w:tr>
        <w:trPr>
          <w:cantSplit/>
        </w:trPr>
        <w:tc>
          <w:tcPr>
            <w:tcW w:type="dxa" w:w="664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Crecimiento medio de ingresos proyectado</w:t>
            </w:r>
          </w:p>
        </w:tc>
        <w:tc>
          <w:tcPr>
            <w:tcW w:type="dxa" w:w="2992"/>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2,7 %</w:t>
            </w:r>
          </w:p>
        </w:tc>
      </w:tr>
      <w:tr>
        <w:trPr>
          <w:cantSplit/>
        </w:trPr>
        <w:tc>
          <w:tcPr>
            <w:tcW w:type="dxa" w:w="664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Capex bruto medio (incluidas compras si van como inversión)</w:t>
            </w:r>
          </w:p>
        </w:tc>
        <w:tc>
          <w:tcPr>
            <w:tcW w:type="dxa" w:w="2992"/>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9,7 % de las ventas</w:t>
            </w:r>
          </w:p>
        </w:tc>
      </w:tr>
      <w:tr>
        <w:trPr>
          <w:cantSplit/>
        </w:trPr>
        <w:tc>
          <w:tcPr>
            <w:tcW w:type="dxa" w:w="664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Reinversión neta acumulada (capex − amortización + circulante)</w:t>
            </w:r>
          </w:p>
        </w:tc>
        <w:tc>
          <w:tcPr>
            <w:tcW w:type="dxa" w:w="2992"/>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4.130 M (2 % del NOPAT)</w:t>
            </w:r>
          </w:p>
        </w:tc>
      </w:tr>
    </w:tbl>
    <w:p>
      <w:pPr>
        <w:spacing w:after="160" w:before="0"/>
      </w:pPr>
    </w:p>
    <w:p>
      <w:pPr>
        <w:spacing w:after="100"/>
      </w:pPr>
      <w:r>
        <w:t xml:space="preserve">La proyección apenas necesita inversión neta de la amortización (reinversión acumulada de 4.130 M, el 2 % del NOPAT, con un capex bruto medio del 9,7 % de las ventas). En un negocio de activos ligeros, el crecimiento medio del 2,7 % tiene que salir de subir precios y de ganar volumen sin capital nuevo, y la prueba es el poder de precios y la cuota; en un comprador en serie, la amortización es de intangibles comprados y la prueba es el capex bruto (las compras) frente al crecimiento comprado.</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1028"/>
        <w:gridCol w:w="1028"/>
        <w:gridCol w:w="1028"/>
        <w:gridCol w:w="1285"/>
        <w:gridCol w:w="1156"/>
        <w:gridCol w:w="4113"/>
      </w:tblGrid>
      <w:tr>
        <w:trPr>
          <w:cantSplit/>
          <w:tblHeader/>
        </w:trPr>
        <w:tc>
          <w:tcPr>
            <w:tcW w:type="dxa" w:w="1028"/>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Año</w:t>
            </w:r>
          </w:p>
        </w:tc>
        <w:tc>
          <w:tcPr>
            <w:tcW w:type="dxa" w:w="1028"/>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Volumen</w:t>
            </w:r>
          </w:p>
        </w:tc>
        <w:tc>
          <w:tcPr>
            <w:tcW w:type="dxa" w:w="1028"/>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Precio</w:t>
            </w:r>
          </w:p>
        </w:tc>
        <w:tc>
          <w:tcPr>
            <w:tcW w:type="dxa" w:w="1285"/>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Otros (mezcla, compras)</w:t>
            </w:r>
          </w:p>
        </w:tc>
        <w:tc>
          <w:tcPr>
            <w:tcW w:type="dxa" w:w="1156"/>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Crecimiento</w:t>
            </w:r>
          </w:p>
        </w:tc>
        <w:tc>
          <w:tcPr>
            <w:tcW w:type="dxa" w:w="4113"/>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De dónde sale</w:t>
            </w:r>
          </w:p>
        </w:tc>
      </w:tr>
      <w:tr>
        <w:trPr>
          <w:cantSplit/>
        </w:trPr>
        <w:tc>
          <w:tcPr>
            <w:tcW w:type="dxa" w:w="102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2026e</w:t>
            </w:r>
          </w:p>
        </w:tc>
        <w:tc>
          <w:tcPr>
            <w:tcW w:type="dxa" w:w="102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+7,0 %</w:t>
            </w:r>
          </w:p>
        </w:tc>
        <w:tc>
          <w:tcPr>
            <w:tcW w:type="dxa" w:w="102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-1,0 %</w:t>
            </w:r>
          </w:p>
        </w:tc>
        <w:tc>
          <w:tcPr>
            <w:tcW w:type="dxa" w:w="128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-2,5 %</w:t>
            </w:r>
          </w:p>
        </w:tc>
        <w:tc>
          <w:tcPr>
            <w:tcW w:type="dxa" w:w="115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+3,5 %</w:t>
            </w:r>
          </w:p>
        </w:tc>
        <w:tc>
          <w:tcPr>
            <w:tcW w:type="dxa" w:w="411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Volumen de Kisqali, Kesimpta, Pluvicto, Leqvio y Scemblix (+7 puntos) frente a genéricos de Entresto (−2,5 puntos en otros) y precio (−1): la guía de ventas de un dígito bajo [1, 2].</w:t>
            </w:r>
          </w:p>
        </w:tc>
      </w:tr>
      <w:tr>
        <w:trPr>
          <w:cantSplit/>
        </w:trPr>
        <w:tc>
          <w:tcPr>
            <w:tcW w:type="dxa" w:w="102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2027e</w:t>
            </w:r>
          </w:p>
        </w:tc>
        <w:tc>
          <w:tcPr>
            <w:tcW w:type="dxa" w:w="102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+9,0 %</w:t>
            </w:r>
          </w:p>
        </w:tc>
        <w:tc>
          <w:tcPr>
            <w:tcW w:type="dxa" w:w="102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-1,0 %</w:t>
            </w:r>
          </w:p>
        </w:tc>
        <w:tc>
          <w:tcPr>
            <w:tcW w:type="dxa" w:w="128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-2,5 %</w:t>
            </w:r>
          </w:p>
        </w:tc>
        <w:tc>
          <w:tcPr>
            <w:tcW w:type="dxa" w:w="115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+5,5 %</w:t>
            </w:r>
          </w:p>
        </w:tc>
        <w:tc>
          <w:tcPr>
            <w:tcW w:type="dxa" w:w="411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Sin el gran escalón de Entresto, el volumen de las marcas prioritarias (+9) domina; los genéricos y el precio restan 3,5 puntos. Medio punto por debajo de la guía a medio plazo [19].</w:t>
            </w:r>
          </w:p>
        </w:tc>
      </w:tr>
      <w:tr>
        <w:trPr>
          <w:cantSplit/>
        </w:trPr>
        <w:tc>
          <w:tcPr>
            <w:tcW w:type="dxa" w:w="102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2028e</w:t>
            </w:r>
          </w:p>
        </w:tc>
        <w:tc>
          <w:tcPr>
            <w:tcW w:type="dxa" w:w="102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+8,5 %</w:t>
            </w:r>
          </w:p>
        </w:tc>
        <w:tc>
          <w:tcPr>
            <w:tcW w:type="dxa" w:w="102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-1,0 %</w:t>
            </w:r>
          </w:p>
        </w:tc>
        <w:tc>
          <w:tcPr>
            <w:tcW w:type="dxa" w:w="128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-2,0 %</w:t>
            </w:r>
          </w:p>
        </w:tc>
        <w:tc>
          <w:tcPr>
            <w:tcW w:type="dxa" w:w="115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+5,5 %</w:t>
            </w:r>
          </w:p>
        </w:tc>
        <w:tc>
          <w:tcPr>
            <w:tcW w:type="dxa" w:w="411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Igual que 2027e, con algo menos de volumen: Kisqali madura en cáncer de mama precoz.</w:t>
            </w:r>
          </w:p>
        </w:tc>
      </w:tr>
      <w:tr>
        <w:trPr>
          <w:cantSplit/>
        </w:trPr>
        <w:tc>
          <w:tcPr>
            <w:tcW w:type="dxa" w:w="102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2029e</w:t>
            </w:r>
          </w:p>
        </w:tc>
        <w:tc>
          <w:tcPr>
            <w:tcW w:type="dxa" w:w="102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+8,0 %</w:t>
            </w:r>
          </w:p>
        </w:tc>
        <w:tc>
          <w:tcPr>
            <w:tcW w:type="dxa" w:w="102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-1,0 %</w:t>
            </w:r>
          </w:p>
        </w:tc>
        <w:tc>
          <w:tcPr>
            <w:tcW w:type="dxa" w:w="128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-2,0 %</w:t>
            </w:r>
          </w:p>
        </w:tc>
        <w:tc>
          <w:tcPr>
            <w:tcW w:type="dxa" w:w="115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+5,0 %</w:t>
            </w:r>
          </w:p>
        </w:tc>
        <w:tc>
          <w:tcPr>
            <w:tcW w:type="dxa" w:w="411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Lanzamientos de remibrutinib y Pluvicto en nuevas indicaciones; genéricos y precio −3 puntos.</w:t>
            </w:r>
          </w:p>
        </w:tc>
      </w:tr>
      <w:tr>
        <w:trPr>
          <w:cantSplit/>
        </w:trPr>
        <w:tc>
          <w:tcPr>
            <w:tcW w:type="dxa" w:w="1028"/>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2030e</w:t>
            </w:r>
          </w:p>
        </w:tc>
        <w:tc>
          <w:tcPr>
            <w:tcW w:type="dxa" w:w="1028"/>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+7,5 %</w:t>
            </w:r>
          </w:p>
        </w:tc>
        <w:tc>
          <w:tcPr>
            <w:tcW w:type="dxa" w:w="1028"/>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-1,0 %</w:t>
            </w:r>
          </w:p>
        </w:tc>
        <w:tc>
          <w:tcPr>
            <w:tcW w:type="dxa" w:w="1285"/>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-2,0 %</w:t>
            </w:r>
          </w:p>
        </w:tc>
        <w:tc>
          <w:tcPr>
            <w:tcW w:type="dxa" w:w="115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+4,5 %</w:t>
            </w:r>
          </w:p>
        </w:tc>
        <w:tc>
          <w:tcPr>
            <w:tcW w:type="dxa" w:w="411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Último año antes de los vencimientos de principios de los años 2030 [22].</w:t>
            </w:r>
          </w:p>
        </w:tc>
      </w:tr>
    </w:tbl>
    <w:p>
      <w:pPr>
        <w:spacing w:after="160" w:before="0"/>
      </w:pPr>
    </w:p>
    <w:p>
      <w:pPr>
        <w:spacing w:after="100"/>
      </w:pPr>
      <w:r>
        <w:t xml:space="preserve">En parte. Hecha a mano, porque la reinversión neta de la proyección es solo el 2 % del NOPAT (la amortización de intangibles comprados se compensa con el capex de compras) y el motor no puede hacer la prueba de financiación. El crecimiento de 2026e-2030e (4,8 % de media) sale de productos ya comercializados con patente hasta principios de los años 2030 y está por debajo de la guía del 5-6 % [19]: lo sostienen el foso de patentes y un ROIC del 24,6 %. Lo que no sostiene la calidad demostrada es el crecimiento de después de 2030: las compras recientes (Avidity) y dos fases III han fallado [15, 21]. Por eso el base ya va medio punto por debajo de la guía y cae a 0 % y −2 % en 2031e-2032e; no hace falta otra rebaja.</w:t>
      </w:r>
    </w:p>
    <w:p>
      <w:pPr>
        <w:pStyle w:val="Heading2"/>
      </w:pPr>
      <w:r>
        <w:t xml:space="preserve">DCF inverso: qué descuenta el precio actual</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4047"/>
        <w:gridCol w:w="5591"/>
      </w:tblGrid>
      <w:tr>
        <w:trPr>
          <w:cantSplit/>
        </w:trPr>
        <w:tc>
          <w:tcPr>
            <w:tcW w:type="dxa" w:w="4047"/>
            <w:tcBorders>
              <w:top w:val="none" w:color="FFFFFF" w:sz="0"/>
              <w:left w:val="none" w:color="FFFFFF" w:sz="0"/>
              <w:bottom w:val="single" w:color="D9D8D3" w:sz="4"/>
              <w:right w:val="none" w:color="FFFFFF" w:sz="0"/>
            </w:tcBorders>
            <w:shd w:fill="F3F2EE" w:color="auto" w:val="clear"/>
            <w:tcMar>
              <w:top w:type="dxa" w:w="50"/>
              <w:left w:type="dxa" w:w="80"/>
              <w:bottom w:type="dxa" w:w="50"/>
              <w:right w:type="dxa" w:w="80"/>
            </w:tcMar>
          </w:tcPr>
          <w:p>
            <w:pPr>
              <w:spacing w:after="0" w:before="0"/>
              <w:jc w:val="left"/>
            </w:pPr>
            <w:r>
              <w:rPr>
                <w:rFonts w:ascii="Calibri" w:cs="Calibri" w:eastAsia="Calibri" w:hAnsi="Calibri"/>
                <w:b w:val="false"/>
                <w:bCs w:val="false"/>
                <w:color w:val="52514E"/>
                <w:sz w:val="16"/>
                <w:szCs w:val="16"/>
              </w:rPr>
              <w:t xml:space="preserve">Crecimiento anual implícito en el precio (2027e-2035e)</w:t>
            </w:r>
          </w:p>
        </w:tc>
        <w:tc>
          <w:tcPr>
            <w:tcW w:type="dxa" w:w="5591"/>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7"/>
                <w:szCs w:val="17"/>
              </w:rPr>
              <w:t xml:space="preserve">6,1 % (base: 2,6 %)</w:t>
            </w:r>
          </w:p>
        </w:tc>
      </w:tr>
      <w:tr>
        <w:trPr>
          <w:cantSplit/>
        </w:trPr>
        <w:tc>
          <w:tcPr>
            <w:tcW w:type="dxa" w:w="4047"/>
            <w:tcBorders>
              <w:top w:val="none" w:color="FFFFFF" w:sz="0"/>
              <w:left w:val="none" w:color="FFFFFF" w:sz="0"/>
              <w:bottom w:val="single" w:color="D9D8D3" w:sz="4"/>
              <w:right w:val="none" w:color="FFFFFF" w:sz="0"/>
            </w:tcBorders>
            <w:shd w:fill="F3F2EE" w:color="auto" w:val="clear"/>
            <w:tcMar>
              <w:top w:type="dxa" w:w="50"/>
              <w:left w:type="dxa" w:w="80"/>
              <w:bottom w:type="dxa" w:w="50"/>
              <w:right w:type="dxa" w:w="80"/>
            </w:tcMar>
          </w:tcPr>
          <w:p>
            <w:pPr>
              <w:spacing w:after="0" w:before="0"/>
              <w:jc w:val="left"/>
            </w:pPr>
            <w:r>
              <w:rPr>
                <w:rFonts w:ascii="Calibri" w:cs="Calibri" w:eastAsia="Calibri" w:hAnsi="Calibri"/>
                <w:b w:val="false"/>
                <w:bCs w:val="false"/>
                <w:color w:val="52514E"/>
                <w:sz w:val="16"/>
                <w:szCs w:val="16"/>
              </w:rPr>
              <w:t xml:space="preserve">Margen EBITDA final implícito</w:t>
            </w:r>
          </w:p>
        </w:tc>
        <w:tc>
          <w:tcPr>
            <w:tcW w:type="dxa" w:w="5591"/>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7"/>
                <w:szCs w:val="17"/>
              </w:rPr>
              <w:t xml:space="preserve">44,9 % (base: 38,0 %)</w:t>
            </w:r>
          </w:p>
        </w:tc>
      </w:tr>
      <w:tr>
        <w:trPr>
          <w:cantSplit/>
        </w:trPr>
        <w:tc>
          <w:tcPr>
            <w:tcW w:type="dxa" w:w="4047"/>
            <w:tcBorders>
              <w:top w:val="none" w:color="FFFFFF" w:sz="0"/>
              <w:left w:val="none" w:color="FFFFFF" w:sz="0"/>
              <w:bottom w:val="single" w:color="D9D8D3" w:sz="4"/>
              <w:right w:val="none" w:color="FFFFFF" w:sz="0"/>
            </w:tcBorders>
            <w:shd w:fill="F3F2EE" w:color="auto" w:val="clear"/>
            <w:tcMar>
              <w:top w:type="dxa" w:w="50"/>
              <w:left w:type="dxa" w:w="80"/>
              <w:bottom w:type="dxa" w:w="50"/>
              <w:right w:type="dxa" w:w="80"/>
            </w:tcMar>
          </w:tcPr>
          <w:p>
            <w:pPr>
              <w:spacing w:after="0" w:before="0"/>
              <w:jc w:val="left"/>
            </w:pPr>
            <w:r>
              <w:rPr>
                <w:rFonts w:ascii="Calibri" w:cs="Calibri" w:eastAsia="Calibri" w:hAnsi="Calibri"/>
                <w:b w:val="false"/>
                <w:bCs w:val="false"/>
                <w:color w:val="52514E"/>
                <w:sz w:val="16"/>
                <w:szCs w:val="16"/>
              </w:rPr>
              <w:t xml:space="preserve">Rentabilidad anual implícita (TIR al precio actual)</w:t>
            </w:r>
          </w:p>
        </w:tc>
        <w:tc>
          <w:tcPr>
            <w:tcW w:type="dxa" w:w="5591"/>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7"/>
                <w:szCs w:val="17"/>
              </w:rPr>
              <w:t xml:space="preserve">6,9 % (WACC: 8,1 %)</w:t>
            </w:r>
          </w:p>
        </w:tc>
      </w:tr>
    </w:tbl>
    <w:p>
      <w:pPr>
        <w:spacing w:after="160" w:before="0"/>
      </w:pPr>
    </w:p>
    <w:p>
      <w:pPr>
        <w:spacing w:after="100"/>
      </w:pPr>
      <w:r>
        <w:t xml:space="preserve">El DCF da 109,83 USD por acción (87,86 CHF), un 22,1 % por debajo del precio, con un WACC del 8,14 % y un valor terminal del 56 %; la sensibilidad (WACC y crecimiento ± 0,5 puntos) va de 95,65 a 129,36 USD. El DCF inverso dice que el precio descuenta un crecimiento del 6,1 % anual en 2027e-2035e (frente a nuestro 2,6 %), o un margen EBITDA del 44,9 % (frente a nuestro 38 % final), o una rentabilidad del 6,9 % anual. Es exigente: supone que la cartera repone por completo las patentes de principios de los años 2030, justo después de dos fracasos de fase III. Parte de la distancia es de tasa: con la prima implícita del mercado (WACC 7,4 %) el DCF sube a 126,77 USD, todavía un 10 % por debajo del precio.</w:t>
      </w:r>
    </w:p>
    <w:p>
      <w:pPr>
        <w:pStyle w:val="Heading1"/>
      </w:pPr>
      <w:r>
        <w:t xml:space="preserve">21. Escenarios</w:t>
      </w:r>
    </w:p>
    <w:p>
      <w:pPr>
        <w:pStyle w:val="Confianza"/>
        <w:spacing w:after="100"/>
      </w:pPr>
      <w:r>
        <w:t xml:space="preserve">Confianza: Media</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1082"/>
        <w:gridCol w:w="649"/>
        <w:gridCol w:w="866"/>
        <w:gridCol w:w="866"/>
        <w:gridCol w:w="758"/>
        <w:gridCol w:w="866"/>
        <w:gridCol w:w="866"/>
        <w:gridCol w:w="3685"/>
      </w:tblGrid>
      <w:tr>
        <w:trPr>
          <w:cantSplit/>
          <w:tblHeader/>
        </w:trPr>
        <w:tc>
          <w:tcPr>
            <w:tcW w:type="dxa" w:w="1082"/>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Escenario</w:t>
            </w:r>
          </w:p>
        </w:tc>
        <w:tc>
          <w:tcPr>
            <w:tcW w:type="dxa" w:w="649"/>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Prob.</w:t>
            </w:r>
          </w:p>
        </w:tc>
        <w:tc>
          <w:tcPr>
            <w:tcW w:type="dxa" w:w="866"/>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Crec. medio</w:t>
            </w:r>
          </w:p>
        </w:tc>
        <w:tc>
          <w:tcPr>
            <w:tcW w:type="dxa" w:w="866"/>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Margen final</w:t>
            </w:r>
          </w:p>
        </w:tc>
        <w:tc>
          <w:tcPr>
            <w:tcW w:type="dxa" w:w="758"/>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WACC</w:t>
            </w:r>
          </w:p>
        </w:tc>
        <w:tc>
          <w:tcPr>
            <w:tcW w:type="dxa" w:w="866"/>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Valor</w:t>
            </w:r>
          </w:p>
        </w:tc>
        <w:tc>
          <w:tcPr>
            <w:tcW w:type="dxa" w:w="866"/>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Potencial</w:t>
            </w:r>
          </w:p>
        </w:tc>
        <w:tc>
          <w:tcPr>
            <w:tcW w:type="dxa" w:w="3685"/>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Qué tiene que ocurrir</w:t>
            </w:r>
          </w:p>
        </w:tc>
      </w:tr>
      <w:tr>
        <w:trPr>
          <w:cantSplit/>
        </w:trPr>
        <w:tc>
          <w:tcPr>
            <w:tcW w:type="dxa" w:w="1082"/>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Bajista</w:t>
            </w:r>
          </w:p>
        </w:tc>
        <w:tc>
          <w:tcPr>
            <w:tcW w:type="dxa" w:w="64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25 %</w:t>
            </w:r>
          </w:p>
        </w:tc>
        <w:tc>
          <w:tcPr>
            <w:tcW w:type="dxa" w:w="86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0,6 %</w:t>
            </w:r>
          </w:p>
        </w:tc>
        <w:tc>
          <w:tcPr>
            <w:tcW w:type="dxa" w:w="86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36,0 %</w:t>
            </w:r>
          </w:p>
        </w:tc>
        <w:tc>
          <w:tcPr>
            <w:tcW w:type="dxa" w:w="75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8,1 %</w:t>
            </w:r>
          </w:p>
        </w:tc>
        <w:tc>
          <w:tcPr>
            <w:tcW w:type="dxa" w:w="86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82,32</w:t>
            </w:r>
          </w:p>
        </w:tc>
        <w:tc>
          <w:tcPr>
            <w:tcW w:type="dxa" w:w="86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-41,6 %</w:t>
            </w:r>
          </w:p>
        </w:tc>
        <w:tc>
          <w:tcPr>
            <w:tcW w:type="dxa" w:w="368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La erosión de Entresto y los precios en EE. UU. dejan el crecimiento 2 puntos por debajo del base y el margen 2 puntos más bajo, como en 2022-2023; otra compra cara no aporta ventas y los vencimientos de 2031-2033 golpean sin reemplazo.</w:t>
            </w:r>
          </w:p>
        </w:tc>
      </w:tr>
      <w:tr>
        <w:trPr>
          <w:cantSplit/>
        </w:trPr>
        <w:tc>
          <w:tcPr>
            <w:tcW w:type="dxa" w:w="1082"/>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Base</w:t>
            </w:r>
          </w:p>
        </w:tc>
        <w:tc>
          <w:tcPr>
            <w:tcW w:type="dxa" w:w="64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50 %</w:t>
            </w:r>
          </w:p>
        </w:tc>
        <w:tc>
          <w:tcPr>
            <w:tcW w:type="dxa" w:w="86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2,6 %</w:t>
            </w:r>
          </w:p>
        </w:tc>
        <w:tc>
          <w:tcPr>
            <w:tcW w:type="dxa" w:w="86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38,0 %</w:t>
            </w:r>
          </w:p>
        </w:tc>
        <w:tc>
          <w:tcPr>
            <w:tcW w:type="dxa" w:w="75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8,1 %</w:t>
            </w:r>
          </w:p>
        </w:tc>
        <w:tc>
          <w:tcPr>
            <w:tcW w:type="dxa" w:w="86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109,83</w:t>
            </w:r>
          </w:p>
        </w:tc>
        <w:tc>
          <w:tcPr>
            <w:tcW w:type="dxa" w:w="86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-22,1 %</w:t>
            </w:r>
          </w:p>
        </w:tc>
        <w:tc>
          <w:tcPr>
            <w:tcW w:type="dxa" w:w="368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Las marcas prioritarias cumplen un crecimiento del 5-5,5 % en 2027e-2030e (medio punto por debajo de la guía), el margen EBITDA llega al 41,5 % y los vencimientos de principios de los años 2030 dejan dos años sin crecimiento.</w:t>
            </w:r>
          </w:p>
        </w:tc>
      </w:tr>
      <w:tr>
        <w:trPr>
          <w:cantSplit/>
        </w:trPr>
        <w:tc>
          <w:tcPr>
            <w:tcW w:type="dxa" w:w="1082"/>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Alcista</w:t>
            </w:r>
          </w:p>
        </w:tc>
        <w:tc>
          <w:tcPr>
            <w:tcW w:type="dxa" w:w="649"/>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25 %</w:t>
            </w:r>
          </w:p>
        </w:tc>
        <w:tc>
          <w:tcPr>
            <w:tcW w:type="dxa" w:w="86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4,1 %</w:t>
            </w:r>
          </w:p>
        </w:tc>
        <w:tc>
          <w:tcPr>
            <w:tcW w:type="dxa" w:w="86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39,0 %</w:t>
            </w:r>
          </w:p>
        </w:tc>
        <w:tc>
          <w:tcPr>
            <w:tcW w:type="dxa" w:w="758"/>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8,1 %</w:t>
            </w:r>
          </w:p>
        </w:tc>
        <w:tc>
          <w:tcPr>
            <w:tcW w:type="dxa" w:w="86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127,51</w:t>
            </w:r>
          </w:p>
        </w:tc>
        <w:tc>
          <w:tcPr>
            <w:tcW w:type="dxa" w:w="86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-9,5 %</w:t>
            </w:r>
          </w:p>
        </w:tc>
        <w:tc>
          <w:tcPr>
            <w:tcW w:type="dxa" w:w="3685"/>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Kisqali, Pluvicto y remibrutinib superan las previsiones, la guía del 5-6 % se cumple por arriba y el margen sube un punto más; alguna compra o fase III compensa en parte el valle de 2031.</w:t>
            </w:r>
          </w:p>
        </w:tc>
      </w:tr>
    </w:tbl>
    <w:p>
      <w:pPr>
        <w:spacing w:after="160" w:before="0"/>
      </w:pPr>
    </w:p>
    <w:p>
      <w:pPr>
        <w:keepNext w:val="false"/>
        <w:spacing w:after="160" w:before="120"/>
        <w:jc w:val="center"/>
      </w:pPr>
      <w:r>
        <w:drawing>
          <wp:inline xmlns:wp="http://schemas.openxmlformats.org/drawingml/2006/wordprocessingDrawing" distT="0" distB="0" distL="0" distR="0">
            <wp:extent cx="5760000" cy="2160000"/>
            <wp:effectExtent l="0" t="0" r="0" b="0"/>
            <wp:docPr id="1018" name="Gráfico 18" descr="Valor por acción por escenario (USD) · precio actual 140,93"/>
            <wp:cNvGraphicFramePr/>
            <a:graphic xmlns:a="http://schemas.openxmlformats.org/drawingml/2006/main">
              <a:graphicData uri="http://schemas.openxmlformats.org/drawingml/2006/chart">
                <c:chart xmlns:c="http://schemas.openxmlformats.org/drawingml/2006/chart" xmlns:r="http://schemas.openxmlformats.org/officeDocument/2006/relationships" r:id="rIdGrafico18"/>
              </a:graphicData>
            </a:graphic>
          </wp:inline>
        </w:drawing>
      </w:r>
    </w:p>
    <w:p>
      <w:pPr>
        <w:spacing w:after="100"/>
      </w:pPr>
      <w:r>
        <w:rPr>
          <w:b/>
          <w:bCs/>
        </w:rPr>
        <w:t xml:space="preserve">Valor ponderado por probabilidad:</w:t>
      </w:r>
      <w:r>
        <w:t xml:space="preserve"> 107,37 USD (-23,8 %).</w:t>
      </w:r>
    </w:p>
    <w:p>
      <w:pPr>
        <w:spacing w:after="100"/>
      </w:pPr>
      <w:r>
        <w:t xml:space="preserve">En valor intrínseco la asimetría es negativa (−0,23 veces): incluso el alcista (127,51 USD) queda por debajo del precio, y el bajista (82,32) pierde un 41,6 %. A 12 meses es distinta (1,54 veces): con la regla de múltiplos, el alcista (173,45) gana un 26,4 % con dividendo y el bajista (119,88) pierde un 11,7 %, porque el BPA core de 2028e sigue creciendo con productos ya vendidos. El precio paga el corto plazo y una parte del largo que nuestro DCF no ve.</w:t>
      </w:r>
    </w:p>
    <w:p>
      <w:pPr>
        <w:pStyle w:val="Heading1"/>
      </w:pPr>
      <w:r>
        <w:t xml:space="preserve">22. Suma de partes</w:t>
      </w:r>
    </w:p>
    <w:p>
      <w:pPr>
        <w:pStyle w:val="Confianza"/>
        <w:spacing w:after="100"/>
      </w:pPr>
      <w:r>
        <w:t xml:space="preserve">Confianza: Media</w:t>
      </w:r>
    </w:p>
    <w:p>
      <w:pPr>
        <w:spacing w:after="100"/>
      </w:pPr>
      <w:r>
        <w:t xml:space="preserve">No aplica: Novartis es una farmacéutica de un solo segmento tras la escisión de Sandoz.</w:t>
      </w:r>
    </w:p>
    <w:p>
      <w:pPr>
        <w:spacing w:after="160" w:before="0"/>
      </w:pPr>
    </w:p>
    <w:p>
      <w:pPr>
        <w:pStyle w:val="Heading1"/>
      </w:pPr>
      <w:r>
        <w:t xml:space="preserve">23. Síntesis de valoración</w:t>
      </w:r>
    </w:p>
    <w:p>
      <w:pPr>
        <w:pStyle w:val="Confianza"/>
        <w:spacing w:after="100"/>
      </w:pPr>
      <w:r>
        <w:t xml:space="preserve">Confianza: Media</w:t>
      </w:r>
    </w:p>
    <w:p>
      <w:pPr>
        <w:keepNext w:val="false"/>
        <w:spacing w:after="160" w:before="120"/>
        <w:jc w:val="center"/>
      </w:pPr>
      <w:r>
        <w:drawing>
          <wp:inline xmlns:wp="http://schemas.openxmlformats.org/drawingml/2006/wordprocessingDrawing" distT="0" distB="0" distL="0" distR="0">
            <wp:extent cx="5760000" cy="2880000"/>
            <wp:effectExtent l="0" t="0" r="0" b="0"/>
            <wp:docPr id="1019" name="Gráfico 19" descr="Valor por acción según cada método (USD) · precio actual 140,93"/>
            <wp:cNvGraphicFramePr/>
            <a:graphic xmlns:a="http://schemas.openxmlformats.org/drawingml/2006/main">
              <a:graphicData uri="http://schemas.openxmlformats.org/drawingml/2006/chart">
                <c:chart xmlns:c="http://schemas.openxmlformats.org/drawingml/2006/chart" xmlns:r="http://schemas.openxmlformats.org/officeDocument/2006/relationships" r:id="rIdGrafico19"/>
              </a:graphicData>
            </a:graphic>
          </wp:inline>
        </w:drawing>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4819"/>
        <w:gridCol w:w="1606"/>
        <w:gridCol w:w="1606"/>
        <w:gridCol w:w="1607"/>
      </w:tblGrid>
      <w:tr>
        <w:trPr>
          <w:cantSplit/>
          <w:tblHeader/>
        </w:trPr>
        <w:tc>
          <w:tcPr>
            <w:tcW w:type="dxa" w:w="4819"/>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Método</w:t>
            </w:r>
          </w:p>
        </w:tc>
        <w:tc>
          <w:tcPr>
            <w:tcW w:type="dxa" w:w="1606"/>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Mínimo</w:t>
            </w:r>
          </w:p>
        </w:tc>
        <w:tc>
          <w:tcPr>
            <w:tcW w:type="dxa" w:w="1606"/>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Central</w:t>
            </w:r>
          </w:p>
        </w:tc>
        <w:tc>
          <w:tcPr>
            <w:tcW w:type="dxa" w:w="1607"/>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Máximo</w:t>
            </w:r>
          </w:p>
        </w:tc>
      </w:tr>
      <w:tr>
        <w:trPr>
          <w:cantSplit/>
        </w:trPr>
        <w:tc>
          <w:tcPr>
            <w:tcW w:type="dxa" w:w="481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Precio objetivo de los analistas</w:t>
            </w:r>
          </w:p>
        </w:tc>
        <w:tc>
          <w:tcPr>
            <w:tcW w:type="dxa" w:w="16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95,95</w:t>
            </w:r>
          </w:p>
        </w:tc>
        <w:tc>
          <w:tcPr>
            <w:tcW w:type="dxa" w:w="16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128,42</w:t>
            </w:r>
          </w:p>
        </w:tc>
        <w:tc>
          <w:tcPr>
            <w:tcW w:type="dxa" w:w="160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150,69</w:t>
            </w:r>
          </w:p>
        </w:tc>
      </w:tr>
      <w:tr>
        <w:trPr>
          <w:cantSplit/>
        </w:trPr>
        <w:tc>
          <w:tcPr>
            <w:tcW w:type="dxa" w:w="481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Comparables: PER NTM</w:t>
            </w:r>
          </w:p>
        </w:tc>
        <w:tc>
          <w:tcPr>
            <w:tcW w:type="dxa" w:w="16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102,26</w:t>
            </w:r>
          </w:p>
        </w:tc>
        <w:tc>
          <w:tcPr>
            <w:tcW w:type="dxa" w:w="16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135,47</w:t>
            </w:r>
          </w:p>
        </w:tc>
        <w:tc>
          <w:tcPr>
            <w:tcW w:type="dxa" w:w="160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171,30</w:t>
            </w:r>
          </w:p>
        </w:tc>
      </w:tr>
      <w:tr>
        <w:trPr>
          <w:cantSplit/>
        </w:trPr>
        <w:tc>
          <w:tcPr>
            <w:tcW w:type="dxa" w:w="481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DCF (WACC y g ± 0,5)</w:t>
            </w:r>
          </w:p>
        </w:tc>
        <w:tc>
          <w:tcPr>
            <w:tcW w:type="dxa" w:w="16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95,65</w:t>
            </w:r>
          </w:p>
        </w:tc>
        <w:tc>
          <w:tcPr>
            <w:tcW w:type="dxa" w:w="16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109,83</w:t>
            </w:r>
          </w:p>
        </w:tc>
        <w:tc>
          <w:tcPr>
            <w:tcW w:type="dxa" w:w="160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129,36</w:t>
            </w:r>
          </w:p>
        </w:tc>
      </w:tr>
      <w:tr>
        <w:trPr>
          <w:cantSplit/>
        </w:trPr>
        <w:tc>
          <w:tcPr>
            <w:tcW w:type="dxa" w:w="481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Escenarios (bajista – alcista)</w:t>
            </w:r>
          </w:p>
        </w:tc>
        <w:tc>
          <w:tcPr>
            <w:tcW w:type="dxa" w:w="16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82,32</w:t>
            </w:r>
          </w:p>
        </w:tc>
        <w:tc>
          <w:tcPr>
            <w:tcW w:type="dxa" w:w="16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107,37</w:t>
            </w:r>
          </w:p>
        </w:tc>
        <w:tc>
          <w:tcPr>
            <w:tcW w:type="dxa" w:w="160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127,51</w:t>
            </w:r>
          </w:p>
        </w:tc>
      </w:tr>
      <w:tr>
        <w:trPr>
          <w:cantSplit/>
        </w:trPr>
        <w:tc>
          <w:tcPr>
            <w:tcW w:type="dxa" w:w="481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DCF con la prima del mercado</w:t>
            </w:r>
          </w:p>
        </w:tc>
        <w:tc>
          <w:tcPr>
            <w:tcW w:type="dxa" w:w="16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114,79</w:t>
            </w:r>
          </w:p>
        </w:tc>
        <w:tc>
          <w:tcPr>
            <w:tcW w:type="dxa" w:w="16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126,77</w:t>
            </w:r>
          </w:p>
        </w:tc>
        <w:tc>
          <w:tcPr>
            <w:tcW w:type="dxa" w:w="160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141,19</w:t>
            </w:r>
          </w:p>
        </w:tc>
      </w:tr>
      <w:tr>
        <w:trPr>
          <w:cantSplit/>
        </w:trPr>
        <w:tc>
          <w:tcPr>
            <w:tcW w:type="dxa" w:w="4819"/>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Precio actual</w:t>
            </w:r>
          </w:p>
        </w:tc>
        <w:tc>
          <w:tcPr>
            <w:tcW w:type="dxa" w:w="160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140,23</w:t>
            </w:r>
          </w:p>
        </w:tc>
        <w:tc>
          <w:tcPr>
            <w:tcW w:type="dxa" w:w="160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140,93</w:t>
            </w:r>
          </w:p>
        </w:tc>
        <w:tc>
          <w:tcPr>
            <w:tcW w:type="dxa" w:w="160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141,63</w:t>
            </w:r>
          </w:p>
        </w:tc>
      </w:tr>
    </w:tbl>
    <w:p>
      <w:pPr>
        <w:spacing w:after="160" w:before="0"/>
      </w:pP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4819"/>
        <w:gridCol w:w="1927"/>
        <w:gridCol w:w="1606"/>
        <w:gridCol w:w="1286"/>
      </w:tblGrid>
      <w:tr>
        <w:trPr>
          <w:cantSplit/>
          <w:tblHeader/>
        </w:trPr>
        <w:tc>
          <w:tcPr>
            <w:tcW w:type="dxa" w:w="4819"/>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Método</w:t>
            </w:r>
          </w:p>
        </w:tc>
        <w:tc>
          <w:tcPr>
            <w:tcW w:type="dxa" w:w="1927"/>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Valor por acción</w:t>
            </w:r>
          </w:p>
        </w:tc>
        <w:tc>
          <w:tcPr>
            <w:tcW w:type="dxa" w:w="1606"/>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Potencial</w:t>
            </w:r>
          </w:p>
        </w:tc>
        <w:tc>
          <w:tcPr>
            <w:tcW w:type="dxa" w:w="1286"/>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Peso</w:t>
            </w:r>
          </w:p>
        </w:tc>
      </w:tr>
      <w:tr>
        <w:trPr>
          <w:cantSplit/>
        </w:trPr>
        <w:tc>
          <w:tcPr>
            <w:tcW w:type="dxa" w:w="481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DCF</w:t>
            </w:r>
          </w:p>
        </w:tc>
        <w:tc>
          <w:tcPr>
            <w:tcW w:type="dxa" w:w="192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109,83</w:t>
            </w:r>
          </w:p>
        </w:tc>
        <w:tc>
          <w:tcPr>
            <w:tcW w:type="dxa" w:w="16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-22,1 %</w:t>
            </w:r>
          </w:p>
        </w:tc>
        <w:tc>
          <w:tcPr>
            <w:tcW w:type="dxa" w:w="128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50 %</w:t>
            </w:r>
          </w:p>
        </w:tc>
      </w:tr>
      <w:tr>
        <w:trPr>
          <w:cantSplit/>
        </w:trPr>
        <w:tc>
          <w:tcPr>
            <w:tcW w:type="dxa" w:w="481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Comparables (mediana EV/EBITDA y PER)</w:t>
            </w:r>
          </w:p>
        </w:tc>
        <w:tc>
          <w:tcPr>
            <w:tcW w:type="dxa" w:w="192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135,47</w:t>
            </w:r>
          </w:p>
        </w:tc>
        <w:tc>
          <w:tcPr>
            <w:tcW w:type="dxa" w:w="16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-3,9 %</w:t>
            </w:r>
          </w:p>
        </w:tc>
        <w:tc>
          <w:tcPr>
            <w:tcW w:type="dxa" w:w="128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25 %</w:t>
            </w:r>
          </w:p>
        </w:tc>
      </w:tr>
      <w:tr>
        <w:trPr>
          <w:cantSplit/>
        </w:trPr>
        <w:tc>
          <w:tcPr>
            <w:tcW w:type="dxa" w:w="4819"/>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Escenarios ponderados</w:t>
            </w:r>
          </w:p>
        </w:tc>
        <w:tc>
          <w:tcPr>
            <w:tcW w:type="dxa" w:w="192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107,37</w:t>
            </w:r>
          </w:p>
        </w:tc>
        <w:tc>
          <w:tcPr>
            <w:tcW w:type="dxa" w:w="160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-23,8 %</w:t>
            </w:r>
          </w:p>
        </w:tc>
        <w:tc>
          <w:tcPr>
            <w:tcW w:type="dxa" w:w="128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25 %</w:t>
            </w:r>
          </w:p>
        </w:tc>
      </w:tr>
    </w:tbl>
    <w:p>
      <w:pPr>
        <w:spacing w:after="160" w:before="0"/>
      </w:pPr>
    </w:p>
    <w:p>
      <w:pPr>
        <w:spacing w:after="100"/>
      </w:pPr>
      <w:r>
        <w:rPr>
          <w:b/>
          <w:bCs/>
        </w:rPr>
        <w:t xml:space="preserve">Valor intrínseco ponderado (largo plazo):</w:t>
      </w:r>
      <w:r>
        <w:t xml:space="preserve"> 115,63 USD (-18,0 % sobre 140,93).</w:t>
      </w:r>
    </w:p>
    <w:p>
      <w:pPr>
        <w:spacing w:after="100"/>
      </w:pPr>
      <w:r>
        <w:t xml:space="preserve">El DCF pesa un 50 %: recoge el ROIC alto, la caja y, sobre todo, el valle de patentes de después de 2030, que los múltiplos a 12 meses no ven. Los comparables pesan un 25 % (PER a 12 meses: 135,47 USD) y los escenarios otro 25 %. No hay transacciones de control comparables. El valor ponderado es de 115,63 USD (92,50 CHF), un 18,0 % por debajo del precio; con la prima implícita del mercado sube a 128,19 USD (−9,0 %). La recomendación la decide el objetivo a 12 meses (150,49 USD, +10,1 % con dividendo), no el valor intrínseco.</w:t>
      </w:r>
    </w:p>
    <w:p>
      <w:pPr>
        <w:pStyle w:val="Heading2"/>
      </w:pPr>
      <w:r>
        <w:t xml:space="preserve">Objetivo a 12 meses: nuestro PER × nuestro BPA</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1376"/>
        <w:gridCol w:w="1101"/>
        <w:gridCol w:w="963"/>
        <w:gridCol w:w="3579"/>
        <w:gridCol w:w="1239"/>
        <w:gridCol w:w="1380"/>
      </w:tblGrid>
      <w:tr>
        <w:trPr>
          <w:cantSplit/>
          <w:tblHeader/>
        </w:trPr>
        <w:tc>
          <w:tcPr>
            <w:tcW w:type="dxa" w:w="1376"/>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Escenario</w:t>
            </w:r>
          </w:p>
        </w:tc>
        <w:tc>
          <w:tcPr>
            <w:tcW w:type="dxa" w:w="1101"/>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BPA</w:t>
            </w:r>
          </w:p>
        </w:tc>
        <w:tc>
          <w:tcPr>
            <w:tcW w:type="dxa" w:w="963"/>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PER</w:t>
            </w:r>
          </w:p>
        </w:tc>
        <w:tc>
          <w:tcPr>
            <w:tcW w:type="dxa" w:w="3579"/>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De dónde sale el PER</w:t>
            </w:r>
          </w:p>
        </w:tc>
        <w:tc>
          <w:tcPr>
            <w:tcW w:type="dxa" w:w="1239"/>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Precio</w:t>
            </w:r>
          </w:p>
        </w:tc>
        <w:tc>
          <w:tcPr>
            <w:tcW w:type="dxa" w:w="1380"/>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Rentabilidad</w:t>
            </w:r>
          </w:p>
        </w:tc>
      </w:tr>
      <w:tr>
        <w:trPr>
          <w:cantSplit/>
        </w:trPr>
        <w:tc>
          <w:tcPr>
            <w:tcW w:type="dxa" w:w="137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Bajista</w:t>
            </w:r>
          </w:p>
        </w:tc>
        <w:tc>
          <w:tcPr>
            <w:tcW w:type="dxa" w:w="110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9,59</w:t>
            </w:r>
          </w:p>
        </w:tc>
        <w:tc>
          <w:tcPr>
            <w:tcW w:type="dxa" w:w="96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8,5x</w:t>
            </w:r>
          </w:p>
        </w:tc>
        <w:tc>
          <w:tcPr>
            <w:tcW w:type="dxa" w:w="357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mínimo de 5 años</w:t>
            </w:r>
          </w:p>
        </w:tc>
        <w:tc>
          <w:tcPr>
            <w:tcW w:type="dxa" w:w="123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81,52</w:t>
            </w:r>
          </w:p>
        </w:tc>
        <w:tc>
          <w:tcPr>
            <w:tcW w:type="dxa" w:w="138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-38,9 %</w:t>
            </w:r>
          </w:p>
        </w:tc>
      </w:tr>
      <w:tr>
        <w:trPr>
          <w:cantSplit/>
        </w:trPr>
        <w:tc>
          <w:tcPr>
            <w:tcW w:type="dxa" w:w="137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Base</w:t>
            </w:r>
          </w:p>
        </w:tc>
        <w:tc>
          <w:tcPr>
            <w:tcW w:type="dxa" w:w="110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10,57</w:t>
            </w:r>
          </w:p>
        </w:tc>
        <w:tc>
          <w:tcPr>
            <w:tcW w:type="dxa" w:w="96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14,1x</w:t>
            </w:r>
          </w:p>
        </w:tc>
        <w:tc>
          <w:tcPr>
            <w:tcW w:type="dxa" w:w="357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PER actual (14.6x) a mitad de camino hacia abajo, hacia la mediana de 5 años (13.6x)</w:t>
            </w:r>
          </w:p>
        </w:tc>
        <w:tc>
          <w:tcPr>
            <w:tcW w:type="dxa" w:w="123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149,04</w:t>
            </w:r>
          </w:p>
        </w:tc>
        <w:tc>
          <w:tcPr>
            <w:tcW w:type="dxa" w:w="138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+9,0 %</w:t>
            </w:r>
          </w:p>
        </w:tc>
      </w:tr>
      <w:tr>
        <w:trPr>
          <w:cantSplit/>
        </w:trPr>
        <w:tc>
          <w:tcPr>
            <w:tcW w:type="dxa" w:w="137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Alcista</w:t>
            </w:r>
          </w:p>
        </w:tc>
        <w:tc>
          <w:tcPr>
            <w:tcW w:type="dxa" w:w="1101"/>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11,19</w:t>
            </w:r>
          </w:p>
        </w:tc>
        <w:tc>
          <w:tcPr>
            <w:tcW w:type="dxa" w:w="96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16,3x</w:t>
            </w:r>
          </w:p>
        </w:tc>
        <w:tc>
          <w:tcPr>
            <w:tcW w:type="dxa" w:w="3579"/>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media histórica larga</w:t>
            </w:r>
          </w:p>
        </w:tc>
        <w:tc>
          <w:tcPr>
            <w:tcW w:type="dxa" w:w="1239"/>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182,40</w:t>
            </w:r>
          </w:p>
        </w:tc>
        <w:tc>
          <w:tcPr>
            <w:tcW w:type="dxa" w:w="138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+32,7 %</w:t>
            </w:r>
          </w:p>
        </w:tc>
      </w:tr>
    </w:tbl>
    <w:p>
      <w:pPr>
        <w:spacing w:after="160" w:before="0"/>
      </w:pPr>
    </w:p>
    <w:p>
      <w:pPr>
        <w:spacing w:after="100"/>
      </w:pPr>
      <w:r>
        <w:rPr>
          <w:b/>
          <w:bCs/>
        </w:rPr>
        <w:t xml:space="preserve">Objetivo a 12 meses (ponderado):</w:t>
      </w:r>
      <w:r>
        <w:t xml:space="preserve"> 140,50 USD (112,40 CHF) · rentabilidad +3,0 % (base +9,0 %) · señal Mantener.</w:t>
      </w:r>
    </w:p>
    <w:p>
      <w:pPr>
        <w:spacing w:after="100"/>
      </w:pPr>
      <w:r>
        <w:t xml:space="preserve">Para comparar, con la regla v2 (historia al cierre, mismo precio): 12,5x / 14,6x / 15,5x, 10,1 % Mantener. Decide la regla vigente (v3 con tope ×1,1; METODO-VIGENTE.md).</w:t>
      </w:r>
    </w:p>
    <w:p>
      <w:pPr>
        <w:keepNext/>
        <w:spacing w:after="100"/>
      </w:pPr>
      <w:r>
        <w:rPr>
          <w:b/>
          <w:bCs/>
        </w:rPr>
        <w:t xml:space="preserve">Frente al consenso (solo contraste).</w:t>
      </w:r>
    </w:p>
    <w:p>
      <w:pPr>
        <w:spacing w:after="100"/>
      </w:pPr>
      <w:r>
        <w:t xml:space="preserve">No hay estimaciones anuales gratuitas de 2028e (hueco); el contraste es el objetivo. Nuestro precio base (154,32 USD, 123,46 CHF) queda un 3,9 % por debajo del objetivo medio de los analistas (160,53 USD, 128,42 CHF) [30]: coincidimos en lo esencial. Nuestro BPA core de 2026e (8,74 en el consenso sumando trimestres [32]) y de 2027e (9,66 USD, +10 %) es coherente con la guía. La tendencia de los objetivos es a la baja tras septiembre (Deutsche Bank de 140 a 120 CHF) [22].</w:t>
      </w:r>
    </w:p>
    <w:p>
      <w:pPr>
        <w:keepNext/>
        <w:spacing w:after="100"/>
      </w:pPr>
      <w:r>
        <w:rPr>
          <w:b/>
          <w:bCs/>
        </w:rPr>
        <w:t xml:space="preserve">Del valor intrínseco al objetivo a 12 meses.</w:t>
      </w:r>
    </w:p>
    <w:p>
      <w:pPr>
        <w:spacing w:after="100"/>
      </w:pPr>
      <w:r>
        <w:t xml:space="preserve">El objetivo a 12 meses (150,49 USD, 120,39 CHF; +10,1 % con dividendo) está un 30 % por encima del valor intrínseco (115,63 USD): el mercado paga 14-15 veces un BPA core que sigue creciendo hasta 2030, y nuestro DCF descuenta además el valle de patentes de después de 2030 con un tipo en dólares del 5,22 %. Esa distancia no se cierra en un año: necesitaría una cartera que demuestre que repone Cosentyx, Kisqali y Kesimpta, o tipos más bajos. La tesis de valor es a más de un año y negativa; la de 12 meses, modestamente positiva.</w:t>
      </w:r>
    </w:p>
    <w:p>
      <w:r>
        <w:br w:type="page"/>
      </w:r>
    </w:p>
    <w:p>
      <w:pPr>
        <w:pStyle w:val="Parte"/>
      </w:pPr>
      <w:r>
        <w:t xml:space="preserve">Parte V — Tesis, riesgos y seguimiento</w:t>
      </w:r>
    </w:p>
    <w:p>
      <w:pPr>
        <w:pStyle w:val="Heading1"/>
      </w:pPr>
      <w:r>
        <w:t xml:space="preserve">24. Catalizadores</w:t>
      </w:r>
    </w:p>
    <w:p>
      <w:pPr>
        <w:pStyle w:val="Confianza"/>
        <w:spacing w:after="100"/>
      </w:pPr>
      <w:r>
        <w:t xml:space="preserve">Confianza: Media</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1189"/>
        <w:gridCol w:w="3093"/>
        <w:gridCol w:w="3569"/>
        <w:gridCol w:w="832"/>
        <w:gridCol w:w="955"/>
      </w:tblGrid>
      <w:tr>
        <w:trPr>
          <w:cantSplit/>
          <w:tblHeader/>
        </w:trPr>
        <w:tc>
          <w:tcPr>
            <w:tcW w:type="dxa" w:w="1189"/>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Fecha</w:t>
            </w:r>
          </w:p>
        </w:tc>
        <w:tc>
          <w:tcPr>
            <w:tcW w:type="dxa" w:w="3093"/>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Evento</w:t>
            </w:r>
          </w:p>
        </w:tc>
        <w:tc>
          <w:tcPr>
            <w:tcW w:type="dxa" w:w="3569"/>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Qué se sabrá</w:t>
            </w:r>
          </w:p>
        </w:tc>
        <w:tc>
          <w:tcPr>
            <w:tcW w:type="dxa" w:w="832"/>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center"/>
            </w:pPr>
            <w:r>
              <w:rPr>
                <w:rFonts w:ascii="Calibri" w:cs="Calibri" w:eastAsia="Calibri" w:hAnsi="Calibri"/>
                <w:b/>
                <w:bCs/>
                <w:color w:val="FFFFFF"/>
                <w:sz w:val="16"/>
                <w:szCs w:val="16"/>
              </w:rPr>
              <w:t xml:space="preserve">Prob.</w:t>
            </w:r>
          </w:p>
        </w:tc>
        <w:tc>
          <w:tcPr>
            <w:tcW w:type="dxa" w:w="955"/>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center"/>
            </w:pPr>
            <w:r>
              <w:rPr>
                <w:rFonts w:ascii="Calibri" w:cs="Calibri" w:eastAsia="Calibri" w:hAnsi="Calibri"/>
                <w:b/>
                <w:bCs/>
                <w:color w:val="FFFFFF"/>
                <w:sz w:val="16"/>
                <w:szCs w:val="16"/>
              </w:rPr>
              <w:t xml:space="preserve">Sentido</w:t>
            </w:r>
          </w:p>
        </w:tc>
      </w:tr>
      <w:tr>
        <w:trPr>
          <w:cantSplit/>
        </w:trPr>
        <w:tc>
          <w:tcPr>
            <w:tcW w:type="dxa" w:w="118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27-oct-2026</w:t>
            </w:r>
          </w:p>
        </w:tc>
        <w:tc>
          <w:tcPr>
            <w:tcW w:type="dxa" w:w="309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Resultados del 3T26</w:t>
            </w:r>
          </w:p>
        </w:tc>
        <w:tc>
          <w:tcPr>
            <w:tcW w:type="dxa" w:w="356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Prueba de la aceleración del 2S que guía la dirección y primera lectura del posible deterioro de Avidity [36].</w:t>
            </w:r>
          </w:p>
        </w:tc>
        <w:tc>
          <w:tcPr>
            <w:tcW w:type="dxa" w:w="832"/>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Alta</w:t>
            </w:r>
          </w:p>
        </w:tc>
        <w:tc>
          <w:tcPr>
            <w:tcW w:type="dxa" w:w="95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w:t>
            </w:r>
          </w:p>
        </w:tc>
      </w:tr>
      <w:tr>
        <w:trPr>
          <w:cantSplit/>
        </w:trPr>
        <w:tc>
          <w:tcPr>
            <w:tcW w:type="dxa" w:w="118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4T26</w:t>
            </w:r>
          </w:p>
        </w:tc>
        <w:tc>
          <w:tcPr>
            <w:tcW w:type="dxa" w:w="309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Datos completos de Lp(a)HORIZON en un congreso</w:t>
            </w:r>
          </w:p>
        </w:tc>
        <w:tc>
          <w:tcPr>
            <w:tcW w:type="dxa" w:w="356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Si algún subgrupo muestra beneficio, opción regulatoria; si no, cierre del programa [21].</w:t>
            </w:r>
          </w:p>
        </w:tc>
        <w:tc>
          <w:tcPr>
            <w:tcW w:type="dxa" w:w="832"/>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Media</w:t>
            </w:r>
          </w:p>
        </w:tc>
        <w:tc>
          <w:tcPr>
            <w:tcW w:type="dxa" w:w="95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w:t>
            </w:r>
          </w:p>
        </w:tc>
      </w:tr>
      <w:tr>
        <w:trPr>
          <w:cantSplit/>
        </w:trPr>
        <w:tc>
          <w:tcPr>
            <w:tcW w:type="dxa" w:w="118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Febrero de 2027</w:t>
            </w:r>
          </w:p>
        </w:tc>
        <w:tc>
          <w:tcPr>
            <w:tcW w:type="dxa" w:w="309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Resultados de 2026 y guía de 2027</w:t>
            </w:r>
          </w:p>
        </w:tc>
        <w:tc>
          <w:tcPr>
            <w:tcW w:type="dxa" w:w="356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La guía debería volver a crecimiento del resultado operativo core; un recorte del 5-6 % a medio plazo bajaría el BPA de 2028e [19].</w:t>
            </w:r>
          </w:p>
        </w:tc>
        <w:tc>
          <w:tcPr>
            <w:tcW w:type="dxa" w:w="832"/>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Alta</w:t>
            </w:r>
          </w:p>
        </w:tc>
        <w:tc>
          <w:tcPr>
            <w:tcW w:type="dxa" w:w="95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w:t>
            </w:r>
          </w:p>
        </w:tc>
      </w:tr>
      <w:tr>
        <w:trPr>
          <w:cantSplit/>
        </w:trPr>
        <w:tc>
          <w:tcPr>
            <w:tcW w:type="dxa" w:w="118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2026-2027</w:t>
            </w:r>
          </w:p>
        </w:tc>
        <w:tc>
          <w:tcPr>
            <w:tcW w:type="dxa" w:w="309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Ejecución de los 5.600 M USD que quedan de la recompra</w:t>
            </w:r>
          </w:p>
        </w:tc>
        <w:tc>
          <w:tcPr>
            <w:tcW w:type="dxa" w:w="356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≈2 % del capital: sostiene el BPA [11].</w:t>
            </w:r>
          </w:p>
        </w:tc>
        <w:tc>
          <w:tcPr>
            <w:tcW w:type="dxa" w:w="832"/>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Alta</w:t>
            </w:r>
          </w:p>
        </w:tc>
        <w:tc>
          <w:tcPr>
            <w:tcW w:type="dxa" w:w="95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w:t>
            </w:r>
          </w:p>
        </w:tc>
      </w:tr>
      <w:tr>
        <w:trPr>
          <w:cantSplit/>
        </w:trPr>
        <w:tc>
          <w:tcPr>
            <w:tcW w:type="dxa" w:w="1189"/>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Marzo de 2027</w:t>
            </w:r>
          </w:p>
        </w:tc>
        <w:tc>
          <w:tcPr>
            <w:tcW w:type="dxa" w:w="309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Junta y dividendo de 2026</w:t>
            </w:r>
          </w:p>
        </w:tc>
        <w:tc>
          <w:tcPr>
            <w:tcW w:type="dxa" w:w="3569"/>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Trigésima subida seguida en francos (≈3,3 % de rentabilidad) [17].</w:t>
            </w:r>
          </w:p>
        </w:tc>
        <w:tc>
          <w:tcPr>
            <w:tcW w:type="dxa" w:w="832"/>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val="false"/>
                <w:bCs w:val="false"/>
                <w:color w:val="1F2A3C"/>
                <w:sz w:val="16"/>
                <w:szCs w:val="16"/>
              </w:rPr>
              <w:t xml:space="preserve">Alta</w:t>
            </w:r>
          </w:p>
        </w:tc>
        <w:tc>
          <w:tcPr>
            <w:tcW w:type="dxa" w:w="955"/>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val="false"/>
                <w:bCs w:val="false"/>
                <w:color w:val="1F2A3C"/>
                <w:sz w:val="16"/>
                <w:szCs w:val="16"/>
              </w:rPr>
              <w:t xml:space="preserve">+</w:t>
            </w:r>
          </w:p>
        </w:tc>
      </w:tr>
    </w:tbl>
    <w:p>
      <w:pPr>
        <w:spacing w:after="160" w:before="0"/>
      </w:pPr>
    </w:p>
    <w:p>
      <w:pPr>
        <w:pStyle w:val="Heading1"/>
      </w:pPr>
      <w:r>
        <w:t xml:space="preserve">25. Riesgos y pre-mortem</w:t>
      </w:r>
    </w:p>
    <w:p>
      <w:pPr>
        <w:pStyle w:val="Confianza"/>
        <w:spacing w:after="100"/>
      </w:pPr>
      <w:r>
        <w:t xml:space="preserve">Confianza: Media</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419"/>
        <w:gridCol w:w="2095"/>
        <w:gridCol w:w="942"/>
        <w:gridCol w:w="628"/>
        <w:gridCol w:w="733"/>
        <w:gridCol w:w="1047"/>
        <w:gridCol w:w="1885"/>
        <w:gridCol w:w="1889"/>
      </w:tblGrid>
      <w:tr>
        <w:trPr>
          <w:cantSplit/>
          <w:tblHeader/>
        </w:trPr>
        <w:tc>
          <w:tcPr>
            <w:tcW w:type="dxa" w:w="419"/>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center"/>
            </w:pPr>
            <w:r>
              <w:rPr>
                <w:rFonts w:ascii="Calibri" w:cs="Calibri" w:eastAsia="Calibri" w:hAnsi="Calibri"/>
                <w:b/>
                <w:bCs/>
                <w:color w:val="FFFFFF"/>
                <w:sz w:val="16"/>
                <w:szCs w:val="16"/>
              </w:rPr>
              <w:t xml:space="preserve">#</w:t>
            </w:r>
          </w:p>
        </w:tc>
        <w:tc>
          <w:tcPr>
            <w:tcW w:type="dxa" w:w="2095"/>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Riesgo</w:t>
            </w:r>
          </w:p>
        </w:tc>
        <w:tc>
          <w:tcPr>
            <w:tcW w:type="dxa" w:w="942"/>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Tipo</w:t>
            </w:r>
          </w:p>
        </w:tc>
        <w:tc>
          <w:tcPr>
            <w:tcW w:type="dxa" w:w="628"/>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center"/>
            </w:pPr>
            <w:r>
              <w:rPr>
                <w:rFonts w:ascii="Calibri" w:cs="Calibri" w:eastAsia="Calibri" w:hAnsi="Calibri"/>
                <w:b/>
                <w:bCs/>
                <w:color w:val="FFFFFF"/>
                <w:sz w:val="16"/>
                <w:szCs w:val="16"/>
              </w:rPr>
              <w:t xml:space="preserve">Prob.</w:t>
            </w:r>
          </w:p>
        </w:tc>
        <w:tc>
          <w:tcPr>
            <w:tcW w:type="dxa" w:w="733"/>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center"/>
            </w:pPr>
            <w:r>
              <w:rPr>
                <w:rFonts w:ascii="Calibri" w:cs="Calibri" w:eastAsia="Calibri" w:hAnsi="Calibri"/>
                <w:b/>
                <w:bCs/>
                <w:color w:val="FFFFFF"/>
                <w:sz w:val="16"/>
                <w:szCs w:val="16"/>
              </w:rPr>
              <w:t xml:space="preserve">Impacto</w:t>
            </w:r>
          </w:p>
        </w:tc>
        <w:tc>
          <w:tcPr>
            <w:tcW w:type="dxa" w:w="1047"/>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center"/>
            </w:pPr>
            <w:r>
              <w:rPr>
                <w:rFonts w:ascii="Calibri" w:cs="Calibri" w:eastAsia="Calibri" w:hAnsi="Calibri"/>
                <w:b/>
                <w:bCs/>
                <w:color w:val="FFFFFF"/>
                <w:sz w:val="16"/>
                <w:szCs w:val="16"/>
              </w:rPr>
              <w:t xml:space="preserve">Efecto en valor</w:t>
            </w:r>
          </w:p>
        </w:tc>
        <w:tc>
          <w:tcPr>
            <w:tcW w:type="dxa" w:w="1885"/>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Mitigante</w:t>
            </w:r>
          </w:p>
        </w:tc>
        <w:tc>
          <w:tcPr>
            <w:tcW w:type="dxa" w:w="1889"/>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Señal de alerta</w:t>
            </w:r>
          </w:p>
        </w:tc>
      </w:tr>
      <w:tr>
        <w:trPr>
          <w:cantSplit/>
        </w:trPr>
        <w:tc>
          <w:tcPr>
            <w:tcW w:type="dxa" w:w="41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1</w:t>
            </w:r>
          </w:p>
        </w:tc>
        <w:tc>
          <w:tcPr>
            <w:tcW w:type="dxa" w:w="209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La cartera no repone los vencimientos de principios de los años 2030 (Cosentyx, Kisqali, Kesimpta)</w:t>
            </w:r>
          </w:p>
        </w:tc>
        <w:tc>
          <w:tcPr>
            <w:tcW w:type="dxa" w:w="942"/>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Negocio</w:t>
            </w:r>
          </w:p>
        </w:tc>
        <w:tc>
          <w:tcPr>
            <w:tcW w:type="dxa" w:w="62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Media</w:t>
            </w:r>
          </w:p>
        </w:tc>
        <w:tc>
          <w:tcPr>
            <w:tcW w:type="dxa" w:w="73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Alto</w:t>
            </w:r>
          </w:p>
        </w:tc>
        <w:tc>
          <w:tcPr>
            <w:tcW w:type="dxa" w:w="104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−25 % (bajista del DCF: 82,32 USD)</w:t>
            </w:r>
          </w:p>
        </w:tc>
        <w:tc>
          <w:tcPr>
            <w:tcW w:type="dxa" w:w="188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Ventas de Kisqali y Pluvicto todavía creciendo; caja para compras.</w:t>
            </w:r>
          </w:p>
        </w:tc>
        <w:tc>
          <w:tcPr>
            <w:tcW w:type="dxa" w:w="188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Lecturas de fase III de 2027 y guía a medio plazo.</w:t>
            </w:r>
          </w:p>
        </w:tc>
      </w:tr>
      <w:tr>
        <w:trPr>
          <w:cantSplit/>
        </w:trPr>
        <w:tc>
          <w:tcPr>
            <w:tcW w:type="dxa" w:w="41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2</w:t>
            </w:r>
          </w:p>
        </w:tc>
        <w:tc>
          <w:tcPr>
            <w:tcW w:type="dxa" w:w="209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Deterioro de Avidity y nuevas compras caras</w:t>
            </w:r>
          </w:p>
        </w:tc>
        <w:tc>
          <w:tcPr>
            <w:tcW w:type="dxa" w:w="942"/>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Asignación de capital</w:t>
            </w:r>
          </w:p>
        </w:tc>
        <w:tc>
          <w:tcPr>
            <w:tcW w:type="dxa" w:w="62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Media</w:t>
            </w:r>
          </w:p>
        </w:tc>
        <w:tc>
          <w:tcPr>
            <w:tcW w:type="dxa" w:w="73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Medio</w:t>
            </w:r>
          </w:p>
        </w:tc>
        <w:tc>
          <w:tcPr>
            <w:tcW w:type="dxa" w:w="104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−4 % (≈11.000 M USD de valor empresa pagado)</w:t>
            </w:r>
          </w:p>
        </w:tc>
        <w:tc>
          <w:tcPr>
            <w:tcW w:type="dxa" w:w="188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Quedan los programas de FSHD y Duchenne.</w:t>
            </w:r>
          </w:p>
        </w:tc>
        <w:tc>
          <w:tcPr>
            <w:tcW w:type="dxa" w:w="188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Deterioros en el 3T-4T26.</w:t>
            </w:r>
          </w:p>
        </w:tc>
      </w:tr>
      <w:tr>
        <w:trPr>
          <w:cantSplit/>
        </w:trPr>
        <w:tc>
          <w:tcPr>
            <w:tcW w:type="dxa" w:w="41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3</w:t>
            </w:r>
          </w:p>
        </w:tc>
        <w:tc>
          <w:tcPr>
            <w:tcW w:type="dxa" w:w="209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Precios en EE. UU. (IRA, nación más favorecida, aranceles)</w:t>
            </w:r>
          </w:p>
        </w:tc>
        <w:tc>
          <w:tcPr>
            <w:tcW w:type="dxa" w:w="942"/>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Regulatorio</w:t>
            </w:r>
          </w:p>
        </w:tc>
        <w:tc>
          <w:tcPr>
            <w:tcW w:type="dxa" w:w="62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Media</w:t>
            </w:r>
          </w:p>
        </w:tc>
        <w:tc>
          <w:tcPr>
            <w:tcW w:type="dxa" w:w="73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Alto</w:t>
            </w:r>
          </w:p>
        </w:tc>
        <w:tc>
          <w:tcPr>
            <w:tcW w:type="dxa" w:w="104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−10 % por cada punto menos de margen sostenido</w:t>
            </w:r>
          </w:p>
        </w:tc>
        <w:tc>
          <w:tcPr>
            <w:tcW w:type="dxa" w:w="188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Acuerdos de 2025 y fabricación en EE. UU.</w:t>
            </w:r>
          </w:p>
        </w:tc>
        <w:tc>
          <w:tcPr>
            <w:tcW w:type="dxa" w:w="188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Lista de fármacos negociados por Medicare.</w:t>
            </w:r>
          </w:p>
        </w:tc>
      </w:tr>
      <w:tr>
        <w:trPr>
          <w:cantSplit/>
        </w:trPr>
        <w:tc>
          <w:tcPr>
            <w:tcW w:type="dxa" w:w="41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4</w:t>
            </w:r>
          </w:p>
        </w:tc>
        <w:tc>
          <w:tcPr>
            <w:tcW w:type="dxa" w:w="209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Erosión de Entresto más rápida o genéricos de otros productos antes de lo previsto</w:t>
            </w:r>
          </w:p>
        </w:tc>
        <w:tc>
          <w:tcPr>
            <w:tcW w:type="dxa" w:w="942"/>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Negocio</w:t>
            </w:r>
          </w:p>
        </w:tc>
        <w:tc>
          <w:tcPr>
            <w:tcW w:type="dxa" w:w="62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Media</w:t>
            </w:r>
          </w:p>
        </w:tc>
        <w:tc>
          <w:tcPr>
            <w:tcW w:type="dxa" w:w="73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Medio</w:t>
            </w:r>
          </w:p>
        </w:tc>
        <w:tc>
          <w:tcPr>
            <w:tcW w:type="dxa" w:w="104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−5 %</w:t>
            </w:r>
          </w:p>
        </w:tc>
        <w:tc>
          <w:tcPr>
            <w:tcW w:type="dxa" w:w="188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Guía del 2S que ya asume menos erosión.</w:t>
            </w:r>
          </w:p>
        </w:tc>
        <w:tc>
          <w:tcPr>
            <w:tcW w:type="dxa" w:w="188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Ventas de Entresto del 3T26.</w:t>
            </w:r>
          </w:p>
        </w:tc>
      </w:tr>
      <w:tr>
        <w:trPr>
          <w:cantSplit/>
        </w:trPr>
        <w:tc>
          <w:tcPr>
            <w:tcW w:type="dxa" w:w="41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5</w:t>
            </w:r>
          </w:p>
        </w:tc>
        <w:tc>
          <w:tcPr>
            <w:tcW w:type="dxa" w:w="209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Tipos en dólares altos (bono a 10 años al 5,22 %)</w:t>
            </w:r>
          </w:p>
        </w:tc>
        <w:tc>
          <w:tcPr>
            <w:tcW w:type="dxa" w:w="942"/>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Mercado</w:t>
            </w:r>
          </w:p>
        </w:tc>
        <w:tc>
          <w:tcPr>
            <w:tcW w:type="dxa" w:w="62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Media</w:t>
            </w:r>
          </w:p>
        </w:tc>
        <w:tc>
          <w:tcPr>
            <w:tcW w:type="dxa" w:w="73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Medio</w:t>
            </w:r>
          </w:p>
        </w:tc>
        <w:tc>
          <w:tcPr>
            <w:tcW w:type="dxa" w:w="104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±0,5 puntos de WACC mueven el DCF entre 95,65 y 129,36 USD</w:t>
            </w:r>
          </w:p>
        </w:tc>
        <w:tc>
          <w:tcPr>
            <w:tcW w:type="dxa" w:w="188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Flujo libre estable.</w:t>
            </w:r>
          </w:p>
        </w:tc>
        <w:tc>
          <w:tcPr>
            <w:tcW w:type="dxa" w:w="188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Bono estadounidense a 10 años.</w:t>
            </w:r>
          </w:p>
        </w:tc>
      </w:tr>
      <w:tr>
        <w:trPr>
          <w:cantSplit/>
        </w:trPr>
        <w:tc>
          <w:tcPr>
            <w:tcW w:type="dxa" w:w="419"/>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val="false"/>
                <w:bCs w:val="false"/>
                <w:color w:val="1F2A3C"/>
                <w:sz w:val="16"/>
                <w:szCs w:val="16"/>
              </w:rPr>
              <w:t xml:space="preserve">6</w:t>
            </w:r>
          </w:p>
        </w:tc>
        <w:tc>
          <w:tcPr>
            <w:tcW w:type="dxa" w:w="2095"/>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Franco fuerte frente al dólar</w:t>
            </w:r>
          </w:p>
        </w:tc>
        <w:tc>
          <w:tcPr>
            <w:tcW w:type="dxa" w:w="942"/>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Divisa</w:t>
            </w:r>
          </w:p>
        </w:tc>
        <w:tc>
          <w:tcPr>
            <w:tcW w:type="dxa" w:w="628"/>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val="false"/>
                <w:bCs w:val="false"/>
                <w:color w:val="1F2A3C"/>
                <w:sz w:val="16"/>
                <w:szCs w:val="16"/>
              </w:rPr>
              <w:t xml:space="preserve">Media</w:t>
            </w:r>
          </w:p>
        </w:tc>
        <w:tc>
          <w:tcPr>
            <w:tcW w:type="dxa" w:w="73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val="false"/>
                <w:bCs w:val="false"/>
                <w:color w:val="1F2A3C"/>
                <w:sz w:val="16"/>
                <w:szCs w:val="16"/>
              </w:rPr>
              <w:t xml:space="preserve">Bajo</w:t>
            </w:r>
          </w:p>
        </w:tc>
        <w:tc>
          <w:tcPr>
            <w:tcW w:type="dxa" w:w="104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val="false"/>
                <w:bCs w:val="false"/>
                <w:color w:val="1F2A3C"/>
                <w:sz w:val="16"/>
                <w:szCs w:val="16"/>
              </w:rPr>
              <w:t xml:space="preserve">Para el inversor en francos, un 5 % de dólar más débil resta un 5 % al valor en CHF</w:t>
            </w:r>
          </w:p>
        </w:tc>
        <w:tc>
          <w:tcPr>
            <w:tcW w:type="dxa" w:w="1885"/>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Costes en francos en Suiza.</w:t>
            </w:r>
          </w:p>
        </w:tc>
        <w:tc>
          <w:tcPr>
            <w:tcW w:type="dxa" w:w="1889"/>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USD/CHF.</w:t>
            </w:r>
          </w:p>
        </w:tc>
      </w:tr>
    </w:tbl>
    <w:p>
      <w:pPr>
        <w:spacing w:after="160" w:before="0"/>
      </w:pPr>
    </w:p>
    <w:p>
      <w:pPr>
        <w:pStyle w:val="Heading2"/>
      </w:pPr>
      <w:r>
        <w:t xml:space="preserve">Pre-mortem</w:t>
      </w:r>
    </w:p>
    <w:p>
      <w:pPr>
        <w:spacing w:after="100"/>
      </w:pPr>
      <w:r>
        <w:t xml:space="preserve">Octubre de 2029: la acción ha perdido un 40 %. La historia más probable empieza en septiembre de 2026: tras pelacarsen y del-desiran, la dirección compró otra biotecnológica cara para tapar el hueco de 2031 y la deuda neta pasó de 1,7 a 3 veces el EBITDA. En 2028 la guía del 5-6 % anual se recortó al 3 % porque Pluvicto y remibrutinib vendieron menos de lo previsto y Medicare negoció el precio de Cosentyx. El mercado dejó de pagar 14-15 veces un BPA que iba a caer con los genéricos de Kisqali y la valoró como Sanofi o GSK, a 10-12 veces. La señal temprana habría sido la guía de 2027 (febrero): si el resultado operativo core no vuelve a crecer al menos un dígito medio, el BPA de 2028e (10,57 USD en nuestro base) no se alcanza.</w:t>
      </w:r>
    </w:p>
    <w:p>
      <w:pPr>
        <w:pStyle w:val="Heading1"/>
      </w:pPr>
      <w:r>
        <w:t xml:space="preserve">26. ESG y controversias</w:t>
      </w:r>
    </w:p>
    <w:p>
      <w:pPr>
        <w:pStyle w:val="Confianza"/>
        <w:spacing w:after="100"/>
      </w:pPr>
      <w:r>
        <w:t xml:space="preserve">Confianza: Baja</w:t>
      </w:r>
    </w:p>
    <w:p>
      <w:pPr>
        <w:spacing w:after="160" w:before="0"/>
      </w:pPr>
    </w:p>
    <w:p>
      <w:pPr>
        <w:pStyle w:val="Heading2"/>
      </w:pPr>
      <w:r>
        <w:t xml:space="preserve">Asuntos materiales</w:t>
      </w:r>
    </w:p>
    <w:p>
      <w:pPr>
        <w:spacing w:after="100"/>
      </w:pPr>
      <w:r>
        <w:t xml:space="preserve">Los asuntos ESG que más pesan en las cifras son el acceso y el precio de los medicamentos (IRA y nación más favorecida en EE. UU.) y la ética de la investigación clínica. No hemos podido leer el informe de sostenibilidad ni las calificaciones de MSCI o Sustainalytics (hueco).</w:t>
      </w:r>
    </w:p>
    <w:p>
      <w:pPr>
        <w:pStyle w:val="Heading2"/>
      </w:pPr>
      <w:r>
        <w:t xml:space="preserve">Controversias</w:t>
      </w:r>
    </w:p>
    <w:p>
      <w:pPr>
        <w:spacing w:after="100"/>
      </w:pPr>
      <w:r>
        <w:t xml:space="preserve">No hemos encontrado sanciones nuevas en los últimos doce meses en los extractos revisados; la búsqueda específica no se hizo por el cupo compartido (hueco).</w:t>
      </w:r>
    </w:p>
    <w:p>
      <w:pPr>
        <w:pStyle w:val="Heading1"/>
      </w:pPr>
      <w:r>
        <w:t xml:space="preserve">27. Preguntas abiertas para la dirección y la due diligence</w:t>
      </w:r>
    </w:p>
    <w:p>
      <w:pPr>
        <w:pStyle w:val="Confianza"/>
        <w:spacing w:after="100"/>
      </w:pPr>
      <w:r>
        <w:t xml:space="preserve">Confianza: Media</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488"/>
        <w:gridCol w:w="1585"/>
        <w:gridCol w:w="4392"/>
        <w:gridCol w:w="3173"/>
      </w:tblGrid>
      <w:tr>
        <w:trPr>
          <w:cantSplit/>
          <w:tblHeader/>
        </w:trPr>
        <w:tc>
          <w:tcPr>
            <w:tcW w:type="dxa" w:w="488"/>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center"/>
            </w:pPr>
            <w:r>
              <w:rPr>
                <w:rFonts w:ascii="Calibri" w:cs="Calibri" w:eastAsia="Calibri" w:hAnsi="Calibri"/>
                <w:b/>
                <w:bCs/>
                <w:color w:val="FFFFFF"/>
                <w:sz w:val="16"/>
                <w:szCs w:val="16"/>
              </w:rPr>
              <w:t xml:space="preserve">#</w:t>
            </w:r>
          </w:p>
        </w:tc>
        <w:tc>
          <w:tcPr>
            <w:tcW w:type="dxa" w:w="1585"/>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Tema</w:t>
            </w:r>
          </w:p>
        </w:tc>
        <w:tc>
          <w:tcPr>
            <w:tcW w:type="dxa" w:w="4392"/>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Pregunta</w:t>
            </w:r>
          </w:p>
        </w:tc>
        <w:tc>
          <w:tcPr>
            <w:tcW w:type="dxa" w:w="3173"/>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Por qué importa</w:t>
            </w:r>
          </w:p>
        </w:tc>
      </w:tr>
      <w:tr>
        <w:trPr>
          <w:cantSplit/>
        </w:trPr>
        <w:tc>
          <w:tcPr>
            <w:tcW w:type="dxa" w:w="48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1</w:t>
            </w:r>
          </w:p>
        </w:tc>
        <w:tc>
          <w:tcPr>
            <w:tcW w:type="dxa" w:w="158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Avidity</w:t>
            </w:r>
          </w:p>
        </w:tc>
        <w:tc>
          <w:tcPr>
            <w:tcW w:type="dxa" w:w="4392"/>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¿Qué valor contable queda de Avidity tras HARBOR y qué esperan de los programas de FSHD y Duchenne?</w:t>
            </w:r>
          </w:p>
        </w:tc>
        <w:tc>
          <w:tcPr>
            <w:tcW w:type="dxa" w:w="317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Hasta ≈11.000 M USD pagados; define si hay deterioro y cómo se mide el éxito de las compras [15].</w:t>
            </w:r>
          </w:p>
        </w:tc>
      </w:tr>
      <w:tr>
        <w:trPr>
          <w:cantSplit/>
        </w:trPr>
        <w:tc>
          <w:tcPr>
            <w:tcW w:type="dxa" w:w="48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2</w:t>
            </w:r>
          </w:p>
        </w:tc>
        <w:tc>
          <w:tcPr>
            <w:tcW w:type="dxa" w:w="158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Precipicio de patentes</w:t>
            </w:r>
          </w:p>
        </w:tc>
        <w:tc>
          <w:tcPr>
            <w:tcW w:type="dxa" w:w="4392"/>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¿Qué ventas de productos aún en fase III cuenta el objetivo del 5-6 % anual hasta 2030 y cuánto de Kisqali, Cosentyx y Kesimpta se pierde en 2031-2033?</w:t>
            </w:r>
          </w:p>
        </w:tc>
        <w:tc>
          <w:tcPr>
            <w:tcW w:type="dxa" w:w="317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Es lo que separa nuestro DCF del precio.</w:t>
            </w:r>
          </w:p>
        </w:tc>
      </w:tr>
      <w:tr>
        <w:trPr>
          <w:cantSplit/>
        </w:trPr>
        <w:tc>
          <w:tcPr>
            <w:tcW w:type="dxa" w:w="48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3</w:t>
            </w:r>
          </w:p>
        </w:tc>
        <w:tc>
          <w:tcPr>
            <w:tcW w:type="dxa" w:w="158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Pelacarsen</w:t>
            </w:r>
          </w:p>
        </w:tc>
        <w:tc>
          <w:tcPr>
            <w:tcW w:type="dxa" w:w="4392"/>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¿Hay algún subgrupo con beneficio que justifique un registro?</w:t>
            </w:r>
          </w:p>
        </w:tc>
        <w:tc>
          <w:tcPr>
            <w:tcW w:type="dxa" w:w="317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El consenso llevaba ≈1.000 M USD en 2030 [22].</w:t>
            </w:r>
          </w:p>
        </w:tc>
      </w:tr>
      <w:tr>
        <w:trPr>
          <w:cantSplit/>
        </w:trPr>
        <w:tc>
          <w:tcPr>
            <w:tcW w:type="dxa" w:w="48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4</w:t>
            </w:r>
          </w:p>
        </w:tc>
        <w:tc>
          <w:tcPr>
            <w:tcW w:type="dxa" w:w="158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Capital</w:t>
            </w:r>
          </w:p>
        </w:tc>
        <w:tc>
          <w:tcPr>
            <w:tcW w:type="dxa" w:w="4392"/>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¿Mantienen la recompra de 10.000 M con la deuda neta en 39.400 M o priorizan compras?</w:t>
            </w:r>
          </w:p>
        </w:tc>
        <w:tc>
          <w:tcPr>
            <w:tcW w:type="dxa" w:w="317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La recompra sostiene el BPA de 2028e.</w:t>
            </w:r>
          </w:p>
        </w:tc>
      </w:tr>
      <w:tr>
        <w:trPr>
          <w:cantSplit/>
        </w:trPr>
        <w:tc>
          <w:tcPr>
            <w:tcW w:type="dxa" w:w="48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5</w:t>
            </w:r>
          </w:p>
        </w:tc>
        <w:tc>
          <w:tcPr>
            <w:tcW w:type="dxa" w:w="158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Precios en EE. UU.</w:t>
            </w:r>
          </w:p>
        </w:tc>
        <w:tc>
          <w:tcPr>
            <w:tcW w:type="dxa" w:w="4392"/>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¿Qué efecto tienen los acuerdos de nación más favorecida en el margen core de 2027?</w:t>
            </w:r>
          </w:p>
        </w:tc>
        <w:tc>
          <w:tcPr>
            <w:tcW w:type="dxa" w:w="317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Un punto de margen sostenido mueve el valor ≈10 %.</w:t>
            </w:r>
          </w:p>
        </w:tc>
      </w:tr>
      <w:tr>
        <w:trPr>
          <w:cantSplit/>
        </w:trPr>
        <w:tc>
          <w:tcPr>
            <w:tcW w:type="dxa" w:w="488"/>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val="false"/>
                <w:bCs w:val="false"/>
                <w:color w:val="1F2A3C"/>
                <w:sz w:val="16"/>
                <w:szCs w:val="16"/>
              </w:rPr>
              <w:t xml:space="preserve">6</w:t>
            </w:r>
          </w:p>
        </w:tc>
        <w:tc>
          <w:tcPr>
            <w:tcW w:type="dxa" w:w="1585"/>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Remuneración</w:t>
            </w:r>
          </w:p>
        </w:tc>
        <w:tc>
          <w:tcPr>
            <w:tcW w:type="dxa" w:w="4392"/>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¿Qué peso tienen las métricas core frente a las NIIF y el TSR en el variable a largo plazo?</w:t>
            </w:r>
          </w:p>
        </w:tc>
        <w:tc>
          <w:tcPr>
            <w:tcW w:type="dxa" w:w="317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El 11,6 % en contra en la junta de 2026 [25].</w:t>
            </w:r>
          </w:p>
        </w:tc>
      </w:tr>
    </w:tbl>
    <w:p>
      <w:pPr>
        <w:spacing w:after="160" w:before="0"/>
      </w:pPr>
    </w:p>
    <w:p>
      <w:pPr>
        <w:pStyle w:val="Heading1"/>
      </w:pPr>
      <w:r>
        <w:t xml:space="preserve">28. Sentimiento en foros y comentarios</w:t>
      </w:r>
    </w:p>
    <w:p>
      <w:pPr>
        <w:pStyle w:val="Confianza"/>
        <w:spacing w:after="100"/>
      </w:pPr>
      <w:r>
        <w:t xml:space="preserve">Confianza: Baja</w:t>
      </w:r>
    </w:p>
    <w:p>
      <w:pPr>
        <w:spacing w:after="100"/>
      </w:pPr>
      <w:r>
        <w:rPr>
          <w:b/>
          <w:bCs/>
        </w:rPr>
        <w:t xml:space="preserve">Tono:</w:t>
      </w:r>
      <w:r>
        <w:t xml:space="preserve"> Negativo · </w:t>
      </w:r>
      <w:r>
        <w:rPr>
          <w:b/>
          <w:bCs/>
        </w:rPr>
        <w:t xml:space="preserve">Tendencia:</w:t>
      </w:r>
      <w:r>
        <w:t xml:space="preserve"> Empeora</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2168"/>
        <w:gridCol w:w="963"/>
        <w:gridCol w:w="1084"/>
        <w:gridCol w:w="1084"/>
        <w:gridCol w:w="4339"/>
      </w:tblGrid>
      <w:tr>
        <w:trPr>
          <w:cantSplit/>
          <w:tblHeader/>
        </w:trPr>
        <w:tc>
          <w:tcPr>
            <w:tcW w:type="dxa" w:w="2168"/>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Dónde</w:t>
            </w:r>
          </w:p>
        </w:tc>
        <w:tc>
          <w:tcPr>
            <w:tcW w:type="dxa" w:w="963"/>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Fecha</w:t>
            </w:r>
          </w:p>
        </w:tc>
        <w:tc>
          <w:tcPr>
            <w:tcW w:type="dxa" w:w="1084"/>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Comentarios</w:t>
            </w:r>
          </w:p>
        </w:tc>
        <w:tc>
          <w:tcPr>
            <w:tcW w:type="dxa" w:w="1084"/>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center"/>
            </w:pPr>
            <w:r>
              <w:rPr>
                <w:rFonts w:ascii="Calibri" w:cs="Calibri" w:eastAsia="Calibri" w:hAnsi="Calibri"/>
                <w:b/>
                <w:bCs/>
                <w:color w:val="FFFFFF"/>
                <w:sz w:val="16"/>
                <w:szCs w:val="16"/>
              </w:rPr>
              <w:t xml:space="preserve">Tono</w:t>
            </w:r>
          </w:p>
        </w:tc>
        <w:tc>
          <w:tcPr>
            <w:tcW w:type="dxa" w:w="4339"/>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Qué se dice</w:t>
            </w:r>
          </w:p>
        </w:tc>
      </w:tr>
      <w:tr>
        <w:trPr>
          <w:cantSplit/>
        </w:trPr>
        <w:tc>
          <w:tcPr>
            <w:tcW w:type="dxa" w:w="216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cash.ch (noticias de pelacarsen y del-desiran con comentarios de lectores)</w:t>
            </w:r>
          </w:p>
        </w:tc>
        <w:tc>
          <w:tcPr>
            <w:tcW w:type="dxa" w:w="96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2026-09</w:t>
            </w:r>
          </w:p>
        </w:tc>
        <w:tc>
          <w:tcPr>
            <w:tcW w:type="dxa" w:w="1084"/>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20</w:t>
            </w:r>
          </w:p>
        </w:tc>
        <w:tc>
          <w:tcPr>
            <w:tcW w:type="dxa" w:w="1084"/>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Negativo</w:t>
            </w:r>
          </w:p>
        </w:tc>
        <w:tc>
          <w:tcPr>
            <w:tcW w:type="dxa" w:w="433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Los lectores se preguntan si la compra de Avidity fue un error y si la I+D cardiovascular de Novartis sirve; pocos defienden comprar en la caída [22, 41].</w:t>
            </w:r>
          </w:p>
        </w:tc>
      </w:tr>
      <w:tr>
        <w:trPr>
          <w:cantSplit/>
        </w:trPr>
        <w:tc>
          <w:tcPr>
            <w:tcW w:type="dxa" w:w="216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TIKR (blog con debate de inversores)</w:t>
            </w:r>
          </w:p>
        </w:tc>
        <w:tc>
          <w:tcPr>
            <w:tcW w:type="dxa" w:w="96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2026-09</w:t>
            </w:r>
          </w:p>
        </w:tc>
        <w:tc>
          <w:tcPr>
            <w:tcW w:type="dxa" w:w="1084"/>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10</w:t>
            </w:r>
          </w:p>
        </w:tc>
        <w:tc>
          <w:tcPr>
            <w:tcW w:type="dxa" w:w="1084"/>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Dividido</w:t>
            </w:r>
          </w:p>
        </w:tc>
        <w:tc>
          <w:tcPr>
            <w:tcW w:type="dxa" w:w="433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Peor día de la historia de la acción; el escenario medio del autor sigue siendo alcista, pero los analistas quedan repartidos (9 a favor, 10 neutrales, 4 en contra) [31].</w:t>
            </w:r>
          </w:p>
        </w:tc>
      </w:tr>
      <w:tr>
        <w:trPr>
          <w:cantSplit/>
        </w:trPr>
        <w:tc>
          <w:tcPr>
            <w:tcW w:type="dxa" w:w="216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XTB y blue News (análisis de mercado para particulares)</w:t>
            </w:r>
          </w:p>
        </w:tc>
        <w:tc>
          <w:tcPr>
            <w:tcW w:type="dxa" w:w="96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2026-09</w:t>
            </w:r>
          </w:p>
        </w:tc>
        <w:tc>
          <w:tcPr>
            <w:tcW w:type="dxa" w:w="1084"/>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10</w:t>
            </w:r>
          </w:p>
        </w:tc>
        <w:tc>
          <w:tcPr>
            <w:tcW w:type="dxa" w:w="1084"/>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Negativo</w:t>
            </w:r>
          </w:p>
        </w:tc>
        <w:tc>
          <w:tcPr>
            <w:tcW w:type="dxa" w:w="433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Dos de tres estudios clave fallan en una semana: dudas sobre las fuentes de crecimiento tras los vencimientos de patentes [19, 20].</w:t>
            </w:r>
          </w:p>
        </w:tc>
      </w:tr>
      <w:tr>
        <w:trPr>
          <w:cantSplit/>
        </w:trPr>
        <w:tc>
          <w:tcPr>
            <w:tcW w:type="dxa" w:w="2168"/>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Allmind y portales de análisis automático</w:t>
            </w:r>
          </w:p>
        </w:tc>
        <w:tc>
          <w:tcPr>
            <w:tcW w:type="dxa" w:w="96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2026-09</w:t>
            </w:r>
          </w:p>
        </w:tc>
        <w:tc>
          <w:tcPr>
            <w:tcW w:type="dxa" w:w="1084"/>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5</w:t>
            </w:r>
          </w:p>
        </w:tc>
        <w:tc>
          <w:tcPr>
            <w:tcW w:type="dxa" w:w="1084"/>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val="false"/>
                <w:bCs w:val="false"/>
                <w:color w:val="1F2A3C"/>
                <w:sz w:val="16"/>
                <w:szCs w:val="16"/>
              </w:rPr>
              <w:t xml:space="preserve">Negativo</w:t>
            </w:r>
          </w:p>
        </w:tc>
        <w:tc>
          <w:tcPr>
            <w:tcW w:type="dxa" w:w="4339"/>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Recomiendan no comprar la caída hasta los resultados del 3T: la acción quedaría en un rango si la guía se recorta [42].</w:t>
            </w:r>
          </w:p>
        </w:tc>
      </w:tr>
    </w:tbl>
    <w:p>
      <w:pPr>
        <w:spacing w:after="160" w:before="0"/>
      </w:pP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2202"/>
        <w:gridCol w:w="1239"/>
        <w:gridCol w:w="963"/>
        <w:gridCol w:w="5234"/>
      </w:tblGrid>
      <w:tr>
        <w:trPr>
          <w:cantSplit/>
          <w:tblHeader/>
        </w:trPr>
        <w:tc>
          <w:tcPr>
            <w:tcW w:type="dxa" w:w="2202"/>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Tema</w:t>
            </w:r>
          </w:p>
        </w:tc>
        <w:tc>
          <w:tcPr>
            <w:tcW w:type="dxa" w:w="1239"/>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center"/>
            </w:pPr>
            <w:r>
              <w:rPr>
                <w:rFonts w:ascii="Calibri" w:cs="Calibri" w:eastAsia="Calibri" w:hAnsi="Calibri"/>
                <w:b/>
                <w:bCs/>
                <w:color w:val="FFFFFF"/>
                <w:sz w:val="16"/>
                <w:szCs w:val="16"/>
              </w:rPr>
              <w:t xml:space="preserve">Postura</w:t>
            </w:r>
          </w:p>
        </w:tc>
        <w:tc>
          <w:tcPr>
            <w:tcW w:type="dxa" w:w="963"/>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center"/>
            </w:pPr>
            <w:r>
              <w:rPr>
                <w:rFonts w:ascii="Calibri" w:cs="Calibri" w:eastAsia="Calibri" w:hAnsi="Calibri"/>
                <w:b/>
                <w:bCs/>
                <w:color w:val="FFFFFF"/>
                <w:sz w:val="16"/>
                <w:szCs w:val="16"/>
              </w:rPr>
              <w:t xml:space="preserve">Peso</w:t>
            </w:r>
          </w:p>
        </w:tc>
        <w:tc>
          <w:tcPr>
            <w:tcW w:type="dxa" w:w="5234"/>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Qué dicen los datos</w:t>
            </w:r>
          </w:p>
        </w:tc>
      </w:tr>
      <w:tr>
        <w:trPr>
          <w:cantSplit/>
        </w:trPr>
        <w:tc>
          <w:tcPr>
            <w:tcW w:type="dxa" w:w="2202"/>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Fracasos de pelacarsen y del-desiran</w:t>
            </w:r>
          </w:p>
        </w:tc>
        <w:tc>
          <w:tcPr>
            <w:tcW w:type="dxa" w:w="123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Bajista</w:t>
            </w:r>
          </w:p>
        </w:tc>
        <w:tc>
          <w:tcPr>
            <w:tcW w:type="dxa" w:w="96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Alto</w:t>
            </w:r>
          </w:p>
        </w:tc>
        <w:tc>
          <w:tcPr>
            <w:tcW w:type="dxa" w:w="5234"/>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Correcto en el riesgo de cartera: el consenso no llevaba más de ≈1.000 M USD de pelacarsen en 2030 (ZKB lo quitó entero); en nuestras cifras no cambia 2026-2028, sí el crecimiento de después de 2030 [B4].</w:t>
            </w:r>
          </w:p>
        </w:tc>
      </w:tr>
      <w:tr>
        <w:trPr>
          <w:cantSplit/>
        </w:trPr>
        <w:tc>
          <w:tcPr>
            <w:tcW w:type="dxa" w:w="2202"/>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La compra de Avidity (≈12.000 M USD) pierde su activo principal</w:t>
            </w:r>
          </w:p>
        </w:tc>
        <w:tc>
          <w:tcPr>
            <w:tcW w:type="dxa" w:w="123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Bajista</w:t>
            </w:r>
          </w:p>
        </w:tc>
        <w:tc>
          <w:tcPr>
            <w:tcW w:type="dxa" w:w="96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Alto</w:t>
            </w:r>
          </w:p>
        </w:tc>
        <w:tc>
          <w:tcPr>
            <w:tcW w:type="dxa" w:w="5234"/>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Fundado: la deuda neta pasó de 21.900 a 39.400 M USD en el 1S26 y del-desiran era el programa más avanzado; queda la opción de FSHD y Duchenne [A11, A15].</w:t>
            </w:r>
          </w:p>
        </w:tc>
      </w:tr>
      <w:tr>
        <w:trPr>
          <w:cantSplit/>
        </w:trPr>
        <w:tc>
          <w:tcPr>
            <w:tcW w:type="dxa" w:w="2202"/>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Precipicio de patentes de principios de los años 2030</w:t>
            </w:r>
          </w:p>
        </w:tc>
        <w:tc>
          <w:tcPr>
            <w:tcW w:type="dxa" w:w="123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Bajista</w:t>
            </w:r>
          </w:p>
        </w:tc>
        <w:tc>
          <w:tcPr>
            <w:tcW w:type="dxa" w:w="96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Medio</w:t>
            </w:r>
          </w:p>
        </w:tc>
        <w:tc>
          <w:tcPr>
            <w:tcW w:type="dxa" w:w="5234"/>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Lo recoge nuestro DCF con crecimiento cero y negativo en 2031e-2032e y margen a la baja [B4].</w:t>
            </w:r>
          </w:p>
        </w:tc>
      </w:tr>
      <w:tr>
        <w:trPr>
          <w:cantSplit/>
        </w:trPr>
        <w:tc>
          <w:tcPr>
            <w:tcW w:type="dxa" w:w="2202"/>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Dividendo y recompras</w:t>
            </w:r>
          </w:p>
        </w:tc>
        <w:tc>
          <w:tcPr>
            <w:tcW w:type="dxa" w:w="1239"/>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val="false"/>
                <w:bCs w:val="false"/>
                <w:color w:val="1F2A3C"/>
                <w:sz w:val="16"/>
                <w:szCs w:val="16"/>
              </w:rPr>
              <w:t xml:space="preserve">Alcista</w:t>
            </w:r>
          </w:p>
        </w:tc>
        <w:tc>
          <w:tcPr>
            <w:tcW w:type="dxa" w:w="96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val="false"/>
                <w:bCs w:val="false"/>
                <w:color w:val="1F2A3C"/>
                <w:sz w:val="16"/>
                <w:szCs w:val="16"/>
              </w:rPr>
              <w:t xml:space="preserve">Medio</w:t>
            </w:r>
          </w:p>
        </w:tc>
        <w:tc>
          <w:tcPr>
            <w:tcW w:type="dxa" w:w="5234"/>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Correcto: 7.820 M USD de dividendos y 9.120 M de recompras en 2025, y quedan 5.600 M del programa de 10.000 M [A7, A11].</w:t>
            </w:r>
          </w:p>
        </w:tc>
      </w:tr>
    </w:tbl>
    <w:p>
      <w:pPr>
        <w:spacing w:after="160" w:before="0"/>
      </w:pPr>
    </w:p>
    <w:p>
      <w:pPr>
        <w:spacing w:after="100"/>
      </w:pPr>
      <w:r>
        <w:t xml:space="preserve">El sentimiento es negativo y empeora desde el 4-sep: lectores de cash.ch, blogs y portales de análisis hablan de la compra de Avidity como un error y de una I+D que no repone las patentes [31, 41, 42]. No es capitulación: los analistas siguen repartidos (17 comprar, 14 mantener y 3 vender en aktien.guide) y el precio ya recuperó parte de la caída [28, 30]. Coincide con nuestra lectura en el riesgo (crecimiento después de 2030) y discrepa en el corto plazo: el BPA de 2026-2028 depende de productos ya comercializados (Kisqali, Kesimpta, Pluvicto, Leqvio), no de los dos fármacos que fallaron.</w:t>
      </w:r>
    </w:p>
    <w:p>
      <w:pPr>
        <w:pStyle w:val="Nota"/>
        <w:spacing w:after="100"/>
      </w:pPr>
      <w:r>
        <w:t xml:space="preserve">Opiniones de inversores en foros, redes y comentarios de prensa: sirven para saber qué preocupa o entusiasma al mercado, no como fuente de cifras. No entran en la valoración.</w:t>
      </w:r>
    </w:p>
    <w:p>
      <w:r>
        <w:br w:type="page"/>
      </w:r>
    </w:p>
    <w:p>
      <w:pPr>
        <w:pStyle w:val="Parte"/>
      </w:pPr>
      <w:r>
        <w:t xml:space="preserve">Anexos</w:t>
      </w:r>
    </w:p>
    <w:p>
      <w:pPr>
        <w:pStyle w:val="Heading1"/>
      </w:pPr>
      <w:r>
        <w:t xml:space="preserve">A. Controles de calidad del análisis</w:t>
      </w:r>
    </w:p>
    <w:p>
      <w:pPr>
        <w:spacing w:after="100"/>
      </w:pPr>
      <w:r>
        <w:t xml:space="preserve">17 de 18 controles correctos. Fuentes: 42 (14 primarias); citas distintas en el texto: 41.</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4005"/>
        <w:gridCol w:w="1126"/>
        <w:gridCol w:w="4507"/>
      </w:tblGrid>
      <w:tr>
        <w:trPr>
          <w:cantSplit/>
          <w:tblHeader/>
        </w:trPr>
        <w:tc>
          <w:tcPr>
            <w:tcW w:type="dxa" w:w="4005"/>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Control</w:t>
            </w:r>
          </w:p>
        </w:tc>
        <w:tc>
          <w:tcPr>
            <w:tcW w:type="dxa" w:w="1126"/>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center"/>
            </w:pPr>
            <w:r>
              <w:rPr>
                <w:rFonts w:ascii="Calibri" w:cs="Calibri" w:eastAsia="Calibri" w:hAnsi="Calibri"/>
                <w:b/>
                <w:bCs/>
                <w:color w:val="FFFFFF"/>
                <w:sz w:val="16"/>
                <w:szCs w:val="16"/>
              </w:rPr>
              <w:t xml:space="preserve">Resultado</w:t>
            </w:r>
          </w:p>
        </w:tc>
        <w:tc>
          <w:tcPr>
            <w:tcW w:type="dxa" w:w="4507"/>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Detalle</w:t>
            </w:r>
          </w:p>
        </w:tc>
      </w:tr>
      <w:tr>
        <w:trPr>
          <w:cantSplit/>
        </w:trPr>
        <w:tc>
          <w:tcPr>
            <w:tcW w:type="dxa" w:w="400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DCF inverso calculable</w:t>
            </w:r>
          </w:p>
        </w:tc>
        <w:tc>
          <w:tcPr>
            <w:tcW w:type="dxa" w:w="112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OK</w:t>
            </w:r>
          </w:p>
        </w:tc>
        <w:tc>
          <w:tcPr>
            <w:tcW w:type="dxa" w:w="450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w:t>
            </w:r>
          </w:p>
        </w:tc>
      </w:tr>
      <w:tr>
        <w:trPr>
          <w:cantSplit/>
        </w:trPr>
        <w:tc>
          <w:tcPr>
            <w:tcW w:type="dxa" w:w="400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Puente de ingresos (volumen + precio + otros) = crecimiento del DCF</w:t>
            </w:r>
          </w:p>
        </w:tc>
        <w:tc>
          <w:tcPr>
            <w:tcW w:type="dxa" w:w="112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OK</w:t>
            </w:r>
          </w:p>
        </w:tc>
        <w:tc>
          <w:tcPr>
            <w:tcW w:type="dxa" w:w="450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w:t>
            </w:r>
          </w:p>
        </w:tc>
      </w:tr>
      <w:tr>
        <w:trPr>
          <w:cantSplit/>
        </w:trPr>
        <w:tc>
          <w:tcPr>
            <w:tcW w:type="dxa" w:w="4005"/>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Circulante del primer año de proyección ≈ último real</w:t>
            </w:r>
          </w:p>
        </w:tc>
        <w:tc>
          <w:tcPr>
            <w:tcW w:type="dxa" w:w="11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val="false"/>
                <w:bCs w:val="false"/>
                <w:color w:val="1F2A3C"/>
                <w:sz w:val="16"/>
                <w:szCs w:val="16"/>
              </w:rPr>
              <w:t xml:space="preserve">OK</w:t>
            </w:r>
          </w:p>
        </w:tc>
        <w:tc>
          <w:tcPr>
            <w:tcW w:type="dxa" w:w="450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Supuesto 15,5 % frente a 15,8 % real: genera una variación de circulante de 155 M en el primer año. Converge de forma gradual.</w:t>
            </w:r>
          </w:p>
        </w:tc>
      </w:tr>
      <w:tr>
        <w:trPr>
          <w:cantSplit/>
        </w:trPr>
        <w:tc>
          <w:tcPr>
            <w:tcW w:type="dxa" w:w="4005"/>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Peso del valor terminal ≤ 80 % del valor empresa</w:t>
            </w:r>
          </w:p>
        </w:tc>
        <w:tc>
          <w:tcPr>
            <w:tcW w:type="dxa" w:w="11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val="false"/>
                <w:bCs w:val="false"/>
                <w:color w:val="1F2A3C"/>
                <w:sz w:val="16"/>
                <w:szCs w:val="16"/>
              </w:rPr>
              <w:t xml:space="preserve">OK</w:t>
            </w:r>
          </w:p>
        </w:tc>
        <w:tc>
          <w:tcPr>
            <w:tcW w:type="dxa" w:w="450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56 %.</w:t>
            </w:r>
          </w:p>
        </w:tc>
      </w:tr>
      <w:tr>
        <w:trPr>
          <w:cantSplit/>
        </w:trPr>
        <w:tc>
          <w:tcPr>
            <w:tcW w:type="dxa" w:w="4005"/>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Crecimiento a perpetuidad ≤ 3 %</w:t>
            </w:r>
          </w:p>
        </w:tc>
        <w:tc>
          <w:tcPr>
            <w:tcW w:type="dxa" w:w="11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val="false"/>
                <w:bCs w:val="false"/>
                <w:color w:val="1F2A3C"/>
                <w:sz w:val="16"/>
                <w:szCs w:val="16"/>
              </w:rPr>
              <w:t xml:space="preserve">OK</w:t>
            </w:r>
          </w:p>
        </w:tc>
        <w:tc>
          <w:tcPr>
            <w:tcW w:type="dxa" w:w="450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2,00 %.</w:t>
            </w:r>
          </w:p>
        </w:tc>
      </w:tr>
      <w:tr>
        <w:trPr>
          <w:cantSplit/>
        </w:trPr>
        <w:tc>
          <w:tcPr>
            <w:tcW w:type="dxa" w:w="4005"/>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Probabilidades de los escenarios suman 100</w:t>
            </w:r>
          </w:p>
        </w:tc>
        <w:tc>
          <w:tcPr>
            <w:tcW w:type="dxa" w:w="11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val="false"/>
                <w:bCs w:val="false"/>
                <w:color w:val="1F2A3C"/>
                <w:sz w:val="16"/>
                <w:szCs w:val="16"/>
              </w:rPr>
              <w:t xml:space="preserve">OK</w:t>
            </w:r>
          </w:p>
        </w:tc>
        <w:tc>
          <w:tcPr>
            <w:tcW w:type="dxa" w:w="450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w:t>
            </w:r>
          </w:p>
        </w:tc>
      </w:tr>
      <w:tr>
        <w:trPr>
          <w:cantSplit/>
        </w:trPr>
        <w:tc>
          <w:tcPr>
            <w:tcW w:type="dxa" w:w="4005"/>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Al menos 5 comparables</w:t>
            </w:r>
          </w:p>
        </w:tc>
        <w:tc>
          <w:tcPr>
            <w:tcW w:type="dxa" w:w="11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val="false"/>
                <w:bCs w:val="false"/>
                <w:color w:val="1F2A3C"/>
                <w:sz w:val="16"/>
                <w:szCs w:val="16"/>
              </w:rPr>
              <w:t xml:space="preserve">OK</w:t>
            </w:r>
          </w:p>
        </w:tc>
        <w:tc>
          <w:tcPr>
            <w:tcW w:type="dxa" w:w="450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7 comparables.</w:t>
            </w:r>
          </w:p>
        </w:tc>
      </w:tr>
      <w:tr>
        <w:trPr>
          <w:cantSplit/>
        </w:trPr>
        <w:tc>
          <w:tcPr>
            <w:tcW w:type="dxa" w:w="4005"/>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Pesos de la síntesis suman 100</w:t>
            </w:r>
          </w:p>
        </w:tc>
        <w:tc>
          <w:tcPr>
            <w:tcW w:type="dxa" w:w="11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val="false"/>
                <w:bCs w:val="false"/>
                <w:color w:val="1F2A3C"/>
                <w:sz w:val="16"/>
                <w:szCs w:val="16"/>
              </w:rPr>
              <w:t xml:space="preserve">OK</w:t>
            </w:r>
          </w:p>
        </w:tc>
        <w:tc>
          <w:tcPr>
            <w:tcW w:type="dxa" w:w="450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w:t>
            </w:r>
          </w:p>
        </w:tc>
      </w:tr>
      <w:tr>
        <w:trPr>
          <w:cantSplit/>
        </w:trPr>
        <w:tc>
          <w:tcPr>
            <w:tcW w:type="dxa" w:w="4005"/>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Múltiplos del objetivo a 12 m según la regla común</w:t>
            </w:r>
          </w:p>
        </w:tc>
        <w:tc>
          <w:tcPr>
            <w:tcW w:type="dxa" w:w="11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val="false"/>
                <w:bCs w:val="false"/>
                <w:color w:val="1F2A3C"/>
                <w:sz w:val="16"/>
                <w:szCs w:val="16"/>
              </w:rPr>
              <w:t xml:space="preserve">OK</w:t>
            </w:r>
          </w:p>
        </w:tc>
        <w:tc>
          <w:tcPr>
            <w:tcW w:type="dxa" w:w="450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w:t>
            </w:r>
          </w:p>
        </w:tc>
      </w:tr>
      <w:tr>
        <w:trPr>
          <w:cantSplit/>
        </w:trPr>
        <w:tc>
          <w:tcPr>
            <w:tcW w:type="dxa" w:w="4005"/>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Objetivo 12 m frente al consenso</w:t>
            </w:r>
          </w:p>
        </w:tc>
        <w:tc>
          <w:tcPr>
            <w:tcW w:type="dxa" w:w="11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val="false"/>
                <w:bCs w:val="false"/>
                <w:color w:val="1F2A3C"/>
                <w:sz w:val="16"/>
                <w:szCs w:val="16"/>
              </w:rPr>
              <w:t xml:space="preserve">OK</w:t>
            </w:r>
          </w:p>
        </w:tc>
        <w:tc>
          <w:tcPr>
            <w:tcW w:type="dxa" w:w="450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El base se separa un -7,2 % del objetivo medio de los analistas: explícalo en diferencia_consenso (nunca se acerca la cifra).</w:t>
            </w:r>
          </w:p>
        </w:tc>
      </w:tr>
      <w:tr>
        <w:trPr>
          <w:cantSplit/>
        </w:trPr>
        <w:tc>
          <w:tcPr>
            <w:tcW w:type="dxa" w:w="4005"/>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Precio del cierre de la fecha de corte (o de las dos sesiones anteriores)</w:t>
            </w:r>
          </w:p>
        </w:tc>
        <w:tc>
          <w:tcPr>
            <w:tcW w:type="dxa" w:w="11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val="false"/>
                <w:bCs w:val="false"/>
                <w:color w:val="1F2A3C"/>
                <w:sz w:val="16"/>
                <w:szCs w:val="16"/>
              </w:rPr>
              <w:t xml:space="preserve">Revisar</w:t>
            </w:r>
          </w:p>
        </w:tc>
        <w:tc>
          <w:tcPr>
            <w:tcW w:type="dxa" w:w="450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El precio es del 2026-10-05, 7 sesiones antes del corte (2026-10-14): con un precio viejo no se cierra un Comprar. Último cierre: node herramientas/precios.mjs &lt;ticker&gt;; luego herramientas/apuntar-12m.mjs --precios.</w:t>
            </w:r>
          </w:p>
        </w:tc>
      </w:tr>
      <w:tr>
        <w:trPr>
          <w:cantSplit/>
        </w:trPr>
        <w:tc>
          <w:tcPr>
            <w:tcW w:type="dxa" w:w="4005"/>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Recomendación coherente con la regla de decisión</w:t>
            </w:r>
          </w:p>
        </w:tc>
        <w:tc>
          <w:tcPr>
            <w:tcW w:type="dxa" w:w="11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val="false"/>
                <w:bCs w:val="false"/>
                <w:color w:val="1F2A3C"/>
                <w:sz w:val="16"/>
                <w:szCs w:val="16"/>
              </w:rPr>
              <w:t xml:space="preserve">OK</w:t>
            </w:r>
          </w:p>
        </w:tc>
        <w:tc>
          <w:tcPr>
            <w:tcW w:type="dxa" w:w="450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w:t>
            </w:r>
          </w:p>
        </w:tc>
      </w:tr>
      <w:tr>
        <w:trPr>
          <w:cantSplit/>
        </w:trPr>
        <w:tc>
          <w:tcPr>
            <w:tcW w:type="dxa" w:w="4005"/>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La síntesis explica la convicción</w:t>
            </w:r>
          </w:p>
        </w:tc>
        <w:tc>
          <w:tcPr>
            <w:tcW w:type="dxa" w:w="11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val="false"/>
                <w:bCs w:val="false"/>
                <w:color w:val="1F2A3C"/>
                <w:sz w:val="16"/>
                <w:szCs w:val="16"/>
              </w:rPr>
              <w:t xml:space="preserve">OK</w:t>
            </w:r>
          </w:p>
        </w:tc>
        <w:tc>
          <w:tcPr>
            <w:tcW w:type="dxa" w:w="450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La síntesis debe decir por qué tiene esa convicción y qué la subiría o la bajaría.</w:t>
            </w:r>
          </w:p>
        </w:tc>
      </w:tr>
      <w:tr>
        <w:trPr>
          <w:cantSplit/>
        </w:trPr>
        <w:tc>
          <w:tcPr>
            <w:tcW w:type="dxa" w:w="4005"/>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Capitalización calculada ≈ publicada</w:t>
            </w:r>
          </w:p>
        </w:tc>
        <w:tc>
          <w:tcPr>
            <w:tcW w:type="dxa" w:w="11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val="false"/>
                <w:bCs w:val="false"/>
                <w:color w:val="1F2A3C"/>
                <w:sz w:val="16"/>
                <w:szCs w:val="16"/>
              </w:rPr>
              <w:t xml:space="preserve">OK</w:t>
            </w:r>
          </w:p>
        </w:tc>
        <w:tc>
          <w:tcPr>
            <w:tcW w:type="dxa" w:w="450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w:t>
            </w:r>
          </w:p>
        </w:tc>
      </w:tr>
      <w:tr>
        <w:trPr>
          <w:cantSplit/>
        </w:trPr>
        <w:tc>
          <w:tcPr>
            <w:tcW w:type="dxa" w:w="4005"/>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Al menos 25 fuentes</w:t>
            </w:r>
          </w:p>
        </w:tc>
        <w:tc>
          <w:tcPr>
            <w:tcW w:type="dxa" w:w="11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val="false"/>
                <w:bCs w:val="false"/>
                <w:color w:val="1F2A3C"/>
                <w:sz w:val="16"/>
                <w:szCs w:val="16"/>
              </w:rPr>
              <w:t xml:space="preserve">OK</w:t>
            </w:r>
          </w:p>
        </w:tc>
        <w:tc>
          <w:tcPr>
            <w:tcW w:type="dxa" w:w="450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42 fuentes (14 primarias).</w:t>
            </w:r>
          </w:p>
        </w:tc>
      </w:tr>
      <w:tr>
        <w:trPr>
          <w:cantSplit/>
        </w:trPr>
        <w:tc>
          <w:tcPr>
            <w:tcW w:type="dxa" w:w="4005"/>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Al menos 10 fuentes primarias</w:t>
            </w:r>
          </w:p>
        </w:tc>
        <w:tc>
          <w:tcPr>
            <w:tcW w:type="dxa" w:w="11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val="false"/>
                <w:bCs w:val="false"/>
                <w:color w:val="1F2A3C"/>
                <w:sz w:val="16"/>
                <w:szCs w:val="16"/>
              </w:rPr>
              <w:t xml:space="preserve">OK</w:t>
            </w:r>
          </w:p>
        </w:tc>
        <w:tc>
          <w:tcPr>
            <w:tcW w:type="dxa" w:w="450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14.</w:t>
            </w:r>
          </w:p>
        </w:tc>
      </w:tr>
      <w:tr>
        <w:trPr>
          <w:cantSplit/>
        </w:trPr>
        <w:tc>
          <w:tcPr>
            <w:tcW w:type="dxa" w:w="4005"/>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Toda cita [n] existe en fuentes</w:t>
            </w:r>
          </w:p>
        </w:tc>
        <w:tc>
          <w:tcPr>
            <w:tcW w:type="dxa" w:w="11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val="false"/>
                <w:bCs w:val="false"/>
                <w:color w:val="1F2A3C"/>
                <w:sz w:val="16"/>
                <w:szCs w:val="16"/>
              </w:rPr>
              <w:t xml:space="preserve">OK</w:t>
            </w:r>
          </w:p>
        </w:tc>
        <w:tc>
          <w:tcPr>
            <w:tcW w:type="dxa" w:w="450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w:t>
            </w:r>
          </w:p>
        </w:tc>
      </w:tr>
      <w:tr>
        <w:trPr>
          <w:cantSplit/>
        </w:trPr>
        <w:tc>
          <w:tcPr>
            <w:tcW w:type="dxa" w:w="4005"/>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Fuentes sin citar ≤ 15 %</w:t>
            </w:r>
          </w:p>
        </w:tc>
        <w:tc>
          <w:tcPr>
            <w:tcW w:type="dxa" w:w="11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val="false"/>
                <w:bCs w:val="false"/>
                <w:color w:val="1F2A3C"/>
                <w:sz w:val="16"/>
                <w:szCs w:val="16"/>
              </w:rPr>
              <w:t xml:space="preserve">OK</w:t>
            </w:r>
          </w:p>
        </w:tc>
        <w:tc>
          <w:tcPr>
            <w:tcW w:type="dxa" w:w="450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Sin citar: 34.</w:t>
            </w:r>
          </w:p>
        </w:tc>
      </w:tr>
    </w:tbl>
    <w:p>
      <w:pPr>
        <w:spacing w:after="160" w:before="0"/>
      </w:pP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7228"/>
        <w:gridCol w:w="2410"/>
      </w:tblGrid>
      <w:tr>
        <w:trPr>
          <w:cantSplit/>
          <w:tblHeader/>
        </w:trPr>
        <w:tc>
          <w:tcPr>
            <w:tcW w:type="dxa" w:w="7228"/>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Tipo de fuente</w:t>
            </w:r>
          </w:p>
        </w:tc>
        <w:tc>
          <w:tcPr>
            <w:tcW w:type="dxa" w:w="2410"/>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Número</w:t>
            </w:r>
          </w:p>
        </w:tc>
      </w:tr>
      <w:tr>
        <w:trPr>
          <w:cantSplit/>
        </w:trPr>
        <w:tc>
          <w:tcPr>
            <w:tcW w:type="dxa" w:w="722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Primaria</w:t>
            </w:r>
          </w:p>
        </w:tc>
        <w:tc>
          <w:tcPr>
            <w:tcW w:type="dxa" w:w="241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14</w:t>
            </w:r>
          </w:p>
        </w:tc>
      </w:tr>
      <w:tr>
        <w:trPr>
          <w:cantSplit/>
        </w:trPr>
        <w:tc>
          <w:tcPr>
            <w:tcW w:type="dxa" w:w="722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Datos de mercado</w:t>
            </w:r>
          </w:p>
        </w:tc>
        <w:tc>
          <w:tcPr>
            <w:tcW w:type="dxa" w:w="241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12</w:t>
            </w:r>
          </w:p>
        </w:tc>
      </w:tr>
      <w:tr>
        <w:trPr>
          <w:cantSplit/>
        </w:trPr>
        <w:tc>
          <w:tcPr>
            <w:tcW w:type="dxa" w:w="722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Prensa</w:t>
            </w:r>
          </w:p>
        </w:tc>
        <w:tc>
          <w:tcPr>
            <w:tcW w:type="dxa" w:w="241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8</w:t>
            </w:r>
          </w:p>
        </w:tc>
      </w:tr>
      <w:tr>
        <w:trPr>
          <w:cantSplit/>
        </w:trPr>
        <w:tc>
          <w:tcPr>
            <w:tcW w:type="dxa" w:w="722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Analistas</w:t>
            </w:r>
          </w:p>
        </w:tc>
        <w:tc>
          <w:tcPr>
            <w:tcW w:type="dxa" w:w="241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6</w:t>
            </w:r>
          </w:p>
        </w:tc>
      </w:tr>
      <w:tr>
        <w:trPr>
          <w:cantSplit/>
        </w:trPr>
        <w:tc>
          <w:tcPr>
            <w:tcW w:type="dxa" w:w="7228"/>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Foros y redes</w:t>
            </w:r>
          </w:p>
        </w:tc>
        <w:tc>
          <w:tcPr>
            <w:tcW w:type="dxa" w:w="241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2</w:t>
            </w:r>
          </w:p>
        </w:tc>
      </w:tr>
    </w:tbl>
    <w:p>
      <w:pPr>
        <w:spacing w:after="160" w:before="0"/>
      </w:pPr>
    </w:p>
    <w:p>
      <w:pPr>
        <w:pStyle w:val="Heading2"/>
      </w:pPr>
      <w:r>
        <w:t xml:space="preserve">B. Información no disponible</w:t>
      </w:r>
    </w:p>
    <w:p>
      <w:pPr>
        <w:spacing w:after="100"/>
      </w:pPr>
      <w:r>
        <w:t xml:space="preserve">Cuando un dato no aparece tras tres búsquedas distintas, el análisis lo deja fuera en lugar de estimarlo sin base. Las secciones de núcleo que faltan se avisan también en el resumen.</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7413"/>
        <w:gridCol w:w="2225"/>
      </w:tblGrid>
      <w:tr>
        <w:trPr>
          <w:cantSplit/>
          <w:tblHeader/>
        </w:trPr>
        <w:tc>
          <w:tcPr>
            <w:tcW w:type="dxa" w:w="7413"/>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Sección no incluida</w:t>
            </w:r>
          </w:p>
        </w:tc>
        <w:tc>
          <w:tcPr>
            <w:tcW w:type="dxa" w:w="2225"/>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center"/>
            </w:pPr>
            <w:r>
              <w:rPr>
                <w:rFonts w:ascii="Calibri" w:cs="Calibri" w:eastAsia="Calibri" w:hAnsi="Calibri"/>
                <w:b/>
                <w:bCs/>
                <w:color w:val="FFFFFF"/>
                <w:sz w:val="16"/>
                <w:szCs w:val="16"/>
              </w:rPr>
              <w:t xml:space="preserve">Tipo</w:t>
            </w:r>
          </w:p>
        </w:tc>
      </w:tr>
      <w:tr>
        <w:trPr>
          <w:cantSplit/>
        </w:trPr>
        <w:tc>
          <w:tcPr>
            <w:tcW w:type="dxa" w:w="741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19. Transacciones precedentes</w:t>
            </w:r>
          </w:p>
        </w:tc>
        <w:tc>
          <w:tcPr>
            <w:tcW w:type="dxa" w:w="2225"/>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val="false"/>
                <w:bCs w:val="false"/>
                <w:color w:val="1F2A3C"/>
                <w:sz w:val="16"/>
                <w:szCs w:val="16"/>
              </w:rPr>
              <w:t xml:space="preserve">Complemento</w:t>
            </w:r>
          </w:p>
        </w:tc>
      </w:tr>
    </w:tbl>
    <w:p>
      <w:pPr>
        <w:spacing w:after="160" w:before="0"/>
      </w:pP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1550"/>
        <w:gridCol w:w="1994"/>
        <w:gridCol w:w="997"/>
        <w:gridCol w:w="3766"/>
        <w:gridCol w:w="1331"/>
      </w:tblGrid>
      <w:tr>
        <w:trPr>
          <w:cantSplit/>
          <w:tblHeader/>
        </w:trPr>
        <w:tc>
          <w:tcPr>
            <w:tcW w:type="dxa" w:w="1550"/>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Sección</w:t>
            </w:r>
          </w:p>
        </w:tc>
        <w:tc>
          <w:tcPr>
            <w:tcW w:type="dxa" w:w="1994"/>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Dato que falta</w:t>
            </w:r>
          </w:p>
        </w:tc>
        <w:tc>
          <w:tcPr>
            <w:tcW w:type="dxa" w:w="997"/>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center"/>
            </w:pPr>
            <w:r>
              <w:rPr>
                <w:rFonts w:ascii="Calibri" w:cs="Calibri" w:eastAsia="Calibri" w:hAnsi="Calibri"/>
                <w:b/>
                <w:bCs/>
                <w:color w:val="FFFFFF"/>
                <w:sz w:val="16"/>
                <w:szCs w:val="16"/>
              </w:rPr>
              <w:t xml:space="preserve">Tipo</w:t>
            </w:r>
          </w:p>
        </w:tc>
        <w:tc>
          <w:tcPr>
            <w:tcW w:type="dxa" w:w="3766"/>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Las tres búsquedas</w:t>
            </w:r>
          </w:p>
        </w:tc>
        <w:tc>
          <w:tcPr>
            <w:tcW w:type="dxa" w:w="1331"/>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Decisión</w:t>
            </w:r>
          </w:p>
        </w:tc>
      </w:tr>
      <w:tr>
        <w:trPr>
          <w:cantSplit/>
        </w:trPr>
        <w:tc>
          <w:tcPr>
            <w:tcW w:type="dxa" w:w="155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financieros</w:t>
            </w:r>
          </w:p>
        </w:tc>
        <w:tc>
          <w:tcPr>
            <w:tcW w:type="dxa" w:w="1994"/>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coste de ventas, gastos generales, resultado financiero, impuestos, BPA y acciones de 2021-2024</w:t>
            </w:r>
          </w:p>
        </w:tc>
        <w:tc>
          <w:tcPr>
            <w:tcW w:type="dxa" w:w="99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Complemento</w:t>
            </w:r>
          </w:p>
        </w:tc>
        <w:tc>
          <w:tcPr>
            <w:tcW w:type="dxa" w:w="376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1) 20-F 2025 y comunicados anuales: la búsqueda solo devuelve cifras de cabecera; 2) Stock Analysis: el extracto da ingresos, resultado de explotación, beneficio y amortizaciones; 3) AlphaQuery y Chartrow: líneas sin año claro; entorno nube: solo WebSearch (WebFetch, curl, descargar.mjs y bolsa.mjs sin red)</w:t>
            </w:r>
          </w:p>
        </w:tc>
        <w:tc>
          <w:tcPr>
            <w:tcW w:type="dxa" w:w="133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Omitido</w:t>
            </w:r>
          </w:p>
        </w:tc>
      </w:tr>
      <w:tr>
        <w:trPr>
          <w:cantSplit/>
        </w:trPr>
        <w:tc>
          <w:tcPr>
            <w:tcW w:type="dxa" w:w="155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balance</w:t>
            </w:r>
          </w:p>
        </w:tc>
        <w:tc>
          <w:tcPr>
            <w:tcW w:type="dxa" w:w="1994"/>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activo y pasivo corriente, existencias, proveedores, fondo de comercio, intangibles, deuda a corto y arrendamientos</w:t>
            </w:r>
          </w:p>
        </w:tc>
        <w:tc>
          <w:tcPr>
            <w:tcW w:type="dxa" w:w="99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Complemento</w:t>
            </w:r>
          </w:p>
        </w:tc>
        <w:tc>
          <w:tcPr>
            <w:tcW w:type="dxa" w:w="376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1) balance del 20-F 2025: no accesible; 2) Stock Analysis: el extracto corta antes de esas filas; 3) vcpscanner: trimestres sin fecha clara; entorno nube: solo WebSearch (WebFetch, curl, descargar.mjs y bolsa.mjs sin red)</w:t>
            </w:r>
          </w:p>
        </w:tc>
        <w:tc>
          <w:tcPr>
            <w:tcW w:type="dxa" w:w="133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Omitido; deuda de 2021-2024 = solo largo plazo (la neta queda infravalorada); 2025 = deuda neta publicada + caja</w:t>
            </w:r>
          </w:p>
        </w:tc>
      </w:tr>
      <w:tr>
        <w:trPr>
          <w:cantSplit/>
        </w:trPr>
        <w:tc>
          <w:tcPr>
            <w:tcW w:type="dxa" w:w="155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flujos</w:t>
            </w:r>
          </w:p>
        </w:tc>
        <w:tc>
          <w:tcPr>
            <w:tcW w:type="dxa" w:w="1994"/>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flujos de 2021-2022 (operaciones continuadas) y compras de negocios por año</w:t>
            </w:r>
          </w:p>
        </w:tc>
        <w:tc>
          <w:tcPr>
            <w:tcW w:type="dxa" w:w="99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val="false"/>
                <w:bCs w:val="false"/>
                <w:color w:val="1F2A3C"/>
                <w:sz w:val="16"/>
                <w:szCs w:val="16"/>
              </w:rPr>
              <w:t xml:space="preserve">Complemento</w:t>
            </w:r>
          </w:p>
        </w:tc>
        <w:tc>
          <w:tcPr>
            <w:tcW w:type="dxa" w:w="376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1) 20-F 2023 (reexpresión sin Sandoz): no accesible; 2) Stock Analysis y Chartrow: 2021-2022 incluyen Sandoz; 3) comunicados de cada compra: importes sueltos sin calendario de pagos</w:t>
            </w:r>
          </w:p>
        </w:tc>
        <w:tc>
          <w:tcPr>
            <w:tcW w:type="dxa" w:w="1331"/>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Omitido (tres ejercicios de flujos)</w:t>
            </w:r>
          </w:p>
        </w:tc>
      </w:tr>
      <w:tr>
        <w:trPr>
          <w:cantSplit/>
        </w:trPr>
        <w:tc>
          <w:tcPr>
            <w:tcW w:type="dxa" w:w="155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negocio</w:t>
            </w:r>
          </w:p>
        </w:tc>
        <w:tc>
          <w:tcPr>
            <w:tcW w:type="dxa" w:w="1994"/>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segmentos (Novartis reporta un solo segmento) y ventas por producto y por geografía de 2021-2025</w:t>
            </w:r>
          </w:p>
        </w:tc>
        <w:tc>
          <w:tcPr>
            <w:tcW w:type="dxa" w:w="99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val="false"/>
                <w:bCs w:val="false"/>
                <w:color w:val="1F2A3C"/>
                <w:sz w:val="16"/>
                <w:szCs w:val="16"/>
              </w:rPr>
              <w:t xml:space="preserve">Complemento</w:t>
            </w:r>
          </w:p>
        </w:tc>
        <w:tc>
          <w:tcPr>
            <w:tcW w:type="dxa" w:w="376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1) informe anual 2025: no accesible; 2) comunicados trimestrales: solo marcas sueltas; 3) prensa: cifras parciales; entorno nube: solo WebSearch (WebFetch, curl, descargar.mjs y bolsa.mjs sin red)</w:t>
            </w:r>
          </w:p>
        </w:tc>
        <w:tc>
          <w:tcPr>
            <w:tcW w:type="dxa" w:w="1331"/>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Omitido</w:t>
            </w:r>
          </w:p>
        </w:tc>
      </w:tr>
      <w:tr>
        <w:trPr>
          <w:cantSplit/>
        </w:trPr>
        <w:tc>
          <w:tcPr>
            <w:tcW w:type="dxa" w:w="155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calidad</w:t>
            </w:r>
          </w:p>
        </w:tc>
        <w:tc>
          <w:tcPr>
            <w:tcW w:type="dxa" w:w="1994"/>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auditor y opinión</w:t>
            </w:r>
          </w:p>
        </w:tc>
        <w:tc>
          <w:tcPr>
            <w:tcW w:type="dxa" w:w="99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val="false"/>
                <w:bCs w:val="false"/>
                <w:color w:val="1F2A3C"/>
                <w:sz w:val="16"/>
                <w:szCs w:val="16"/>
              </w:rPr>
              <w:t xml:space="preserve">Complemento</w:t>
            </w:r>
          </w:p>
        </w:tc>
        <w:tc>
          <w:tcPr>
            <w:tcW w:type="dxa" w:w="376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1) 20-F 2025: no accesible; 2) búsqueda no hecha por cupo compartido; 3) entorno nube: solo WebSearch (WebFetch, curl, descargar.mjs y bolsa.mjs sin red)</w:t>
            </w:r>
          </w:p>
        </w:tc>
        <w:tc>
          <w:tcPr>
            <w:tcW w:type="dxa" w:w="1331"/>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Omitido</w:t>
            </w:r>
          </w:p>
        </w:tc>
      </w:tr>
      <w:tr>
        <w:trPr>
          <w:cantSplit/>
        </w:trPr>
        <w:tc>
          <w:tcPr>
            <w:tcW w:type="dxa" w:w="155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sector</w:t>
            </w:r>
          </w:p>
        </w:tc>
        <w:tc>
          <w:tcPr>
            <w:tcW w:type="dxa" w:w="1994"/>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tamaño del mercado farmacéutico, serie, TCAC, CR5 y Porter</w:t>
            </w:r>
          </w:p>
        </w:tc>
        <w:tc>
          <w:tcPr>
            <w:tcW w:type="dxa" w:w="99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val="false"/>
                <w:bCs w:val="false"/>
                <w:color w:val="1F2A3C"/>
                <w:sz w:val="16"/>
                <w:szCs w:val="16"/>
              </w:rPr>
              <w:t xml:space="preserve">Núcleo</w:t>
            </w:r>
          </w:p>
        </w:tc>
        <w:tc>
          <w:tcPr>
            <w:tcW w:type="dxa" w:w="376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1) IQVIA Global Use of Medicines y EvaluatePharma: no accesibles; 2) búsqueda de tamaño de mercado: no hecha por el cupo compartido; 3) informe anual de Novartis: no accesible; entorno nube: solo WebSearch (WebFetch, curl, descargar.mjs y bolsa.mjs sin red)</w:t>
            </w:r>
          </w:p>
        </w:tc>
        <w:tc>
          <w:tcPr>
            <w:tcW w:type="dxa" w:w="1331"/>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Omitido</w:t>
            </w:r>
          </w:p>
        </w:tc>
      </w:tr>
      <w:tr>
        <w:trPr>
          <w:cantSplit/>
        </w:trPr>
        <w:tc>
          <w:tcPr>
            <w:tcW w:type="dxa" w:w="155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competencia</w:t>
            </w:r>
          </w:p>
        </w:tc>
        <w:tc>
          <w:tcPr>
            <w:tcW w:type="dxa" w:w="1994"/>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cuota de mercado y margen EBIT de los competidores</w:t>
            </w:r>
          </w:p>
        </w:tc>
        <w:tc>
          <w:tcPr>
            <w:tcW w:type="dxa" w:w="99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val="false"/>
                <w:bCs w:val="false"/>
                <w:color w:val="1F2A3C"/>
                <w:sz w:val="16"/>
                <w:szCs w:val="16"/>
              </w:rPr>
              <w:t xml:space="preserve">Núcleo</w:t>
            </w:r>
          </w:p>
        </w:tc>
        <w:tc>
          <w:tcPr>
            <w:tcW w:type="dxa" w:w="376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1) informes anuales de los competidores: no accesibles; 2) Stock Analysis da EBITDA, no EBIT; 3) prensa: sin cifras comparables</w:t>
            </w:r>
          </w:p>
        </w:tc>
        <w:tc>
          <w:tcPr>
            <w:tcW w:type="dxa" w:w="1331"/>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Omitido</w:t>
            </w:r>
          </w:p>
        </w:tc>
      </w:tr>
      <w:tr>
        <w:trPr>
          <w:cantSplit/>
        </w:trPr>
        <w:tc>
          <w:tcPr>
            <w:tcW w:type="dxa" w:w="155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esg</w:t>
            </w:r>
          </w:p>
        </w:tc>
        <w:tc>
          <w:tcPr>
            <w:tcW w:type="dxa" w:w="1994"/>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calificaciones ESG y controversias</w:t>
            </w:r>
          </w:p>
        </w:tc>
        <w:tc>
          <w:tcPr>
            <w:tcW w:type="dxa" w:w="99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val="false"/>
                <w:bCs w:val="false"/>
                <w:color w:val="1F2A3C"/>
                <w:sz w:val="16"/>
                <w:szCs w:val="16"/>
              </w:rPr>
              <w:t xml:space="preserve">Complemento</w:t>
            </w:r>
          </w:p>
        </w:tc>
        <w:tc>
          <w:tcPr>
            <w:tcW w:type="dxa" w:w="376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1) MSCI y Sustainalytics: no consultados por cupo; 2) informe de sostenibilidad: no accesible; 3) entorno nube: solo WebSearch (WebFetch, curl, descargar.mjs y bolsa.mjs sin red)</w:t>
            </w:r>
          </w:p>
        </w:tc>
        <w:tc>
          <w:tcPr>
            <w:tcW w:type="dxa" w:w="1331"/>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Omitido</w:t>
            </w:r>
          </w:p>
        </w:tc>
      </w:tr>
      <w:tr>
        <w:trPr>
          <w:cantSplit/>
        </w:trPr>
        <w:tc>
          <w:tcPr>
            <w:tcW w:type="dxa" w:w="155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gobierno</w:t>
            </w:r>
          </w:p>
        </w:tc>
        <w:tc>
          <w:tcPr>
            <w:tcW w:type="dxa" w:w="1994"/>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consejo completo, comisiones, remuneración del consejero delegado y accionistas significativos</w:t>
            </w:r>
          </w:p>
        </w:tc>
        <w:tc>
          <w:tcPr>
            <w:tcW w:type="dxa" w:w="99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val="false"/>
                <w:bCs w:val="false"/>
                <w:color w:val="1F2A3C"/>
                <w:sz w:val="16"/>
                <w:szCs w:val="16"/>
              </w:rPr>
              <w:t xml:space="preserve">Núcleo</w:t>
            </w:r>
          </w:p>
        </w:tc>
        <w:tc>
          <w:tcPr>
            <w:tcW w:type="dxa" w:w="376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1) Compensation Report 2025 y Corporate Governance Report: no accesibles; 2) SIX (participaciones significativas): sin red; 3) prensa suiza: sin desglose; entorno nube: solo WebSearch (WebFetch, curl, descargar.mjs y bolsa.mjs sin red)</w:t>
            </w:r>
          </w:p>
        </w:tc>
        <w:tc>
          <w:tcPr>
            <w:tcW w:type="dxa" w:w="1331"/>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Omitido; se usan los votos de la junta</w:t>
            </w:r>
          </w:p>
        </w:tc>
      </w:tr>
      <w:tr>
        <w:trPr>
          <w:cantSplit/>
        </w:trPr>
        <w:tc>
          <w:tcPr>
            <w:tcW w:type="dxa" w:w="155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gobierno</w:t>
            </w:r>
          </w:p>
        </w:tc>
        <w:tc>
          <w:tcPr>
            <w:tcW w:type="dxa" w:w="1994"/>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operaciones de directivos (insiders)</w:t>
            </w:r>
          </w:p>
        </w:tc>
        <w:tc>
          <w:tcPr>
            <w:tcW w:type="dxa" w:w="99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val="false"/>
                <w:bCs w:val="false"/>
                <w:color w:val="1F2A3C"/>
                <w:sz w:val="16"/>
                <w:szCs w:val="16"/>
              </w:rPr>
              <w:t xml:space="preserve">Complemento</w:t>
            </w:r>
          </w:p>
        </w:tc>
        <w:tc>
          <w:tcPr>
            <w:tcW w:type="dxa" w:w="376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1) SIX Management Transactions: anónimas y no accesibles; 2) Form 144 de NVS: sin red a EDGAR; 3) prensa: sin operaciones relevantes</w:t>
            </w:r>
          </w:p>
        </w:tc>
        <w:tc>
          <w:tcPr>
            <w:tcW w:type="dxa" w:w="1331"/>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Omitido</w:t>
            </w:r>
          </w:p>
        </w:tc>
      </w:tr>
      <w:tr>
        <w:trPr>
          <w:cantSplit/>
        </w:trPr>
        <w:tc>
          <w:tcPr>
            <w:tcW w:type="dxa" w:w="155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directivos</w:t>
            </w:r>
          </w:p>
        </w:tc>
        <w:tc>
          <w:tcPr>
            <w:tcW w:type="dxa" w:w="1994"/>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director financiero y directores de división</w:t>
            </w:r>
          </w:p>
        </w:tc>
        <w:tc>
          <w:tcPr>
            <w:tcW w:type="dxa" w:w="99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val="false"/>
                <w:bCs w:val="false"/>
                <w:color w:val="1F2A3C"/>
                <w:sz w:val="16"/>
                <w:szCs w:val="16"/>
              </w:rPr>
              <w:t xml:space="preserve">Complemento</w:t>
            </w:r>
          </w:p>
        </w:tc>
        <w:tc>
          <w:tcPr>
            <w:tcW w:type="dxa" w:w="376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1) web de Novartis (comité ejecutivo): no accesible; 2) búsqueda no hecha por cupo; 3) comunicados: sin nombres en el extracto</w:t>
            </w:r>
          </w:p>
        </w:tc>
        <w:tc>
          <w:tcPr>
            <w:tcW w:type="dxa" w:w="1331"/>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Omitido (no se ponen cargos sin comprobar)</w:t>
            </w:r>
          </w:p>
        </w:tc>
      </w:tr>
      <w:tr>
        <w:trPr>
          <w:cantSplit/>
        </w:trPr>
        <w:tc>
          <w:tcPr>
            <w:tcW w:type="dxa" w:w="155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identificacion</w:t>
            </w:r>
          </w:p>
        </w:tc>
        <w:tc>
          <w:tcPr>
            <w:tcW w:type="dxa" w:w="1994"/>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precio de cierre del 13-oct-2026 en la SIX</w:t>
            </w:r>
          </w:p>
        </w:tc>
        <w:tc>
          <w:tcPr>
            <w:tcW w:type="dxa" w:w="99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val="false"/>
                <w:bCs w:val="false"/>
                <w:color w:val="1F2A3C"/>
                <w:sz w:val="16"/>
                <w:szCs w:val="16"/>
              </w:rPr>
              <w:t xml:space="preserve">Núcleo</w:t>
            </w:r>
          </w:p>
        </w:tc>
        <w:tc>
          <w:tcPr>
            <w:tcW w:type="dxa" w:w="376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1) SIX y cash.ch: sin acceso; 2) búsqueda de cierres de octubre en francos: solo 111,80 CHF del 8-sep; 3) ADR NVS: 140,93 USD el 5-oct (AAII), 1 ADR = 1 acción</w:t>
            </w:r>
          </w:p>
        </w:tc>
        <w:tc>
          <w:tcPr>
            <w:tcW w:type="dxa" w:w="1331"/>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Calculado y marcado como estimación (precio en USD del ADR; en francos, ÷ 1,25)</w:t>
            </w:r>
          </w:p>
        </w:tc>
      </w:tr>
      <w:tr>
        <w:trPr>
          <w:cantSplit/>
        </w:trPr>
        <w:tc>
          <w:tcPr>
            <w:tcW w:type="dxa" w:w="155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identificacion</w:t>
            </w:r>
          </w:p>
        </w:tc>
        <w:tc>
          <w:tcPr>
            <w:tcW w:type="dxa" w:w="1994"/>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acciones en circulación</w:t>
            </w:r>
          </w:p>
        </w:tc>
        <w:tc>
          <w:tcPr>
            <w:tcW w:type="dxa" w:w="99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val="false"/>
                <w:bCs w:val="false"/>
                <w:color w:val="1F2A3C"/>
                <w:sz w:val="16"/>
                <w:szCs w:val="16"/>
              </w:rPr>
              <w:t xml:space="preserve">Núcleo</w:t>
            </w:r>
          </w:p>
        </w:tc>
        <w:tc>
          <w:tcPr>
            <w:tcW w:type="dxa" w:w="376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1) informe trimestral del 2T26: sin extracto; 2) Stock Analysis: solo acciones diluidas medias de 2025 (1.955 M); 3) capitalización de blue News (215.000 M CHF) ÷ 111,80 CHF = 1.923 M</w:t>
            </w:r>
          </w:p>
        </w:tc>
        <w:tc>
          <w:tcPr>
            <w:tcW w:type="dxa" w:w="1331"/>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Calculado y marcado como estimación</w:t>
            </w:r>
          </w:p>
        </w:tc>
      </w:tr>
      <w:tr>
        <w:trPr>
          <w:cantSplit/>
        </w:trPr>
        <w:tc>
          <w:tcPr>
            <w:tcW w:type="dxa" w:w="155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consenso</w:t>
            </w:r>
          </w:p>
        </w:tc>
        <w:tc>
          <w:tcPr>
            <w:tcW w:type="dxa" w:w="1994"/>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estimaciones anuales de ventas, EBITDA y BPA core de 2027e-2028e</w:t>
            </w:r>
          </w:p>
        </w:tc>
        <w:tc>
          <w:tcPr>
            <w:tcW w:type="dxa" w:w="99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val="false"/>
                <w:bCs w:val="false"/>
                <w:color w:val="1F2A3C"/>
                <w:sz w:val="16"/>
                <w:szCs w:val="16"/>
              </w:rPr>
              <w:t xml:space="preserve">Núcleo</w:t>
            </w:r>
          </w:p>
        </w:tc>
        <w:tc>
          <w:tcPr>
            <w:tcW w:type="dxa" w:w="376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1) consenso compilado por Novartis: no aparece en la búsqueda; 2) aktien.guide y MarketScreener: estimaciones tras registro; 3) Benzinga: solo trimestres hasta el 2T27</w:t>
            </w:r>
          </w:p>
        </w:tc>
        <w:tc>
          <w:tcPr>
            <w:tcW w:type="dxa" w:w="1331"/>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Omitido; BPA core 2026e sumando trimestres</w:t>
            </w:r>
          </w:p>
        </w:tc>
      </w:tr>
      <w:tr>
        <w:trPr>
          <w:cantSplit/>
        </w:trPr>
        <w:tc>
          <w:tcPr>
            <w:tcW w:type="dxa" w:w="155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bolsa</w:t>
            </w:r>
          </w:p>
        </w:tc>
        <w:tc>
          <w:tcPr>
            <w:tcW w:type="dxa" w:w="1994"/>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rentabilidades frente a índices, beta, volatilidad y caída máxima</w:t>
            </w:r>
          </w:p>
        </w:tc>
        <w:tc>
          <w:tcPr>
            <w:tcW w:type="dxa" w:w="99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val="false"/>
                <w:bCs w:val="false"/>
                <w:color w:val="1F2A3C"/>
                <w:sz w:val="16"/>
                <w:szCs w:val="16"/>
              </w:rPr>
              <w:t xml:space="preserve">Complemento</w:t>
            </w:r>
          </w:p>
        </w:tc>
        <w:tc>
          <w:tcPr>
            <w:tcW w:type="dxa" w:w="376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1) bolsa.mjs sin red; 2) Yahoo y SIX: no accesibles; 3) búsquedas de beta: sin cifras fiables; en Suiza no hay registro público de cortos; entorno nube: solo WebSearch (WebFetch, curl, descargar.mjs y bolsa.mjs sin red)</w:t>
            </w:r>
          </w:p>
        </w:tc>
        <w:tc>
          <w:tcPr>
            <w:tcW w:type="dxa" w:w="1331"/>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Omitido; se dan solo las rentabilidades anuales del ADR</w:t>
            </w:r>
          </w:p>
        </w:tc>
      </w:tr>
      <w:tr>
        <w:trPr>
          <w:cantSplit/>
        </w:trPr>
        <w:tc>
          <w:tcPr>
            <w:tcW w:type="dxa" w:w="155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transacciones</w:t>
            </w:r>
          </w:p>
        </w:tc>
        <w:tc>
          <w:tcPr>
            <w:tcW w:type="dxa" w:w="1994"/>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transacciones precedentes con múltiplo</w:t>
            </w:r>
          </w:p>
        </w:tc>
        <w:tc>
          <w:tcPr>
            <w:tcW w:type="dxa" w:w="99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val="false"/>
                <w:bCs w:val="false"/>
                <w:color w:val="1F2A3C"/>
                <w:sz w:val="16"/>
                <w:szCs w:val="16"/>
              </w:rPr>
              <w:t xml:space="preserve">Complemento</w:t>
            </w:r>
          </w:p>
        </w:tc>
        <w:tc>
          <w:tcPr>
            <w:tcW w:type="dxa" w:w="376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1) compras farmacéuticas 2020-2026: biotecnológicas sin EBITDA; 2) Avidity: precio sin múltiplo; 3) operaciones de control de grandes farmacéuticas: ninguna comparable</w:t>
            </w:r>
          </w:p>
        </w:tc>
        <w:tc>
          <w:tcPr>
            <w:tcW w:type="dxa" w:w="1331"/>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Omitido (sección a null)</w:t>
            </w:r>
          </w:p>
        </w:tc>
      </w:tr>
      <w:tr>
        <w:trPr>
          <w:cantSplit/>
        </w:trPr>
        <w:tc>
          <w:tcPr>
            <w:tcW w:type="dxa" w:w="155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sentimiento</w:t>
            </w:r>
          </w:p>
        </w:tc>
        <w:tc>
          <w:tcPr>
            <w:tcW w:type="dxa" w:w="1994"/>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Reddit, Stocktwits, Seeking Alpha y foros en alemán (finanzen.net, wallstreet-online)</w:t>
            </w:r>
          </w:p>
        </w:tc>
        <w:tc>
          <w:tcPr>
            <w:tcW w:type="dxa" w:w="99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val="false"/>
                <w:bCs w:val="false"/>
                <w:color w:val="1F2A3C"/>
                <w:sz w:val="16"/>
                <w:szCs w:val="16"/>
              </w:rPr>
              <w:t xml:space="preserve">Complemento</w:t>
            </w:r>
          </w:p>
        </w:tc>
        <w:tc>
          <w:tcPr>
            <w:tcW w:type="dxa" w:w="376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1) búsqueda de hilos de Reddit y Seeking Alpha sobre NVS tras los fracasos: sin resultados de 2026; 2) búsqueda de foros en alemán y de Rankia: sin hilos en el extracto; 3) API de Stocktwits y RSS de Seeking Alpha: sin red</w:t>
            </w:r>
          </w:p>
        </w:tc>
        <w:tc>
          <w:tcPr>
            <w:tcW w:type="dxa" w:w="1331"/>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Omitido; el tono se lee en cash.ch, TIKR, XTB, blue News y portales de análisis</w:t>
            </w:r>
          </w:p>
        </w:tc>
      </w:tr>
      <w:tr>
        <w:trPr>
          <w:cantSplit/>
        </w:trPr>
        <w:tc>
          <w:tcPr>
            <w:tcW w:type="dxa" w:w="155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valoracion</w:t>
            </w:r>
          </w:p>
        </w:tc>
        <w:tc>
          <w:tcPr>
            <w:tcW w:type="dxa" w:w="1994"/>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pensiones (déficit neto) y minoritarios</w:t>
            </w:r>
          </w:p>
        </w:tc>
        <w:tc>
          <w:tcPr>
            <w:tcW w:type="dxa" w:w="99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val="false"/>
                <w:bCs w:val="false"/>
                <w:color w:val="1F2A3C"/>
                <w:sz w:val="16"/>
                <w:szCs w:val="16"/>
              </w:rPr>
              <w:t xml:space="preserve">Complemento</w:t>
            </w:r>
          </w:p>
        </w:tc>
        <w:tc>
          <w:tcPr>
            <w:tcW w:type="dxa" w:w="376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1) nota de pensiones del 20-F 2025: no accesible; 2) Stock Analysis no lo separa; 3) búsqueda no hecha por cupo; entorno nube: solo WebSearch (WebFetch, curl, descargar.mjs y bolsa.mjs sin red)</w:t>
            </w:r>
          </w:p>
        </w:tc>
        <w:tc>
          <w:tcPr>
            <w:tcW w:type="dxa" w:w="1331"/>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Omitido (0 en el puente; minoritarios ≈100 M por estimación: el valor por acción estaría algo sobrestimado)</w:t>
            </w:r>
          </w:p>
        </w:tc>
      </w:tr>
      <w:tr>
        <w:trPr>
          <w:cantSplit/>
        </w:trPr>
        <w:tc>
          <w:tcPr>
            <w:tcW w:type="dxa" w:w="155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rentabilidad</w:t>
            </w:r>
          </w:p>
        </w:tc>
        <w:tc>
          <w:tcPr>
            <w:tcW w:type="dxa" w:w="1994"/>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ROIC de los competidores en la misma definición</w:t>
            </w:r>
          </w:p>
        </w:tc>
        <w:tc>
          <w:tcPr>
            <w:tcW w:type="dxa" w:w="99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val="false"/>
                <w:bCs w:val="false"/>
                <w:color w:val="1F2A3C"/>
                <w:sz w:val="16"/>
                <w:szCs w:val="16"/>
              </w:rPr>
              <w:t xml:space="preserve">Complemento</w:t>
            </w:r>
          </w:p>
        </w:tc>
        <w:tc>
          <w:tcPr>
            <w:tcW w:type="dxa" w:w="376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1) informes anuales de los competidores: no accesibles; 2) Stock Analysis: ROIC con otra definición (se usa la de los comparables); 3) prensa: sin datos</w:t>
            </w:r>
          </w:p>
        </w:tc>
        <w:tc>
          <w:tcPr>
            <w:tcW w:type="dxa" w:w="1331"/>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Se usan los ROIC de la tabla de comparables</w:t>
            </w:r>
          </w:p>
        </w:tc>
      </w:tr>
    </w:tbl>
    <w:p>
      <w:pPr>
        <w:spacing w:after="160" w:before="0"/>
      </w:pPr>
    </w:p>
    <w:p>
      <w:pPr>
        <w:pStyle w:val="Heading1"/>
      </w:pPr>
      <w:r>
        <w:t xml:space="preserve">Fuentes</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463"/>
        <w:gridCol w:w="3336"/>
        <w:gridCol w:w="1390"/>
        <w:gridCol w:w="926"/>
        <w:gridCol w:w="926"/>
        <w:gridCol w:w="2597"/>
      </w:tblGrid>
      <w:tr>
        <w:trPr>
          <w:cantSplit/>
          <w:tblHeader/>
        </w:trPr>
        <w:tc>
          <w:tcPr>
            <w:tcW w:type="dxa" w:w="463"/>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center"/>
            </w:pPr>
            <w:r>
              <w:rPr>
                <w:rFonts w:ascii="Calibri" w:cs="Calibri" w:eastAsia="Calibri" w:hAnsi="Calibri"/>
                <w:b/>
                <w:bCs/>
                <w:color w:val="FFFFFF"/>
                <w:sz w:val="16"/>
                <w:szCs w:val="16"/>
              </w:rPr>
              <w:t xml:space="preserve">Ref.</w:t>
            </w:r>
          </w:p>
        </w:tc>
        <w:tc>
          <w:tcPr>
            <w:tcW w:type="dxa" w:w="3336"/>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Documento</w:t>
            </w:r>
          </w:p>
        </w:tc>
        <w:tc>
          <w:tcPr>
            <w:tcW w:type="dxa" w:w="1390"/>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Editor</w:t>
            </w:r>
          </w:p>
        </w:tc>
        <w:tc>
          <w:tcPr>
            <w:tcW w:type="dxa" w:w="926"/>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Tipo</w:t>
            </w:r>
          </w:p>
        </w:tc>
        <w:tc>
          <w:tcPr>
            <w:tcW w:type="dxa" w:w="926"/>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Fecha</w:t>
            </w:r>
          </w:p>
        </w:tc>
        <w:tc>
          <w:tcPr>
            <w:tcW w:type="dxa" w:w="2597"/>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Enlace</w:t>
            </w:r>
          </w:p>
        </w:tc>
      </w:tr>
      <w:tr>
        <w:trPr>
          <w:cantSplit/>
        </w:trPr>
        <w:tc>
          <w:tcPr>
            <w:tcW w:type="dxa" w:w="46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bCs/>
                <w:color w:val="1F2A3C"/>
                <w:sz w:val="16"/>
                <w:szCs w:val="16"/>
              </w:rPr>
              <w:t xml:space="preserve">1</w:t>
            </w:r>
          </w:p>
        </w:tc>
        <w:tc>
          <w:tcPr>
            <w:tcW w:type="dxa" w:w="333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Novartis delivered high single-digit sales growth, achieved 40% core margin and further advanced the pipeline in 2025 (ad hoc, resultados 2025)</w:t>
            </w:r>
          </w:p>
        </w:tc>
        <w:tc>
          <w:tcPr>
            <w:tcW w:type="dxa" w:w="139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Novartis</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Primaria</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4 feb 2026</w:t>
            </w:r>
          </w:p>
        </w:tc>
        <w:tc>
          <w:tcPr>
            <w:tcW w:type="dxa" w:w="259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https://www.novartis.com/news/media-releases/novartis-delivered-high-single-digit-sales-growth-achieved-40-core-margin-and-further-advanced-pipeline-2025</w:t>
            </w:r>
          </w:p>
        </w:tc>
      </w:tr>
      <w:tr>
        <w:trPr>
          <w:cantSplit/>
        </w:trPr>
        <w:tc>
          <w:tcPr>
            <w:tcW w:type="dxa" w:w="46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bCs/>
                <w:color w:val="1F2A3C"/>
                <w:sz w:val="16"/>
                <w:szCs w:val="16"/>
              </w:rPr>
              <w:t xml:space="preserve">2</w:t>
            </w:r>
          </w:p>
        </w:tc>
        <w:tc>
          <w:tcPr>
            <w:tcW w:type="dxa" w:w="333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Q2 2026 media release: Novartis delivered sales growth in Q2 and further advanced the pipeline; full-year guidance reaffirmed</w:t>
            </w:r>
          </w:p>
        </w:tc>
        <w:tc>
          <w:tcPr>
            <w:tcW w:type="dxa" w:w="139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Novartis</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Primaria</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21 jul 2026</w:t>
            </w:r>
          </w:p>
        </w:tc>
        <w:tc>
          <w:tcPr>
            <w:tcW w:type="dxa" w:w="259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https://prod1.novartis.com/sites/novartis_com/files/q2-2026-media-release-en.pdf</w:t>
            </w:r>
          </w:p>
        </w:tc>
      </w:tr>
      <w:tr>
        <w:trPr>
          <w:cantSplit/>
        </w:trPr>
        <w:tc>
          <w:tcPr>
            <w:tcW w:type="dxa" w:w="46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bCs/>
                <w:color w:val="1F2A3C"/>
                <w:sz w:val="16"/>
                <w:szCs w:val="16"/>
              </w:rPr>
              <w:t xml:space="preserve">3</w:t>
            </w:r>
          </w:p>
        </w:tc>
        <w:tc>
          <w:tcPr>
            <w:tcW w:type="dxa" w:w="333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Q1 2026 media release</w:t>
            </w:r>
          </w:p>
        </w:tc>
        <w:tc>
          <w:tcPr>
            <w:tcW w:type="dxa" w:w="139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Novartis</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Primaria</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28 abr 2026</w:t>
            </w:r>
          </w:p>
        </w:tc>
        <w:tc>
          <w:tcPr>
            <w:tcW w:type="dxa" w:w="259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https://prod1.novartis.com/sites/novartis_com/files/q1-2026-media-release-en.pdf</w:t>
            </w:r>
          </w:p>
        </w:tc>
      </w:tr>
      <w:tr>
        <w:trPr>
          <w:cantSplit/>
        </w:trPr>
        <w:tc>
          <w:tcPr>
            <w:tcW w:type="dxa" w:w="46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bCs/>
                <w:color w:val="1F2A3C"/>
                <w:sz w:val="16"/>
                <w:szCs w:val="16"/>
              </w:rPr>
              <w:t xml:space="preserve">4</w:t>
            </w:r>
          </w:p>
        </w:tc>
        <w:tc>
          <w:tcPr>
            <w:tcW w:type="dxa" w:w="333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Novartis AG (NVS): income statement (ingresos, resultado de explotación y beneficio 2021-2025)</w:t>
            </w:r>
          </w:p>
        </w:tc>
        <w:tc>
          <w:tcPr>
            <w:tcW w:type="dxa" w:w="139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Stock Analysis</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Datos de mercado</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28 jul 2026</w:t>
            </w:r>
          </w:p>
        </w:tc>
        <w:tc>
          <w:tcPr>
            <w:tcW w:type="dxa" w:w="259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https://stockanalysis.com/stocks/nvs/financials/income-statement/</w:t>
            </w:r>
          </w:p>
        </w:tc>
      </w:tr>
      <w:tr>
        <w:trPr>
          <w:cantSplit/>
        </w:trPr>
        <w:tc>
          <w:tcPr>
            <w:tcW w:type="dxa" w:w="46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bCs/>
                <w:color w:val="1F2A3C"/>
                <w:sz w:val="16"/>
                <w:szCs w:val="16"/>
              </w:rPr>
              <w:t xml:space="preserve">5</w:t>
            </w:r>
          </w:p>
        </w:tc>
        <w:tc>
          <w:tcPr>
            <w:tcW w:type="dxa" w:w="333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Novartis AG (NVS): cash flow statement (amortizaciones y flujo libre 2021-2025 y LTM)</w:t>
            </w:r>
          </w:p>
        </w:tc>
        <w:tc>
          <w:tcPr>
            <w:tcW w:type="dxa" w:w="139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Stock Analysis</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Datos de mercado</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jul 2026</w:t>
            </w:r>
          </w:p>
        </w:tc>
        <w:tc>
          <w:tcPr>
            <w:tcW w:type="dxa" w:w="259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https://stockanalysis.com/stocks/nvs/financials/cash-flow-statement/</w:t>
            </w:r>
          </w:p>
        </w:tc>
      </w:tr>
      <w:tr>
        <w:trPr>
          <w:cantSplit/>
        </w:trPr>
        <w:tc>
          <w:tcPr>
            <w:tcW w:type="dxa" w:w="46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bCs/>
                <w:color w:val="1F2A3C"/>
                <w:sz w:val="16"/>
                <w:szCs w:val="16"/>
              </w:rPr>
              <w:t xml:space="preserve">6</w:t>
            </w:r>
          </w:p>
        </w:tc>
        <w:tc>
          <w:tcPr>
            <w:tcW w:type="dxa" w:w="333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Novartis AG (NVS): balance sheet 2021-2025</w:t>
            </w:r>
          </w:p>
        </w:tc>
        <w:tc>
          <w:tcPr>
            <w:tcW w:type="dxa" w:w="139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Stock Analysis</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Datos de mercado</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jul 2026</w:t>
            </w:r>
          </w:p>
        </w:tc>
        <w:tc>
          <w:tcPr>
            <w:tcW w:type="dxa" w:w="259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https://stockanalysis.com/stocks/nvs/financials/balance-sheet/</w:t>
            </w:r>
          </w:p>
        </w:tc>
      </w:tr>
      <w:tr>
        <w:trPr>
          <w:cantSplit/>
        </w:trPr>
        <w:tc>
          <w:tcPr>
            <w:tcW w:type="dxa" w:w="46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bCs/>
                <w:color w:val="1F2A3C"/>
                <w:sz w:val="16"/>
                <w:szCs w:val="16"/>
              </w:rPr>
              <w:t xml:space="preserve">7</w:t>
            </w:r>
          </w:p>
        </w:tc>
        <w:tc>
          <w:tcPr>
            <w:tcW w:type="dxa" w:w="333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NVS financial statements (flujo operativo, recompras y dividendos de los 20-F)</w:t>
            </w:r>
          </w:p>
        </w:tc>
        <w:tc>
          <w:tcPr>
            <w:tcW w:type="dxa" w:w="139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Chartrow</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Datos de mercado</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2026</w:t>
            </w:r>
          </w:p>
        </w:tc>
        <w:tc>
          <w:tcPr>
            <w:tcW w:type="dxa" w:w="259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https://chartrow.com/quote/nvs/financials</w:t>
            </w:r>
          </w:p>
        </w:tc>
      </w:tr>
      <w:tr>
        <w:trPr>
          <w:cantSplit/>
        </w:trPr>
        <w:tc>
          <w:tcPr>
            <w:tcW w:type="dxa" w:w="46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bCs/>
                <w:color w:val="1F2A3C"/>
                <w:sz w:val="16"/>
                <w:szCs w:val="16"/>
              </w:rPr>
              <w:t xml:space="preserve">8</w:t>
            </w:r>
          </w:p>
        </w:tc>
        <w:tc>
          <w:tcPr>
            <w:tcW w:type="dxa" w:w="333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Form 6-K: estados financieros consolidados 2025 (BAI 16.352 M, impuestos 2.385 M, BPA diluido 7,15)</w:t>
            </w:r>
          </w:p>
        </w:tc>
        <w:tc>
          <w:tcPr>
            <w:tcW w:type="dxa" w:w="139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Novartis / SEC</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Primaria</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4 feb 2026</w:t>
            </w:r>
          </w:p>
        </w:tc>
        <w:tc>
          <w:tcPr>
            <w:tcW w:type="dxa" w:w="259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https://www.sec.gov/Archives/edgar/data/1114448/000111444826000008/a260204-99_1.pdf</w:t>
            </w:r>
          </w:p>
        </w:tc>
      </w:tr>
      <w:tr>
        <w:trPr>
          <w:cantSplit/>
        </w:trPr>
        <w:tc>
          <w:tcPr>
            <w:tcW w:type="dxa" w:w="46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bCs/>
                <w:color w:val="1F2A3C"/>
                <w:sz w:val="16"/>
                <w:szCs w:val="16"/>
              </w:rPr>
              <w:t xml:space="preserve">9</w:t>
            </w:r>
          </w:p>
        </w:tc>
        <w:tc>
          <w:tcPr>
            <w:tcW w:type="dxa" w:w="333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Q4 2024 media release: ventas 50.300 M, BPA core 7,81, flujo libre 16.300 M</w:t>
            </w:r>
          </w:p>
        </w:tc>
        <w:tc>
          <w:tcPr>
            <w:tcW w:type="dxa" w:w="139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Novartis</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Primaria</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31 ene 2025</w:t>
            </w:r>
          </w:p>
        </w:tc>
        <w:tc>
          <w:tcPr>
            <w:tcW w:type="dxa" w:w="259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https://novartis.com/sites/novartis_com/files/q4-2024-media-release-en.pdf</w:t>
            </w:r>
          </w:p>
        </w:tc>
      </w:tr>
      <w:tr>
        <w:trPr>
          <w:cantSplit/>
        </w:trPr>
        <w:tc>
          <w:tcPr>
            <w:tcW w:type="dxa" w:w="46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bCs/>
                <w:color w:val="1F2A3C"/>
                <w:sz w:val="16"/>
                <w:szCs w:val="16"/>
              </w:rPr>
              <w:t xml:space="preserve">10</w:t>
            </w:r>
          </w:p>
        </w:tc>
        <w:tc>
          <w:tcPr>
            <w:tcW w:type="dxa" w:w="333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Form 6-K FY2023: ventas continuadas 45.400 M, BPA core 6,47 (+18 % en USD), flujo libre 13.200 M</w:t>
            </w:r>
          </w:p>
        </w:tc>
        <w:tc>
          <w:tcPr>
            <w:tcW w:type="dxa" w:w="139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Novartis / SEC</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Primaria</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31 ene 2024</w:t>
            </w:r>
          </w:p>
        </w:tc>
        <w:tc>
          <w:tcPr>
            <w:tcW w:type="dxa" w:w="259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https://www.sec.gov/Archives/edgar/data/1114448/000137036824000007/a240131-99_1.htm</w:t>
            </w:r>
          </w:p>
        </w:tc>
      </w:tr>
      <w:tr>
        <w:trPr>
          <w:cantSplit/>
        </w:trPr>
        <w:tc>
          <w:tcPr>
            <w:tcW w:type="dxa" w:w="46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bCs/>
                <w:color w:val="1F2A3C"/>
                <w:sz w:val="16"/>
                <w:szCs w:val="16"/>
              </w:rPr>
              <w:t xml:space="preserve">11</w:t>
            </w:r>
          </w:p>
        </w:tc>
        <w:tc>
          <w:tcPr>
            <w:tcW w:type="dxa" w:w="333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Novartis Aktie: Verschuldung verdoppelt sich (deuda neta 39.400 M a jun-26; quedan 5.600 M de la recompra de 10.000 M)</w:t>
            </w:r>
          </w:p>
        </w:tc>
        <w:tc>
          <w:tcPr>
            <w:tcW w:type="dxa" w:w="139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Börse Express</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Prensa</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21 jul 2026</w:t>
            </w:r>
          </w:p>
        </w:tc>
        <w:tc>
          <w:tcPr>
            <w:tcW w:type="dxa" w:w="259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https://www.boerse-express.com/news/articles/novartis-aktie-verschuldung-verdoppelt-sich-930795</w:t>
            </w:r>
          </w:p>
        </w:tc>
      </w:tr>
      <w:tr>
        <w:trPr>
          <w:cantSplit/>
        </w:trPr>
        <w:tc>
          <w:tcPr>
            <w:tcW w:type="dxa" w:w="46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bCs/>
                <w:color w:val="1F2A3C"/>
                <w:sz w:val="16"/>
                <w:szCs w:val="16"/>
              </w:rPr>
              <w:t xml:space="preserve">12</w:t>
            </w:r>
          </w:p>
        </w:tc>
        <w:tc>
          <w:tcPr>
            <w:tcW w:type="dxa" w:w="333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Novartis Aktie: Entresto-Umsatz um 42 Prozent eingebrochen (1T26: Kisqali 1.520 M)</w:t>
            </w:r>
          </w:p>
        </w:tc>
        <w:tc>
          <w:tcPr>
            <w:tcW w:type="dxa" w:w="139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Börse Express</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Prensa</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28 abr 2026</w:t>
            </w:r>
          </w:p>
        </w:tc>
        <w:tc>
          <w:tcPr>
            <w:tcW w:type="dxa" w:w="259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https://www.boerse-express.com/news/articles/novartis-aktie-entresto-umsatz-um-42-prozent-eingebrochen-899232</w:t>
            </w:r>
          </w:p>
        </w:tc>
      </w:tr>
      <w:tr>
        <w:trPr>
          <w:cantSplit/>
        </w:trPr>
        <w:tc>
          <w:tcPr>
            <w:tcW w:type="dxa" w:w="46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bCs/>
                <w:color w:val="1F2A3C"/>
                <w:sz w:val="16"/>
                <w:szCs w:val="16"/>
              </w:rPr>
              <w:t xml:space="preserve">13</w:t>
            </w:r>
          </w:p>
        </w:tc>
        <w:tc>
          <w:tcPr>
            <w:tcW w:type="dxa" w:w="333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Novartis Q2 2026: ingresos 14.400 M (esperado 14.100), BPA core 2,41 (esperado 2,20)</w:t>
            </w:r>
          </w:p>
        </w:tc>
        <w:tc>
          <w:tcPr>
            <w:tcW w:type="dxa" w:w="139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Newsquawk</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Prensa</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21 jul 2026</w:t>
            </w:r>
          </w:p>
        </w:tc>
        <w:tc>
          <w:tcPr>
            <w:tcW w:type="dxa" w:w="259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https://www.newsquawk.com/headlines/novartis-novn-sw---q2-2026-usd-net-revenue-144bln-exp-141bln-core-eps-241-exp-220-operating-income-475bln-prev-486bln-yy-net-income-326bln-prev-402bln-yy-backs-fy26-view</w:t>
            </w:r>
          </w:p>
        </w:tc>
      </w:tr>
      <w:tr>
        <w:trPr>
          <w:cantSplit/>
        </w:trPr>
        <w:tc>
          <w:tcPr>
            <w:tcW w:type="dxa" w:w="46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bCs/>
                <w:color w:val="1F2A3C"/>
                <w:sz w:val="16"/>
                <w:szCs w:val="16"/>
              </w:rPr>
              <w:t xml:space="preserve">14</w:t>
            </w:r>
          </w:p>
        </w:tc>
        <w:tc>
          <w:tcPr>
            <w:tcW w:type="dxa" w:w="333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Novartis Q1 2026: BPA core 1,99 (esperado 2,11), ingresos 13.100 M (esperado 13.600)</w:t>
            </w:r>
          </w:p>
        </w:tc>
        <w:tc>
          <w:tcPr>
            <w:tcW w:type="dxa" w:w="139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Newsquawk</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Prensa</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28 abr 2026</w:t>
            </w:r>
          </w:p>
        </w:tc>
        <w:tc>
          <w:tcPr>
            <w:tcW w:type="dxa" w:w="259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https://www.newsquawk.com/headlines/novartis-novn-sw-q1-2026-usd-core-eps-199-exp-211-revenue-131bln-exp-136bln-adj-op-income-49bln-exp-509bln-reaffirms-2026-guidance-</w:t>
            </w:r>
          </w:p>
        </w:tc>
      </w:tr>
      <w:tr>
        <w:trPr>
          <w:cantSplit/>
        </w:trPr>
        <w:tc>
          <w:tcPr>
            <w:tcW w:type="dxa" w:w="46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bCs/>
                <w:color w:val="1F2A3C"/>
                <w:sz w:val="16"/>
                <w:szCs w:val="16"/>
              </w:rPr>
              <w:t xml:space="preserve">15</w:t>
            </w:r>
          </w:p>
        </w:tc>
        <w:tc>
          <w:tcPr>
            <w:tcW w:type="dxa" w:w="333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Novartis successfully completes acquisition of Avidity Biosciences (27-feb-2026)</w:t>
            </w:r>
          </w:p>
        </w:tc>
        <w:tc>
          <w:tcPr>
            <w:tcW w:type="dxa" w:w="139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Novartis</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Primaria</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27 feb 2026</w:t>
            </w:r>
          </w:p>
        </w:tc>
        <w:tc>
          <w:tcPr>
            <w:tcW w:type="dxa" w:w="259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https://www.novartis.com/news/media-releases/novartis-successfully-completes-acquisition-avidity-biosciences-strengthening-late-stage-neuroscience-pipeline-and-advancing-xrna-strategy</w:t>
            </w:r>
          </w:p>
        </w:tc>
      </w:tr>
      <w:tr>
        <w:trPr>
          <w:cantSplit/>
        </w:trPr>
        <w:tc>
          <w:tcPr>
            <w:tcW w:type="dxa" w:w="46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bCs/>
                <w:color w:val="1F2A3C"/>
                <w:sz w:val="16"/>
                <w:szCs w:val="16"/>
              </w:rPr>
              <w:t xml:space="preserve">16</w:t>
            </w:r>
          </w:p>
        </w:tc>
        <w:tc>
          <w:tcPr>
            <w:tcW w:type="dxa" w:w="333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Roche to repurchase equity stake held by Novartis (19.024 M CHF)</w:t>
            </w:r>
          </w:p>
        </w:tc>
        <w:tc>
          <w:tcPr>
            <w:tcW w:type="dxa" w:w="139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Roche</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Primaria</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4 nov 2021</w:t>
            </w:r>
          </w:p>
        </w:tc>
        <w:tc>
          <w:tcPr>
            <w:tcW w:type="dxa" w:w="259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https://www.roche.com/investors/updates/inv-update-2021-11-04</w:t>
            </w:r>
          </w:p>
        </w:tc>
      </w:tr>
      <w:tr>
        <w:trPr>
          <w:cantSplit/>
        </w:trPr>
        <w:tc>
          <w:tcPr>
            <w:tcW w:type="dxa" w:w="46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bCs/>
                <w:color w:val="1F2A3C"/>
                <w:sz w:val="16"/>
                <w:szCs w:val="16"/>
              </w:rPr>
              <w:t xml:space="preserve">17</w:t>
            </w:r>
          </w:p>
        </w:tc>
        <w:tc>
          <w:tcPr>
            <w:tcW w:type="dxa" w:w="333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Dividend information: 3,70 CHF por acción por 2025 (+5,7 %, 29.ª subida seguida; ≈8.900 M USD al cambio del 31-dic-2025)</w:t>
            </w:r>
          </w:p>
        </w:tc>
        <w:tc>
          <w:tcPr>
            <w:tcW w:type="dxa" w:w="139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Novartis</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Primaria</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6 mar 2026</w:t>
            </w:r>
          </w:p>
        </w:tc>
        <w:tc>
          <w:tcPr>
            <w:tcW w:type="dxa" w:w="259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https://www.novartis.com/investors/share-data-analysis/dividend-information</w:t>
            </w:r>
          </w:p>
        </w:tc>
      </w:tr>
      <w:tr>
        <w:trPr>
          <w:cantSplit/>
        </w:trPr>
        <w:tc>
          <w:tcPr>
            <w:tcW w:type="dxa" w:w="46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bCs/>
                <w:color w:val="1F2A3C"/>
                <w:sz w:val="16"/>
                <w:szCs w:val="16"/>
              </w:rPr>
              <w:t xml:space="preserve">18</w:t>
            </w:r>
          </w:p>
        </w:tc>
        <w:tc>
          <w:tcPr>
            <w:tcW w:type="dxa" w:w="333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Novartis (NOVN) Q2 2026 earnings summary (guía del 2S: ventas de un dígito medio)</w:t>
            </w:r>
          </w:p>
        </w:tc>
        <w:tc>
          <w:tcPr>
            <w:tcW w:type="dxa" w:w="139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Quartr</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Prensa</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21 jul 2026</w:t>
            </w:r>
          </w:p>
        </w:tc>
        <w:tc>
          <w:tcPr>
            <w:tcW w:type="dxa" w:w="259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https://quartr.com/events/novartis-ag-novn-q2-2026_36kHrICq</w:t>
            </w:r>
          </w:p>
        </w:tc>
      </w:tr>
      <w:tr>
        <w:trPr>
          <w:cantSplit/>
        </w:trPr>
        <w:tc>
          <w:tcPr>
            <w:tcW w:type="dxa" w:w="46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bCs/>
                <w:color w:val="1F2A3C"/>
                <w:sz w:val="16"/>
                <w:szCs w:val="16"/>
              </w:rPr>
              <w:t xml:space="preserve">19</w:t>
            </w:r>
          </w:p>
        </w:tc>
        <w:tc>
          <w:tcPr>
            <w:tcW w:type="dxa" w:w="333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Novartis shares fall the most since 2020: what is behind the 10% decline (guía a medio plazo de +5-6 % anual mantenida)</w:t>
            </w:r>
          </w:p>
        </w:tc>
        <w:tc>
          <w:tcPr>
            <w:tcW w:type="dxa" w:w="139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XTB</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Prensa</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8 sep 2026</w:t>
            </w:r>
          </w:p>
        </w:tc>
        <w:tc>
          <w:tcPr>
            <w:tcW w:type="dxa" w:w="259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https://www.xtb.com/en/market-analysis/novartis-shares-fall-the-most-since-2020-what-is-behind-the-10-decline</w:t>
            </w:r>
          </w:p>
        </w:tc>
      </w:tr>
      <w:tr>
        <w:trPr>
          <w:cantSplit/>
        </w:trPr>
        <w:tc>
          <w:tcPr>
            <w:tcW w:type="dxa" w:w="46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bCs/>
                <w:color w:val="1F2A3C"/>
                <w:sz w:val="16"/>
                <w:szCs w:val="16"/>
              </w:rPr>
              <w:t xml:space="preserve">20</w:t>
            </w:r>
          </w:p>
        </w:tc>
        <w:tc>
          <w:tcPr>
            <w:tcW w:type="dxa" w:w="333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Novartis loses 24 billion francs in market value in a single day (cierre de 111,80 CHF)</w:t>
            </w:r>
          </w:p>
        </w:tc>
        <w:tc>
          <w:tcPr>
            <w:tcW w:type="dxa" w:w="139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blue News</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Prensa</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8 sep 2026</w:t>
            </w:r>
          </w:p>
        </w:tc>
        <w:tc>
          <w:tcPr>
            <w:tcW w:type="dxa" w:w="259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https://www.bluewin.ch/en/news/novartis-loses-24-billion-francs-in-market-value-in-a-single-day-li.3592726</w:t>
            </w:r>
          </w:p>
        </w:tc>
      </w:tr>
      <w:tr>
        <w:trPr>
          <w:cantSplit/>
        </w:trPr>
        <w:tc>
          <w:tcPr>
            <w:tcW w:type="dxa" w:w="46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bCs/>
                <w:color w:val="1F2A3C"/>
                <w:sz w:val="16"/>
                <w:szCs w:val="16"/>
              </w:rPr>
              <w:t xml:space="preserve">21</w:t>
            </w:r>
          </w:p>
        </w:tc>
        <w:tc>
          <w:tcPr>
            <w:tcW w:type="dxa" w:w="333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Novartis announces Lp(a)HORIZON Phase III topline results for pelacarsen</w:t>
            </w:r>
          </w:p>
        </w:tc>
        <w:tc>
          <w:tcPr>
            <w:tcW w:type="dxa" w:w="139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Novartis</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Primaria</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4 sep 2026</w:t>
            </w:r>
          </w:p>
        </w:tc>
        <w:tc>
          <w:tcPr>
            <w:tcW w:type="dxa" w:w="259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https://novartis.com/news/media-releases/novartis-announces-lpahorizon-phase-iii-topline-results-pelacarsen-patients-elevated-lpa-and-established-cardiovascular-disease-cvd</w:t>
            </w:r>
          </w:p>
        </w:tc>
      </w:tr>
      <w:tr>
        <w:trPr>
          <w:cantSplit/>
        </w:trPr>
        <w:tc>
          <w:tcPr>
            <w:tcW w:type="dxa" w:w="46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bCs/>
                <w:color w:val="1F2A3C"/>
                <w:sz w:val="16"/>
                <w:szCs w:val="16"/>
              </w:rPr>
              <w:t xml:space="preserve">22</w:t>
            </w:r>
          </w:p>
        </w:tc>
        <w:tc>
          <w:tcPr>
            <w:tcW w:type="dxa" w:w="333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Rückschlag für Novartis: so schätzen Analysten den Studienflop bei Pelacarsen ein (Deutsche Bank a Mantener, 120 CHF)</w:t>
            </w:r>
          </w:p>
        </w:tc>
        <w:tc>
          <w:tcPr>
            <w:tcW w:type="dxa" w:w="139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cash.ch</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Analistas</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sep 2026</w:t>
            </w:r>
          </w:p>
        </w:tc>
        <w:tc>
          <w:tcPr>
            <w:tcW w:type="dxa" w:w="259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https://www.cash.ch/news/top-news/ruckschlag-fur-novartis-so-schatzen-analysten-den-studienflop-bei-pelacarsen-ein-966520</w:t>
            </w:r>
          </w:p>
        </w:tc>
      </w:tr>
      <w:tr>
        <w:trPr>
          <w:cantSplit/>
        </w:trPr>
        <w:tc>
          <w:tcPr>
            <w:tcW w:type="dxa" w:w="46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bCs/>
                <w:color w:val="1F2A3C"/>
                <w:sz w:val="16"/>
                <w:szCs w:val="16"/>
              </w:rPr>
              <w:t xml:space="preserve">23</w:t>
            </w:r>
          </w:p>
        </w:tc>
        <w:tc>
          <w:tcPr>
            <w:tcW w:type="dxa" w:w="333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Comparables farmacéuticos (Stock Analysis y MarketScreener, 8-oct-2026) recogidos en el informe de Roche del 14-oct-2026 del repo</w:t>
            </w:r>
          </w:p>
        </w:tc>
        <w:tc>
          <w:tcPr>
            <w:tcW w:type="dxa" w:w="139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Stock Analysis / MarketScreener</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Datos de mercado</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8 oct 2026</w:t>
            </w:r>
          </w:p>
        </w:tc>
        <w:tc>
          <w:tcPr>
            <w:tcW w:type="dxa" w:w="259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https://stockanalysis.com/</w:t>
            </w:r>
          </w:p>
        </w:tc>
      </w:tr>
      <w:tr>
        <w:trPr>
          <w:cantSplit/>
        </w:trPr>
        <w:tc>
          <w:tcPr>
            <w:tcW w:type="dxa" w:w="46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bCs/>
                <w:color w:val="1F2A3C"/>
                <w:sz w:val="16"/>
                <w:szCs w:val="16"/>
              </w:rPr>
              <w:t xml:space="preserve">24</w:t>
            </w:r>
          </w:p>
        </w:tc>
        <w:tc>
          <w:tcPr>
            <w:tcW w:type="dxa" w:w="333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Novartis Phase III misses compound Novo’s cardiovascular setback</w:t>
            </w:r>
          </w:p>
        </w:tc>
        <w:tc>
          <w:tcPr>
            <w:tcW w:type="dxa" w:w="139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BioCentury</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Prensa</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8 sep 2026</w:t>
            </w:r>
          </w:p>
        </w:tc>
        <w:tc>
          <w:tcPr>
            <w:tcW w:type="dxa" w:w="259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https://www.biocentury.com/article/660735/novartis-phase-iii-misses-compound-novo-s-cardiovascular-setback</w:t>
            </w:r>
          </w:p>
        </w:tc>
      </w:tr>
      <w:tr>
        <w:trPr>
          <w:cantSplit/>
        </w:trPr>
        <w:tc>
          <w:tcPr>
            <w:tcW w:type="dxa" w:w="46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bCs/>
                <w:color w:val="1F2A3C"/>
                <w:sz w:val="16"/>
                <w:szCs w:val="16"/>
              </w:rPr>
              <w:t xml:space="preserve">25</w:t>
            </w:r>
          </w:p>
        </w:tc>
        <w:tc>
          <w:tcPr>
            <w:tcW w:type="dxa" w:w="333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Novartis AGM 2026 voting results (informe de remuneración 87,9 % a favor y 11,6 % en contra; Caforio 97,5 %)</w:t>
            </w:r>
          </w:p>
        </w:tc>
        <w:tc>
          <w:tcPr>
            <w:tcW w:type="dxa" w:w="139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Novartis</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Primaria</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6 mar 2026</w:t>
            </w:r>
          </w:p>
        </w:tc>
        <w:tc>
          <w:tcPr>
            <w:tcW w:type="dxa" w:w="259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https://www.novartis.com/sites/novartis_com/files/novartis-agm-2026-voting-results-en.pdf</w:t>
            </w:r>
          </w:p>
        </w:tc>
      </w:tr>
      <w:tr>
        <w:trPr>
          <w:cantSplit/>
        </w:trPr>
        <w:tc>
          <w:tcPr>
            <w:tcW w:type="dxa" w:w="46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bCs/>
                <w:color w:val="1F2A3C"/>
                <w:sz w:val="16"/>
                <w:szCs w:val="16"/>
              </w:rPr>
              <w:t xml:space="preserve">26</w:t>
            </w:r>
          </w:p>
        </w:tc>
        <w:tc>
          <w:tcPr>
            <w:tcW w:type="dxa" w:w="333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Novartis shareholders approve all resolutions proposed by the Board of Directors at the 2026 Annual General Meeting</w:t>
            </w:r>
          </w:p>
        </w:tc>
        <w:tc>
          <w:tcPr>
            <w:tcW w:type="dxa" w:w="139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Novartis</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Primaria</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6 mar 2026</w:t>
            </w:r>
          </w:p>
        </w:tc>
        <w:tc>
          <w:tcPr>
            <w:tcW w:type="dxa" w:w="259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https://novartis.com/news/media-releases/novartis-shareholders-approve-all-resolutions-proposed-board-directors-2026-annual-general-meeting</w:t>
            </w:r>
          </w:p>
        </w:tc>
      </w:tr>
      <w:tr>
        <w:trPr>
          <w:cantSplit/>
        </w:trPr>
        <w:tc>
          <w:tcPr>
            <w:tcW w:type="dxa" w:w="46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bCs/>
                <w:color w:val="1F2A3C"/>
                <w:sz w:val="16"/>
                <w:szCs w:val="16"/>
              </w:rPr>
              <w:t xml:space="preserve">27</w:t>
            </w:r>
          </w:p>
        </w:tc>
        <w:tc>
          <w:tcPr>
            <w:tcW w:type="dxa" w:w="333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Novartis AGM 2025 voting results (informe de remuneración 2024: 87,2 % a favor)</w:t>
            </w:r>
          </w:p>
        </w:tc>
        <w:tc>
          <w:tcPr>
            <w:tcW w:type="dxa" w:w="139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Novartis</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Primaria</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7 mar 2025</w:t>
            </w:r>
          </w:p>
        </w:tc>
        <w:tc>
          <w:tcPr>
            <w:tcW w:type="dxa" w:w="259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https://prod1.biome.novartis.com/sites/novartis_com/files/novartis-agm-2025-voting-results-en.pdf</w:t>
            </w:r>
          </w:p>
        </w:tc>
      </w:tr>
      <w:tr>
        <w:trPr>
          <w:cantSplit/>
        </w:trPr>
        <w:tc>
          <w:tcPr>
            <w:tcW w:type="dxa" w:w="46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bCs/>
                <w:color w:val="1F2A3C"/>
                <w:sz w:val="16"/>
                <w:szCs w:val="16"/>
              </w:rPr>
              <w:t xml:space="preserve">28</w:t>
            </w:r>
          </w:p>
        </w:tc>
        <w:tc>
          <w:tcPr>
            <w:tcW w:type="dxa" w:w="333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Why Novartis AG’s (NVS) stock is down 12.46% (cierre de 140,93 USD el 5-oct-2026)</w:t>
            </w:r>
          </w:p>
        </w:tc>
        <w:tc>
          <w:tcPr>
            <w:tcW w:type="dxa" w:w="139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AAII</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Datos de mercado</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5 oct 2026</w:t>
            </w:r>
          </w:p>
        </w:tc>
        <w:tc>
          <w:tcPr>
            <w:tcW w:type="dxa" w:w="259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https://www.aaii.com/investingideas/article/539319-why-novartis-ag8217s-nvs-stock-is-down-1246</w:t>
            </w:r>
          </w:p>
        </w:tc>
      </w:tr>
      <w:tr>
        <w:trPr>
          <w:cantSplit/>
        </w:trPr>
        <w:tc>
          <w:tcPr>
            <w:tcW w:type="dxa" w:w="46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bCs/>
                <w:color w:val="1F2A3C"/>
                <w:sz w:val="16"/>
                <w:szCs w:val="16"/>
              </w:rPr>
              <w:t xml:space="preserve">29</w:t>
            </w:r>
          </w:p>
        </w:tc>
        <w:tc>
          <w:tcPr>
            <w:tcW w:type="dxa" w:w="333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USD to CHF exchange rate history (0,8088 el 5-ago; 1 CHF = 1,2370 USD el 4-sep-2026)</w:t>
            </w:r>
          </w:p>
        </w:tc>
        <w:tc>
          <w:tcPr>
            <w:tcW w:type="dxa" w:w="139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OFX</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Datos de mercado</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4 sep 2026</w:t>
            </w:r>
          </w:p>
        </w:tc>
        <w:tc>
          <w:tcPr>
            <w:tcW w:type="dxa" w:w="259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https://www.ofx.com/en-us/exchange-rates/chf-to-usd/</w:t>
            </w:r>
          </w:p>
        </w:tc>
      </w:tr>
      <w:tr>
        <w:trPr>
          <w:cantSplit/>
        </w:trPr>
        <w:tc>
          <w:tcPr>
            <w:tcW w:type="dxa" w:w="46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bCs/>
                <w:color w:val="1F2A3C"/>
                <w:sz w:val="16"/>
                <w:szCs w:val="16"/>
              </w:rPr>
              <w:t xml:space="preserve">30</w:t>
            </w:r>
          </w:p>
        </w:tc>
        <w:tc>
          <w:tcPr>
            <w:tcW w:type="dxa" w:w="333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Novartis Kursziel: 27 objetivos, media 128,42 CHF (95,95-150,69); 17 comprar, 14 mantener, 3 vender</w:t>
            </w:r>
          </w:p>
        </w:tc>
        <w:tc>
          <w:tcPr>
            <w:tcW w:type="dxa" w:w="139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aktien.guide</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Analistas</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oct 2026</w:t>
            </w:r>
          </w:p>
        </w:tc>
        <w:tc>
          <w:tcPr>
            <w:tcW w:type="dxa" w:w="259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https://aktien.guide/kursziel/Novartis-CH0012005267</w:t>
            </w:r>
          </w:p>
        </w:tc>
      </w:tr>
      <w:tr>
        <w:trPr>
          <w:cantSplit/>
        </w:trPr>
        <w:tc>
          <w:tcPr>
            <w:tcW w:type="dxa" w:w="46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bCs/>
                <w:color w:val="1F2A3C"/>
                <w:sz w:val="16"/>
                <w:szCs w:val="16"/>
              </w:rPr>
              <w:t xml:space="preserve">31</w:t>
            </w:r>
          </w:p>
        </w:tc>
        <w:tc>
          <w:tcPr>
            <w:tcW w:type="dxa" w:w="333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Novartis stock crashed 11% on Tuesday: two failed trials are to blame (23 analistas: 5 comprar, 4 sobreponderar, 10 mantener, 1 infraponderar, 3 vender)</w:t>
            </w:r>
          </w:p>
        </w:tc>
        <w:tc>
          <w:tcPr>
            <w:tcW w:type="dxa" w:w="139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TIKR</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Analistas</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9 sep 2026</w:t>
            </w:r>
          </w:p>
        </w:tc>
        <w:tc>
          <w:tcPr>
            <w:tcW w:type="dxa" w:w="259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https://www.tikr.com/blog/novartis-stock-crashed-11-on-tuesday-two-failed-trials-are-to-blame</w:t>
            </w:r>
          </w:p>
        </w:tc>
      </w:tr>
      <w:tr>
        <w:trPr>
          <w:cantSplit/>
        </w:trPr>
        <w:tc>
          <w:tcPr>
            <w:tcW w:type="dxa" w:w="46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bCs/>
                <w:color w:val="1F2A3C"/>
                <w:sz w:val="16"/>
                <w:szCs w:val="16"/>
              </w:rPr>
              <w:t xml:space="preserve">32</w:t>
            </w:r>
          </w:p>
        </w:tc>
        <w:tc>
          <w:tcPr>
            <w:tcW w:type="dxa" w:w="333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NVS earnings forecasts (consenso trimestral: 3T26e 2,23; 4T26e 2,12; 1T27e 2,29; 2T27e 2,54 USD)</w:t>
            </w:r>
          </w:p>
        </w:tc>
        <w:tc>
          <w:tcPr>
            <w:tcW w:type="dxa" w:w="139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Benzinga</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Analistas</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oct 2026</w:t>
            </w:r>
          </w:p>
        </w:tc>
        <w:tc>
          <w:tcPr>
            <w:tcW w:type="dxa" w:w="259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https://www.benzinga.com/quote/NVS/earnings-forecasts</w:t>
            </w:r>
          </w:p>
        </w:tc>
      </w:tr>
      <w:tr>
        <w:trPr>
          <w:cantSplit/>
        </w:trPr>
        <w:tc>
          <w:tcPr>
            <w:tcW w:type="dxa" w:w="46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bCs/>
                <w:color w:val="1F2A3C"/>
                <w:sz w:val="16"/>
                <w:szCs w:val="16"/>
              </w:rPr>
              <w:t xml:space="preserve">33</w:t>
            </w:r>
          </w:p>
        </w:tc>
        <w:tc>
          <w:tcPr>
            <w:tcW w:type="dxa" w:w="333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Novartis (NVS) historical price data: cierres de diciembre 2021-2025 (82,77; 85,85; 100,97; 97,31; 138,72 USD)</w:t>
            </w:r>
          </w:p>
        </w:tc>
        <w:tc>
          <w:tcPr>
            <w:tcW w:type="dxa" w:w="139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Traders Union</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Datos de mercado</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oct 2026</w:t>
            </w:r>
          </w:p>
        </w:tc>
        <w:tc>
          <w:tcPr>
            <w:tcW w:type="dxa" w:w="259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https://tradersunion.com/currencies/price-history/nvs-usd/</w:t>
            </w:r>
          </w:p>
        </w:tc>
      </w:tr>
      <w:tr>
        <w:trPr>
          <w:cantSplit/>
        </w:trPr>
        <w:tc>
          <w:tcPr>
            <w:tcW w:type="dxa" w:w="46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bCs/>
                <w:color w:val="1F2A3C"/>
                <w:sz w:val="16"/>
                <w:szCs w:val="16"/>
              </w:rPr>
              <w:t xml:space="preserve">34</w:t>
            </w:r>
          </w:p>
        </w:tc>
        <w:tc>
          <w:tcPr>
            <w:tcW w:type="dxa" w:w="333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NVS returns by year (cierres ajustados por dividendos: 2025 137,87 USD)</w:t>
            </w:r>
          </w:p>
        </w:tc>
        <w:tc>
          <w:tcPr>
            <w:tcW w:type="dxa" w:w="139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Chartrow</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Datos de mercado</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oct 2026</w:t>
            </w:r>
          </w:p>
        </w:tc>
        <w:tc>
          <w:tcPr>
            <w:tcW w:type="dxa" w:w="259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https://chartrow.com/quote/nvs/returns</w:t>
            </w:r>
          </w:p>
        </w:tc>
      </w:tr>
      <w:tr>
        <w:trPr>
          <w:cantSplit/>
        </w:trPr>
        <w:tc>
          <w:tcPr>
            <w:tcW w:type="dxa" w:w="46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bCs/>
                <w:color w:val="1F2A3C"/>
                <w:sz w:val="16"/>
                <w:szCs w:val="16"/>
              </w:rPr>
              <w:t xml:space="preserve">35</w:t>
            </w:r>
          </w:p>
        </w:tc>
        <w:tc>
          <w:tcPr>
            <w:tcW w:type="dxa" w:w="333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US Treasury yields (13-oct-2026): bono a 10 años en el 5,21-5,24 % (FRED DGS10 y Forbes)</w:t>
            </w:r>
          </w:p>
        </w:tc>
        <w:tc>
          <w:tcPr>
            <w:tcW w:type="dxa" w:w="139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CNBC / FRED</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Datos de mercado</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13 oct 2026</w:t>
            </w:r>
          </w:p>
        </w:tc>
        <w:tc>
          <w:tcPr>
            <w:tcW w:type="dxa" w:w="259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https://www.cnbc.com/2026/10/13/us-treasurys-bonds-yields.html</w:t>
            </w:r>
          </w:p>
        </w:tc>
      </w:tr>
      <w:tr>
        <w:trPr>
          <w:cantSplit/>
        </w:trPr>
        <w:tc>
          <w:tcPr>
            <w:tcW w:type="dxa" w:w="46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bCs/>
                <w:color w:val="1F2A3C"/>
                <w:sz w:val="16"/>
                <w:szCs w:val="16"/>
              </w:rPr>
              <w:t xml:space="preserve">36</w:t>
            </w:r>
          </w:p>
        </w:tc>
        <w:tc>
          <w:tcPr>
            <w:tcW w:type="dxa" w:w="333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Novartis financial results Q3 2026 (27-oct-2026)</w:t>
            </w:r>
          </w:p>
        </w:tc>
        <w:tc>
          <w:tcPr>
            <w:tcW w:type="dxa" w:w="139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Novartis</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Primaria</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oct 2026</w:t>
            </w:r>
          </w:p>
        </w:tc>
        <w:tc>
          <w:tcPr>
            <w:tcW w:type="dxa" w:w="259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https://prod1.novartis.com/events/novartis-financial-results-q3-2026</w:t>
            </w:r>
          </w:p>
        </w:tc>
      </w:tr>
      <w:tr>
        <w:trPr>
          <w:cantSplit/>
        </w:trPr>
        <w:tc>
          <w:tcPr>
            <w:tcW w:type="dxa" w:w="46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bCs/>
                <w:color w:val="1F2A3C"/>
                <w:sz w:val="16"/>
                <w:szCs w:val="16"/>
              </w:rPr>
              <w:t xml:space="preserve">37</w:t>
            </w:r>
          </w:p>
        </w:tc>
        <w:tc>
          <w:tcPr>
            <w:tcW w:type="dxa" w:w="333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Implied ERP by month (ERPbymonth.xlsx): prima implícita de octubre de 2026, 4,20 % (dato del repo, verticales/empresa/prompt.md)</w:t>
            </w:r>
          </w:p>
        </w:tc>
        <w:tc>
          <w:tcPr>
            <w:tcW w:type="dxa" w:w="139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Aswath Damodaran (NYU Stern)</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Datos de mercado</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oct 2026</w:t>
            </w:r>
          </w:p>
        </w:tc>
        <w:tc>
          <w:tcPr>
            <w:tcW w:type="dxa" w:w="259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https://pages.stern.nyu.edu/~adamodar/pc/implprem/ERPbymonth.xlsx</w:t>
            </w:r>
          </w:p>
        </w:tc>
      </w:tr>
      <w:tr>
        <w:trPr>
          <w:cantSplit/>
        </w:trPr>
        <w:tc>
          <w:tcPr>
            <w:tcW w:type="dxa" w:w="46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bCs/>
                <w:color w:val="1F2A3C"/>
                <w:sz w:val="16"/>
                <w:szCs w:val="16"/>
              </w:rPr>
              <w:t xml:space="preserve">38</w:t>
            </w:r>
          </w:p>
        </w:tc>
        <w:tc>
          <w:tcPr>
            <w:tcW w:type="dxa" w:w="333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Novartis assumed with a Hold at Jefferies (objetivo 110 CHF)</w:t>
            </w:r>
          </w:p>
        </w:tc>
        <w:tc>
          <w:tcPr>
            <w:tcW w:type="dxa" w:w="139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TipRanks / The Fly</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Analistas</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2026</w:t>
            </w:r>
          </w:p>
        </w:tc>
        <w:tc>
          <w:tcPr>
            <w:tcW w:type="dxa" w:w="259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https://www.tipranks.com/news/the-fly/novartis-assumed-with-a-hold-at-jefferies-thefly</w:t>
            </w:r>
          </w:p>
        </w:tc>
      </w:tr>
      <w:tr>
        <w:trPr>
          <w:cantSplit/>
        </w:trPr>
        <w:tc>
          <w:tcPr>
            <w:tcW w:type="dxa" w:w="46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bCs/>
                <w:color w:val="1F2A3C"/>
                <w:sz w:val="16"/>
                <w:szCs w:val="16"/>
              </w:rPr>
              <w:t xml:space="preserve">39</w:t>
            </w:r>
          </w:p>
        </w:tc>
        <w:tc>
          <w:tcPr>
            <w:tcW w:type="dxa" w:w="333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Novartis shares: cotización de 131,32 CHF y capitalización de 249.600 M CHF (20-ago-2026)</w:t>
            </w:r>
          </w:p>
        </w:tc>
        <w:tc>
          <w:tcPr>
            <w:tcW w:type="dxa" w:w="139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Simply Wall St</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Datos de mercado</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20 ago 2026</w:t>
            </w:r>
          </w:p>
        </w:tc>
        <w:tc>
          <w:tcPr>
            <w:tcW w:type="dxa" w:w="259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https://www.simplywall.st/stocks/ch/pharmaceuticals-biotech/vtx-novn/novartis-shares</w:t>
            </w:r>
          </w:p>
        </w:tc>
      </w:tr>
      <w:tr>
        <w:trPr>
          <w:cantSplit/>
        </w:trPr>
        <w:tc>
          <w:tcPr>
            <w:tcW w:type="dxa" w:w="46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bCs/>
                <w:color w:val="1F2A3C"/>
                <w:sz w:val="16"/>
                <w:szCs w:val="16"/>
              </w:rPr>
              <w:t xml:space="preserve">40</w:t>
            </w:r>
          </w:p>
        </w:tc>
        <w:tc>
          <w:tcPr>
            <w:tcW w:type="dxa" w:w="333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Novartis AG (NVS) estimates: modelo propio de ventas y BPA 2026e-2028e</w:t>
            </w:r>
          </w:p>
        </w:tc>
        <w:tc>
          <w:tcPr>
            <w:tcW w:type="dxa" w:w="139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VCP Scanner</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Analistas</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oct 2026</w:t>
            </w:r>
          </w:p>
        </w:tc>
        <w:tc>
          <w:tcPr>
            <w:tcW w:type="dxa" w:w="259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https://www.vcpscanner.com/valuation/nvs/estimates</w:t>
            </w:r>
          </w:p>
        </w:tc>
      </w:tr>
      <w:tr>
        <w:trPr>
          <w:cantSplit/>
        </w:trPr>
        <w:tc>
          <w:tcPr>
            <w:tcW w:type="dxa" w:w="46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bCs/>
                <w:color w:val="1F2A3C"/>
                <w:sz w:val="16"/>
                <w:szCs w:val="16"/>
              </w:rPr>
              <w:t xml:space="preserve">41</w:t>
            </w:r>
          </w:p>
        </w:tc>
        <w:tc>
          <w:tcPr>
            <w:tcW w:type="dxa" w:w="333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Novartis-Aktien nach Forschungsrückschlag satt im Minus</w:t>
            </w:r>
          </w:p>
        </w:tc>
        <w:tc>
          <w:tcPr>
            <w:tcW w:type="dxa" w:w="139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cash.ch</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Foros y redes</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4 sep 2026</w:t>
            </w:r>
          </w:p>
        </w:tc>
        <w:tc>
          <w:tcPr>
            <w:tcW w:type="dxa" w:w="259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https://www.cash.ch/news/novartis-aktien-nach-forschungsruckschlag-satt-im-minus-966513</w:t>
            </w:r>
          </w:p>
        </w:tc>
      </w:tr>
      <w:tr>
        <w:trPr>
          <w:cantSplit/>
        </w:trPr>
        <w:tc>
          <w:tcPr>
            <w:tcW w:type="dxa" w:w="46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bCs/>
                <w:color w:val="1F2A3C"/>
                <w:sz w:val="16"/>
                <w:szCs w:val="16"/>
              </w:rPr>
              <w:t xml:space="preserve">42</w:t>
            </w:r>
          </w:p>
        </w:tc>
        <w:tc>
          <w:tcPr>
            <w:tcW w:type="dxa" w:w="333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Novartis stock falls 10% after second drug setback in a week; analyst cuts PT</w:t>
            </w:r>
          </w:p>
        </w:tc>
        <w:tc>
          <w:tcPr>
            <w:tcW w:type="dxa" w:w="139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Allmind</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Foros y redes</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8 sep 2026</w:t>
            </w:r>
          </w:p>
        </w:tc>
        <w:tc>
          <w:tcPr>
            <w:tcW w:type="dxa" w:w="259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https://allmind.ai/news/0f693f85a0d642c2251d49701895531c454158322422471cb33ba6b67f76b222</w:t>
            </w:r>
          </w:p>
        </w:tc>
      </w:tr>
    </w:tbl>
    <w:p>
      <w:pPr>
        <w:spacing w:after="200" w:before="0"/>
      </w:pPr>
    </w:p>
    <w:p>
      <w:pPr>
        <w:pStyle w:val="Heading2"/>
      </w:pPr>
      <w:r>
        <w:t xml:space="preserve">Control de calidad del informe</w:t>
      </w:r>
    </w:p>
    <w:p>
      <w:pPr>
        <w:pStyle w:val="Nota"/>
        <w:spacing w:after="100"/>
      </w:pPr>
      <w:r>
        <w:t xml:space="preserve">Campos con dato: </w:t>
      </w:r>
      <w:r>
        <w:rPr>
          <w:b/>
          <w:bCs/>
        </w:rPr>
        <w:t xml:space="preserve">72,5 %</w:t>
      </w:r>
      <w:r>
        <w:t xml:space="preserve"> · Secciones con menos del 60 % de campos cubiertos: </w:t>
      </w:r>
      <w:r>
        <w:rPr>
          <w:b/>
          <w:bCs/>
        </w:rPr>
        <w:t xml:space="preserve">sector, gobierno, transacciones, calidad, balance, bolsa</w:t>
      </w:r>
      <w:r>
        <w:t xml:space="preserve"> · Generado el 14 oct 2026.</w:t>
      </w:r>
    </w:p>
    <w:p>
      <w:pPr>
        <w:pStyle w:val="Nota"/>
        <w:spacing w:after="100"/>
      </w:pPr>
      <w:r>
        <w:t xml:space="preserve">Análisis hecho desde la nube con la red limitada a la búsqueda web: la web de Novartis, la SIX, EDGAR y los proveedores de datos no se pudieron abrir, así que las cifras salen de los extractos de búsqueda de los comunicados de Novartis y de Stock Analysis, con la URL como fuente; lo que no cuadraba quedó en null. Divisa: Novartis publica en dólares, así que todo el informe va en USD y el precio en francos se da al tipo de 1,25 USD por CHF (estimación entre el 1,237 de OFX del 4-sep y el ≈1,29 que usó el informe de Roche del 14-oct) [29]. Precio: 140,93 USD, cierre del ADR NVS del 5-oct-2026 (1 ADR = 1 acción) [28]; en francos, 112,74 CHF, coherente con el cierre de 111,80 CHF del 8-sep [20]. Acciones: 1.923 M = capitalización de blue News ÷ precio (estimación). Cuenta de 2021-2022 reexpresada sin Sandoz (Stock Analysis); balance de 2021-2022 con Sandoz. Deuda bruta de 2021-2024 = solo la de largo plazo. El BPA de la rentabilidad a 12 meses es el core (el que guía Novartis y sigue el mercado). Comparables reutilizados del informe de Roche del 14-oct (datos del 8-oct), pasados a USD a 1,25.</w:t>
      </w:r>
    </w:p>
    <w:p>
      <w:pPr>
        <w:pStyle w:val="Nota"/>
        <w:spacing w:after="100"/>
      </w:pPr>
      <w:r>
        <w:t xml:space="preserve">Este documento es un análisis elaborado de forma automatizada a partir de fuentes públicas. No constituye una recomendación personalizada de inversión ni una oferta de compra o venta. Las cifras marcadas como estimación y los escenarios son hipótesis de trabajo y deben verificarse antes de tomar cualquier decisión.</w:t>
      </w:r>
    </w:p>
    <w:sectPr>
      <w:headerReference w:type="default" r:id="rId6"/>
      <w:headerReference w:type="first" r:id="rId7"/>
      <w:footerReference w:type="default" r:id="rId8"/>
      <w:footerReference w:type="first" r:id="rId9"/>
      <w:pgSz w:w="11906" w:h="16838" w:orient="portrait"/>
      <w:pgMar w:top="1134" w:right="1134" w:bottom="1134" w:left="1134" w:header="567" w:footer="567" w:gutter="0"/>
      <w:pgNumType/>
      <w:titlePg/>
      <w:docGrid w:linePitch="360"/>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tabs>
        <w:tab w:val="right" w:pos="9638"/>
      </w:tabs>
    </w:pPr>
    <w:r>
      <w:rPr>
        <w:color w:val="8A8984"/>
        <w:sz w:val="15"/>
        <w:szCs w:val="15"/>
      </w:rPr>
      <w:t xml:space="preserve">Datos a 14 oct 2026 · No constituye recomendación de inversión</w:t>
    </w:r>
    <w:r>
      <w:rPr>
        <w:color w:val="8A8984"/>
        <w:sz w:val="15"/>
        <w:szCs w:val="15"/>
      </w:rPr>
      <w:t xml:space="preserve">	</w:t>
      <w:fldChar w:fldCharType="begin"/>
      <w:instrText xml:space="preserve">PAGE</w:instrText>
      <w:fldChar w:fldCharType="separate"/>
      <w:fldChar w:fldCharType="end"/>
      <w:t xml:space="preserve"> / </w:t>
      <w:fldChar w:fldCharType="begin"/>
      <w:instrText xml:space="preserve">NUMPAGES</w:instrText>
      <w:fldChar w:fldCharType="separate"/>
      <w:fldChar w:fldCharType="end"/>
    </w:r>
  </w:p>
</w:ftr>
</file>

<file path=word/footer2.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r>
      <w:rPr>
        <w:color w:val="8A8984"/>
        <w:sz w:val="15"/>
        <w:szCs w:val="15"/>
      </w:rPr>
      <w:t xml:space="preserve">No constituye recomendación de inversión.</w:t>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tabs>
        <w:tab w:val="right" w:pos="9638"/>
      </w:tabs>
    </w:pPr>
    <w:r>
      <w:rPr>
        <w:color w:val="8A8984"/>
        <w:sz w:val="16"/>
        <w:szCs w:val="16"/>
      </w:rPr>
      <w:t xml:space="preserve">Novartis AG (NOVN)</w:t>
    </w:r>
    <w:r>
      <w:rPr>
        <w:color w:val="8A8984"/>
        <w:sz w:val="16"/>
        <w:szCs w:val="16"/>
      </w:rPr>
      <w:t xml:space="preserve">	Análisis de empresa cotizada</w:t>
    </w:r>
  </w:p>
</w:hdr>
</file>

<file path=word/header2.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tentative="1">
      <w:start w:val="1"/>
      <w:numFmt w:val="bullet"/>
      <w:lvlText w:val="●"/>
      <w:lvlJc w:val="left"/>
      <w:pPr>
        <w:ind w:left="720" w:hanging="360"/>
      </w:pPr>
    </w:lvl>
    <w:lvl w:ilvl="1" w:tentative="1">
      <w:start w:val="1"/>
      <w:numFmt w:val="bullet"/>
      <w:lvlText w:val="○"/>
      <w:lvlJc w:val="left"/>
      <w:pPr>
        <w:ind w:left="1440" w:hanging="360"/>
      </w:pPr>
    </w:lvl>
    <w:lvl w:ilvl="2" w:tentative="1">
      <w:start w:val="1"/>
      <w:numFmt w:val="bullet"/>
      <w:lvlText w:val="■"/>
      <w:lvlJc w:val="left"/>
      <w:pPr>
        <w:ind w:left="2160" w:hanging="360"/>
      </w:pPr>
    </w:lvl>
    <w:lvl w:ilvl="3" w:tentative="1">
      <w:start w:val="1"/>
      <w:numFmt w:val="bullet"/>
      <w:lvlText w:val="●"/>
      <w:lvlJc w:val="left"/>
      <w:pPr>
        <w:ind w:left="2880" w:hanging="360"/>
      </w:pPr>
    </w:lvl>
    <w:lvl w:ilvl="4" w:tentative="1">
      <w:start w:val="1"/>
      <w:numFmt w:val="bullet"/>
      <w:lvlText w:val="○"/>
      <w:lvlJc w:val="left"/>
      <w:pPr>
        <w:ind w:left="3600" w:hanging="360"/>
      </w:pPr>
    </w:lvl>
    <w:lvl w:ilvl="5" w:tentative="1">
      <w:start w:val="1"/>
      <w:numFmt w:val="bullet"/>
      <w:lvlText w:val="■"/>
      <w:lvlJc w:val="left"/>
      <w:pPr>
        <w:ind w:left="4320" w:hanging="360"/>
      </w:pPr>
    </w:lvl>
    <w:lvl w:ilvl="6" w:tentative="1">
      <w:start w:val="1"/>
      <w:numFmt w:val="bullet"/>
      <w:lvlText w:val="●"/>
      <w:lvlJc w:val="left"/>
      <w:pPr>
        <w:ind w:left="5040" w:hanging="360"/>
      </w:pPr>
    </w:lvl>
    <w:lvl w:ilvl="7" w:tentative="1">
      <w:start w:val="1"/>
      <w:numFmt w:val="bullet"/>
      <w:lvlText w:val="●"/>
      <w:lvlJc w:val="left"/>
      <w:pPr>
        <w:ind w:left="5760" w:hanging="360"/>
      </w:pPr>
    </w:lvl>
    <w:lvl w:ilvl="8" w:tentative="1">
      <w:start w:val="1"/>
      <w:numFmt w:val="bullet"/>
      <w:lvlText w:val="●"/>
      <w:lvlJc w:val="left"/>
      <w:pPr>
        <w:ind w:left="6480" w:hanging="360"/>
      </w:pPr>
    </w:lvl>
  </w:abstractNum>
  <w:abstractNum w:abstractNumId="2" w15:restartNumberingAfterBreak="0">
    <w:multiLevelType w:val="hybridMultilevel"/>
    <w:lvl w:ilvl="0" w:tentative="1">
      <w:start w:val="1"/>
      <w:numFmt w:val="bullet"/>
      <w:lvlText w:val="•"/>
      <w:lvlJc w:val="left"/>
      <w:pPr>
        <w:ind w:left="360" w:hanging="240"/>
      </w:pPr>
      <w:rPr>
        <w:color w:val="2A78D6"/>
      </w:rPr>
    </w:lvl>
  </w:abstractNum>
  <w:num w:numId="1">
    <w:abstractNumId w:val="1"/>
    <w:lvlOverride w:ilvl="0">
      <w:startOverride w:val="1"/>
    </w:lvlOverride>
  </w:num>
  <w:num w:numId="2">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docVars>
    <w:docVar w:name="graficos" w:val="eyJzaW50ZXNpcyI6eyJ0aXBvIjoicmFuZ28iLCJ0aXR1bG8iOiJWYWxvciBwb3IgYWNjacOzbiBzZWfDum4gY2FkYSBtw6l0b2RvICh7e21ldGEuZGl2aXNhfX0pIMK3IHByZWNpbyBhY3R1YWwge3tpZGVudGlmaWNhY2lvbi5wcmVjaW98Mn19IiwiZGF0b3MiOiJjYWxjLnNpbnRlc2lzLnJhbmdvcyIsImNhdGVnb3JpYSI6ImV0aXF1ZXRhIiwiY2FtcG9fbWluIjoibWluIiwiY2FtcG9fbWF4IjoibWF4IiwiZ3JpcyI6ImdyaXMiLCJmb3JtYXRvIjoie3tjYWxjLnNpbnRlc2lzLmZvcm1hdG9fZWplfX0iLCJhbHRvX2NtIjo4fSwic2VnbWVudG9zX2hpc3QiOnsidGlwbyI6ImNvbHVtbmFzX2FwaWxhZGFzIiwidGl0dWxvIjoiSW5ncmVzb3MgcG9yIHNlZ21lbnRvICh7e21ldGEuZGl2aXNhfX0sIG1pbGxvbmVzKSIsInBpdm90Ijp7Imxpc3RhIjoibmVnb2Npby5zZWdtZW50b3MiLCJub21icmUiOiJub21icmUiLCJoaXN0b3JpY28iOiJoaXN0b3JpY28iLCJwZXJpb2RvIjoicGVyaW9kbyIsInZhbG9yIjoiaW5ncmVzb3MifSwiZm9ybWF0byI6IiMsIyMwIiwiYWx0b19jbSI6Ny41fSwic2VnbWVudG9zX21peCI6eyJ0aXBvIjoiZG9udXQiLCJ0aXR1bG8iOiJQZXNvIGRlIGNhZGEgc2VnbWVudG8gZW4gbG9zIGluZ3Jlc29zICh7e2NhbGMuc2VnbWVudG9zX3BlcmlvZG99fSkiLCJkYXRvcyI6ImNhbGMuc2VnbWVudG9zX3VsdGltbyIsImNhdGVnb3JpYSI6Im5vbWJyZSIsInNlcmllcyI6W3siY2FtcG8iOiJwZXNvX3BjdCIsIm5vbWJyZSI6IiUgZGUgaW5ncmVzb3MifV0sImFsdG9fY20iOjYuNX0sImdlb2dyYWZpYXMiOnsidGlwbyI6ImJhcnJhcyIsInRpdHVsbyI6IkluZ3Jlc29zIHBvciBnZW9ncmFmw61hLCBzZWfDum4ge3tuZWdvY2lvLmdlb2dyYWZpYXNfY3JpdGVyaW99fSAoJSBkZWwgdG90YWwpIiwiZGF0b3MiOiJuZWdvY2lvLmdlb2dyYWZpYXMiLCJjYXRlZ29yaWEiOiJub21icmUiLCJzZXJpZXMiOlt7ImNhbXBvIjoicGVzb19wY3QiLCJub21icmUiOiIlIGRlIGluZ3Jlc29zIn1dLCJmb3JtYXRvIjoiMFwiJVwiIiwiZXRpcXVldGFzIjp0cnVlLCJhbHRvX2NtIjo2fSwic2VjdG9yX21lcmNhZG8iOnsidGlwbyI6ImNvbHVtbmFzIiwidGl0dWxvIjoiVGFtYcOxbyBkZWwgbWVyY2FkbyAoe3tzZWN0b3IudW5pZGFkX3NlcmllfX0pIMK3IMKrZcK7ID0gcHJldmlzacOzbiIsImRhdG9zIjoic2VjdG9yLnNlcmllIiwiY2F0ZWdvcmlhIjoiYW5pbyIsInNlcmllcyI6W3siY2FtcG8iOiJ0YW1hbm8iLCJub21icmUiOiJUYW1hw7FvIGRlbCBtZXJjYWRvIn1dLCJmb3JtYXRvIjoiIywjIzAiLCJldGlxdWV0YXMiOnRydWUsImFsdG9fY20iOjYuNX0sInBvcnRlciI6eyJ0aXBvIjoicmFkYXIiLCJ0aXR1bG8iOiJDaW5jbyBmdWVyemFzOiBpbnRlbnNpZGFkICgxID0gZmF2b3JhYmxlLCA1ID0gZGVzZmF2b3JhYmxlKSIsImRhdG9zIjoic2VjdG9yLnBvcnRlciIsImNhdGVnb3JpYSI6ImZ1ZXJ6YSIsInNlcmllcyI6W3siY2FtcG8iOiJpbnRlbnNpZGFkIiwibm9tYnJlIjoiSW50ZW5zaWRhZCJ9XSwibWluIjowLCJtYXgiOjUsImFsdG9fY20iOjcuNX0sImZvc28iOnsidGlwbyI6ImJhcnJhcyIsInRpdHVsbyI6IkZ1ZW50ZXMgZGUgdmVudGFqYSBjb21wZXRpdGl2YSAoMCA9IGluZXhpc3RlbnRlLCA1ID0gbXV5IGZ1ZXJ0ZSkiLCJkYXRvcyI6ImNvbXBldGVuY2lhLmZvc28uZnVlbnRlcyIsImNhdGVnb3JpYSI6ImZ1ZW50ZSIsInNlcmllcyI6W3siY2FtcG8iOiJwdW50dWFjaW9uIiwibm9tYnJlIjoiUHVudHVhY2nDs24ifV0sIm1pbiI6MCwibWF4Ijo1LCJmb3JtYXRvIjoiMCIsImV0aXF1ZXRhcyI6dHJ1ZSwiYWx0b19jbSI6NS41fSwiY29tcGV0aWRvcmVzX21hcmdlbiI6eyJ0aXBvIjoiYmFycmFzIiwidGl0dWxvIjoiTWFyZ2VuIEVCSVQ6IGxhIGVtcHJlc2EgZnJlbnRlIGEgc3VzIGNvbXBldGlkb3JlcyAoJSkiLCJkYXRvcyI6ImNhbGMuY29tcGV0aWRvcmVzX21hcmdlbiIsImNhdGVnb3JpYSI6Im5vbWJyZSIsInNlcmllcyI6W3siY2FtcG8iOiJtYXJnZW5fZWJpdF9wY3QiLCJub21icmUiOiJNYXJnZW4gRUJJVCJ9XSwiZm9ybWF0byI6IjAuMFwiJVwiIiwiZXRpcXVldGFzIjp0cnVlLCJyZXNhbHRhciI6MCwiYWx0b19jbSI6Ni41fSwiaW5ncmVzb3NfZWJpdGRhIjp7InRpcG8iOiJjb2x1bW5hcyIsInRpdHVsbyI6IkluZ3Jlc29zIHkgRUJJVERBICh7e21ldGEuZGl2aXNhfX0sIG1pbGxvbmVzKSDCtyDCq2XCuyA9IHByb3llY2Npw7NuIHByb3BpYSBkZWwgRENGIiwiZGF0b3MiOiJjYWxjLmN1ZW50YV95X3ByZXZpc2lvbiIsImNhdGVnb3JpYSI6InBlcmlvZG8iLCJzZXJpZXMiOlt7ImNhbXBvIjoiaW5ncmVzb3MiLCJub21icmUiOiJJbmdyZXNvcyJ9LHsiY2FtcG8iOiJlYml0ZGEiLCJub21icmUiOiJFQklUREEifV0sImZvcm1hdG8iOiIjLCMjMCJ9LCJtYXJnZW5lcyI6eyJ0aXBvIjoibGluZWFzIiwidGl0dWxvIjoiTcOhcmdlbmVzICglIGRlIGluZ3Jlc29zKSIsImRhdG9zIjoiY2FsYy5jdWVudGEiLCJjYXRlZ29yaWEiOiJwZXJpb2RvIiwic2VyaWVzIjpbeyJjYW1wbyI6Im1hcmdlbl9icnV0b19wY3QiLCJub21icmUiOiJCcnV0byJ9LHsiY2FtcG8iOiJtYXJnZW5fZWJpdGRhX3BjdCIsIm5vbWJyZSI6IkVCSVREQSJ9LHsiY2FtcG8iOiJtYXJnZW5fZWJpdF9wY3QiLCJub21icmUiOiJFQklUIn0seyJjYW1wbyI6Im1hcmdlbl9uZXRvX3BjdCIsIm5vbWJyZSI6Ik5ldG8ifV0sImZvcm1hdG8iOiIwXCIlXCIifSwidHJpbWVzdHJlcyI6eyJ0aXBvIjoiY29sdW1uYXMiLCJ0aXR1bG8iOiJDcmVjaW1pZW50byBpbnRlcmFudWFsIHBvciB0cmltZXN0cmUgKCUpIiwiZGF0b3MiOiJ0cmltZXN0cmVzLml0ZW1zIiwiY2F0ZWdvcmlhIjoicGVyaW9kbyIsInNlcmllcyI6W3siY2FtcG8iOiJjcmVjaW1pZW50b19wY3QiLCJub21icmUiOiJSZXBvcnRhZG8ifSx7ImNhbXBvIjoiY3JlY2ltaWVudG9fb3JnYW5pY29fcGN0Iiwibm9tYnJlIjoiT3Jnw6FuaWNvIn1dLCJmb3JtYXRvIjoiMC4wXCIlXCIiLCJhbHRvX2NtIjo2LjV9LCJkaWFzX2NpcmN1bGFudGUiOnsidGlwbyI6ImxpbmVhcyIsInRpdHVsbyI6IkNhcGl0YWwgY2lyY3VsYW50ZSBlbiBkw61hcyIsImRhdG9zIjoiY2FsYy5iYWxhbmNlIiwiY2F0ZWdvcmlhIjoicGVyaW9kbyIsInNlcmllcyI6W3siY2FtcG8iOiJkc28iLCJub21icmUiOiJEw61hcyBkZSBjb2JybyJ9LHsiY2FtcG8iOiJkaW8iLCJub21icmUiOiJEw61hcyBkZSBpbnZlbnRhcmlvIn0seyJjYW1wbyI6ImRwbyIsIm5vbWJyZSI6IkTDrWFzIGRlIHBhZ28ifV0sImZvcm1hdG8iOiIwIiwiYWx0b19jbSI6Ni41fSwiZmNmIjp7InRpcG8iOiJjb2x1bW5hcyIsInRpdHVsbyI6IkZsdWpvIGRlIGNhamEgbGlicmUgZnJlbnRlIGEgYmVuZWZpY2lvIG5ldG8gKHt7bWV0YS5kaXZpc2F9fSwgbWlsbG9uZXMpIiwiZGF0b3MiOiJjYWxjLmZsdWpvcyIsImNhdGVnb3JpYSI6InBlcmlvZG8iLCJzZXJpZXMiOlt7ImNhbXBvIjoiZmNmIiwibm9tYnJlIjoiRmx1am8gZGUgY2FqYSBsaWJyZSJ9LHsiY2FtcG8iOiJiZW5lZmljaW9fbmV0byIsIm5vbWJyZSI6IkJlbmVmaWNpbyBuZXRvIn1dLCJmb3JtYXRvIjoiIywjIzAifSwicm9pYyI6eyJ0aXBvIjoibGluZWFzIiwidGl0dWxvIjoiUk9JQyB5IFJPRSBmcmVudGUgYWwgY29zdGUgZGVsIGNhcGl0YWwgKCUpIiwiZGF0b3MiOiJjYWxjLnJvaWNfZnJlbnRlX3dhY2MiLCJjYXRlZ29yaWEiOiJwZXJpb2RvIiwic2VyaWVzIjpbeyJjYW1wbyI6InJvaWNfcGN0Iiwibm9tYnJlIjoiUk9JQyJ9LHsiY2FtcG8iOiJ3YWNjX3BjdCIsIm5vbWJyZSI6IldBQ0MgYWN0dWFsIn0seyJjYW1wbyI6InJvZV9wY3QiLCJub21icmUiOiJST0UifV0sImZvcm1hdG8iOiIwXCIlXCIifSwiYXBhbGFuY2FtaWVudG8iOnsidGlwbyI6ImNvbHVtbmFzIiwidGl0dWxvIjoiRGV1ZGEgbmV0YSAvIEVCSVREQSBhbCBjaWVycmUgZGUgY2FkYSBlamVyY2ljaW8gKHZlY2VzKSIsImRhdG9zIjoiY2FsYy5iYWxhbmNlIiwiY2F0ZWdvcmlhIjoicGVyaW9kbyIsInNlcmllcyI6W3siY2FtcG8iOiJkbl9lYml0ZGEiLCJub21icmUiOiJEZXVkYSBuZXRhIC8gRUJJVERBIn1dLCJmb3JtYXRvIjoiMC4wXCJ4XCIiLCJldGlxdWV0YXMiOnRydWUsImFsdG9fY20iOjZ9LCJ2ZW5jaW1pZW50b3MiOnsidGlwbyI6ImNvbHVtbmFzIiwidGl0dWxvIjoiVmVuY2ltaWVudG9zIGRlIGxhIGRldWRhIGJydXRhICh7e21ldGEuZGl2aXNhfX0sIG1pbGxvbmVzKSIsImRhdG9zIjoiYmFsYW5jZS52ZW5jaW1pZW50b3MiLCJjYXRlZ29yaWEiOiJhbmlvIiwic2VyaWVzIjpbeyJjYW1wbyI6ImltcG9ydGUiLCJub21icmUiOiJWZW5jaW1pZW50b3MifV0sImZvcm1hdG8iOiIjLCMjMCIsImV0aXF1ZXRhcyI6dHJ1ZSwiYWx0b19jbSI6Nn0sInVzb3NfY2FqYSI6eyJ0aXBvIjoiY29sdW1uYXNfYXBpbGFkYXMiLCJ0aXR1bG8iOiJVc29zIGRlIGxhIGNhamEgKHt7bWV0YS5kaXZpc2F9fSwgbWlsbG9uZXMpIiwiZGF0b3MiOiJjYWxjLmZsdWpvcyIsImNhdGVnb3JpYSI6InBlcmlvZG8iLCJzZXJpZXMiOlt7ImNhbXBvIjoiYWRxdWlzaWNpb25lcyIsIm5vbWJyZSI6IkFkcXVpc2ljaW9uZXMifSx7ImNhbXBvIjoiZGl2aWRlbmRvcyIsIm5vbWJyZSI6IkRpdmlkZW5kb3MifSx7ImNhbXBvIjoicmVjb21wcmFzIiwibm9tYnJlIjoiUmVjb21wcmFzIn1dLCJmb3JtYXRvIjoiIywjIzAifSwiY29uc2VqbyI6eyJ0aXBvIjoiZG9udXQiLCJ0aXR1bG8iOiJDb21wb3NpY2nDs24gZGVsIGNvbnNlam8gKG7Dum1lcm8gZGUgY29uc2VqZXJvcykiLCJkYXRvcyI6ImNhbGMuZ29iaWVybm8uY29tcG9zaWNpb24iLCJjYXRlZ29yaWEiOiJ0aXBvIiwic2VyaWVzIjpbeyJjYW1wbyI6Im51bSIsIm5vbWJyZSI6IkNvbnNlamVyb3MifV0sImZvcm1hdG8iOiIwIiwic3VtYTEwMCI6ZmFsc2UsImFsdG9fY20iOjZ9LCJhY2Npb25pc3RhcyI6eyJ0aXBvIjoiYmFycmFzIiwidGl0dWxvIjoiQWNjaW9uaXN0YXMgc2lnbmlmaWNhdGl2b3MgKCUgZGVsIGNhcGl0YWwpIiwiZGF0b3MiOiJnb2JpZXJuby5hY2Npb25pc3RhcyIsImNhdGVnb3JpYSI6Im5vbWJyZSIsInNlcmllcyI6W3siY2FtcG8iOiJwY3QiLCJub21icmUiOiIlIGRlbCBjYXBpdGFsIn1dLCJmb3JtYXRvIjoiMC4wXCIlXCIiLCJldGlxdWV0YXMiOnRydWUsImFsdG9fY20iOjYuNX0sImJvbHNhX2FudWFsIjp7InRpcG8iOiJjb2x1bW5hcyIsInRpdHVsbyI6IlJlbnRhYmlsaWRhZCB0b3RhbCBwb3IgYcOxbzogYWNjacOzbiBmcmVudGUgYSBzdSDDrW5kaWNlICglKSIsImRhdG9zIjoiYm9sc2EuYW51YWwiLCJjYXRlZ29yaWEiOiJhbmlvIiwic2VyaWVzIjpbeyJjYW1wbyI6ImFjY2lvbl9wY3QiLCJub21icmUiOiJBY2Npw7NuIn0seyJjYW1wbyI6ImluZGljZV9wY3QiLCJub21icmUiOiLDjW5kaWNlIn1dLCJmb3JtYXRvIjoiMFwiJVwiIiwiYWx0b19jbSI6N30sIm11bHRpcGxvc19oaXN0Ijp7InRpcG8iOiJsaW5lYXMiLCJ0aXR1bG8iOiJ7e2NhbGMubXVsdGlwbG9zX3RpdHVsb319OiBoaXN0b3JpYSB5IG1lZGlhbmEgKHZlY2VzKSIsImRhdG9zIjoiY2FsYy5tdWx0aXBsb3Nfc2VyaWUiLCJjYXRlZ29yaWEiOiJhbmlvIiwic2VyaWVzIjpbeyJjYW1wbyI6Im11bHRpcGxvIiwibm9tYnJlIjoiTcO6bHRpcGxvIn0seyJjYW1wbyI6Im1lZGlhIiwibm9tYnJlIjoiTWVkaWFuYSBkZWwgcGVyaW9kbyJ9XSwiZm9ybWF0byI6IjAuMFwieFwiIiwiYWx0b19jbSI6Ni41fSwiY29tcHNfZXYiOnsidGlwbyI6ImJhcnJhcyIsInRpdHVsbyI6IkVWL0VCSVREQSBkZSBsb3MgcHLDs3hpbW9zIDEyIG1lc2VzOiBlbXByZXNhIHkgY29tcGFyYWJsZXMgKHZlY2VzKSIsImRhdG9zIjoiY2FsYy5jb21wYXJhYmxlcy50YWJsYSIsImNhdGVnb3JpYSI6Im5vbWJyZSIsInNlcmllcyI6W3siY2FtcG8iOiJldl9lYml0ZGFfbnRtIiwibm9tYnJlIjoiRVYvRUJJVERBIE5UTSJ9XSwiZm9ybWF0byI6IjAuMFwieFwiIiwiZXRpcXVldGFzIjp0cnVlLCJyZXNhbHRhciI6MCwiYWx0b19jbSI6Ny41fSwiY29tcHNfbWFwYSI6eyJ0aXBvIjoiZGlzcGVyc2lvbiIsInRpdHVsbyI6IkNyZWNpbWllbnRvIGVzcGVyYWRvIGZyZW50ZSBhIG3Dumx0aXBsbyIsImRhdG9zIjoiY2FsYy5jb21wYXJhYmxlcy50YWJsYSIsImV0aXF1ZXRhIjoibm9tYnJlIiwieCI6eyJjYW1wbyI6ImNyZWNpbWllbnRvX3BjdCIsIm5vbWJyZSI6IkNyZWNpbWllbnRvIGRlIGluZ3Jlc29zIHByw7N4aW1vcyAxMiBtZXNlcyAoJSkiLCJmb3JtYXRvIjoiMFwiJVwiIn0sInkiOnsiY2FtcG8iOiJldl9lYml0ZGFfbnRtIiwibm9tYnJlIjoiRVYvRUJJVERBIE5UTSAoeCkiLCJmb3JtYXRvIjoiMC4wXCJ4XCIifSwiYWx0b19jbSI6OC41fSwidHJhbnNhY2Npb25lcyI6eyJ0aXBvIjoiYmFycmFzIiwidGl0dWxvIjoiRVYvRUJJVERBIHBhZ2FkbyBlbiB0cmFuc2FjY2lvbmVzIGRlbCBzZWN0b3IgKHZlY2VzKSIsImRhdG9zIjoidHJhbnNhY2Npb25lcy5vcGVyYWNpb25lcyIsImNhdGVnb3JpYSI6Im9iamV0aXZvIiwic2VyaWVzIjpbeyJjYW1wbyI6ImV2X2ViaXRkYSIsIm5vbWJyZSI6IkVWL0VCSVREQSJ9XSwiZm9ybWF0byI6IjAuMFwieFwiIiwiZXRpcXVldGFzIjp0cnVlLCJhbHRvX2NtIjo3fSwiZGNmX2ZjZmYiOnsidGlwbyI6ImNvbHVtbmFzIiwidGl0dWxvIjoiRmx1am8gZGUgY2FqYSBsaWJyZSBwYXJhIGxhIGVtcHJlc2EgcHJveWVjdGFkbyAoe3ttZXRhLmRpdmlzYX19LCBtaWxsb25lcykiLCJkYXRvcyI6ImNhbGMuZGNmLnByb3llY2Npb24iLCJjYXRlZ29yaWEiOiJwZXJpb2RvIiwic2VyaWVzIjpbeyJjYW1wbyI6ImZjZmYiLCJub21icmUiOiJGQ0ZGIn1dLCJmb3JtYXRvIjoiIywjIzAiLCJldGlxdWV0YXMiOnRydWUsImFsdG9fY20iOjZ9LCJkY2ZfY29tcG9zaWNpb24iOnsidGlwbyI6ImRvbnV0IiwidGl0dWxvIjoiRGUgZMOzbmRlIHNhbGUgZWwgdmFsb3IgZW1wcmVzYSBkZWwgRENGICh7e21ldGEuZGl2aXNhfX0sIG1pbGxvbmVzKSIsImRhdG9zIjoiY2FsYy5kY2YuY29tcG9zaWNpb24iLCJjYXRlZ29yaWEiOiJwYXJ0ZSIsInNlcmllcyI6W3siY2FtcG8iOiJ2YWxvciIsIm5vbWJyZSI6IlZhbG9yIGFjdHVhbCJ9XSwiZm9ybWF0byI6IiMsIyMwIiwic3VtYTEwMCI6ZmFsc2UsImFsdG9fY20iOjZ9LCJlc2NlbmFyaW9zIjp7InRpcG8iOiJjb2x1bW5hcyIsInRpdHVsbyI6IlZhbG9yIHBvciBhY2Npw7NuIHBvciBlc2NlbmFyaW8gKHt7bWV0YS5kaXZpc2F9fSkgwrcgcHJlY2lvIGFjdHVhbCB7e2lkZW50aWZpY2FjaW9uLnByZWNpb3wyfX0iLCJkYXRvcyI6ImNhbGMuZXNjZW5hcmlvcyIsImNhdGVnb3JpYSI6ImVzY2VuYXJpbyIsInNlcmllcyI6W3siY2FtcG8iOiJ2YWxvciIsIm5vbWJyZSI6IlZhbG9yIHBvciBhY2Npw7NuIn1dLCJmb3JtYXRvIjoiIywjIzAuMDAiLCJldGlxdWV0YXMiOnRydWUsImFsdG9fY20iOjZ9fQ=="/>
  </w:docVars>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Calibri" w:cs="Calibri" w:eastAsia="Calibri" w:hAnsi="Calibri"/>
        <w:color w:val="1F2A3C"/>
        <w:sz w:val="20"/>
        <w:szCs w:val="20"/>
      </w:rPr>
    </w:rPrDefault>
    <w:pPrDefault>
      <w:pPr>
        <w:spacing w:line="264"/>
      </w:pPr>
    </w:pPrDefault>
  </w:docDefaults>
  <w:style w:type="paragraph" w:styleId="Normal" w:default="1">
    <w:name w:val="Normal"/>
    <w:qFormat/>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Title">
    <w:name w:val="Title"/>
    <w:basedOn w:val="Normal"/>
    <w:next w:val="Normal"/>
    <w:pPr>
      <w:spacing w:after="80"/>
    </w:pPr>
    <w:rPr>
      <w:rFonts w:ascii="Calibri" w:cs="Calibri" w:eastAsia="Calibri" w:hAnsi="Calibri"/>
      <w:b/>
      <w:bCs/>
      <w:color w:val="1F3A5F"/>
      <w:sz w:val="52"/>
      <w:szCs w:val="52"/>
    </w:rPr>
  </w:style>
  <w:style w:type="paragraph" w:styleId="Heading1">
    <w:name w:val="Heading 1"/>
    <w:basedOn w:val="Normal"/>
    <w:next w:val="Normal"/>
    <w:qFormat/>
    <w:pPr>
      <w:keepNext/>
      <w:pBdr>
        <w:bottom w:val="single" w:color="2A78D6" w:sz="6" w:space="4"/>
      </w:pBdr>
      <w:spacing w:after="60" w:before="360"/>
      <w:outlineLvl w:val="0"/>
    </w:pPr>
    <w:rPr>
      <w:rFonts w:ascii="Calibri" w:cs="Calibri" w:eastAsia="Calibri" w:hAnsi="Calibri"/>
      <w:b/>
      <w:bCs/>
      <w:color w:val="1F3A5F"/>
      <w:sz w:val="30"/>
      <w:szCs w:val="30"/>
    </w:rPr>
  </w:style>
  <w:style w:type="paragraph" w:styleId="Heading2">
    <w:name w:val="Heading 2"/>
    <w:basedOn w:val="Normal"/>
    <w:next w:val="Normal"/>
    <w:qFormat/>
    <w:pPr>
      <w:keepNext/>
      <w:spacing w:after="80" w:before="220"/>
      <w:outlineLvl w:val="1"/>
    </w:pPr>
    <w:rPr>
      <w:rFonts w:ascii="Calibri" w:cs="Calibri" w:eastAsia="Calibri" w:hAnsi="Calibri"/>
      <w:b/>
      <w:bCs/>
      <w:color w:val="1F3A5F"/>
      <w:sz w:val="23"/>
      <w:szCs w:val="23"/>
    </w:rPr>
  </w:style>
  <w:style w:type="paragraph" w:styleId="Parte">
    <w:name w:val="Parte"/>
    <w:basedOn w:val="Normal"/>
    <w:next w:val="Normal"/>
    <w:pPr>
      <w:keepNext/>
      <w:pBdr>
        <w:bottom w:val="single" w:color="2A78D6" w:sz="12" w:space="6"/>
      </w:pBdr>
      <w:spacing w:after="400" w:before="2400"/>
      <w:outlineLvl w:val="0"/>
    </w:pPr>
    <w:rPr>
      <w:rFonts w:ascii="Calibri" w:cs="Calibri" w:eastAsia="Calibri" w:hAnsi="Calibri"/>
      <w:b/>
      <w:bCs/>
      <w:color w:val="2A78D6"/>
      <w:sz w:val="40"/>
      <w:szCs w:val="40"/>
    </w:rPr>
  </w:style>
  <w:style w:type="paragraph" w:styleId="Aviso">
    <w:name w:val="Aviso"/>
    <w:basedOn w:val="Normal"/>
    <w:next w:val="Normal"/>
    <w:pPr>
      <w:pBdr>
        <w:left w:val="single" w:color="D9772E" w:sz="24" w:space="8"/>
      </w:pBdr>
      <w:spacing w:after="200" w:before="120"/>
      <w:ind w:left="200"/>
    </w:pPr>
    <w:rPr>
      <w:b/>
      <w:bCs/>
      <w:color w:val="A3470F"/>
      <w:sz w:val="19"/>
      <w:szCs w:val="19"/>
    </w:rPr>
  </w:style>
  <w:style w:type="paragraph" w:styleId="Confianza">
    <w:name w:val="Confianza"/>
    <w:basedOn w:val="Normal"/>
    <w:next w:val="Normal"/>
    <w:pPr>
      <w:keepNext/>
      <w:spacing w:after="160" w:before="0"/>
    </w:pPr>
    <w:rPr>
      <w:i/>
      <w:iCs/>
      <w:color w:val="8A8984"/>
      <w:sz w:val="16"/>
      <w:szCs w:val="16"/>
    </w:rPr>
  </w:style>
  <w:style w:type="paragraph" w:styleId="Nota">
    <w:name w:val="Nota"/>
    <w:basedOn w:val="Normal"/>
    <w:next w:val="Normal"/>
    <w:pPr>
      <w:spacing w:after="80"/>
    </w:pPr>
    <w:rPr>
      <w:color w:val="52514E"/>
      <w:sz w:val="16"/>
      <w:szCs w:val="16"/>
    </w:rPr>
  </w:style>
</w:style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header" Target="header1.xml"/><Relationship Id="rId7" Type="http://schemas.openxmlformats.org/officeDocument/2006/relationships/header" Target="header2.xml"/><Relationship Id="rId8" Type="http://schemas.openxmlformats.org/officeDocument/2006/relationships/footer" Target="footer1.xml"/><Relationship Id="rId9" Type="http://schemas.openxmlformats.org/officeDocument/2006/relationships/footer" Target="footer2.xml"/><Relationship Id="rId10" Type="http://schemas.openxmlformats.org/officeDocument/2006/relationships/theme" Target="theme/theme1.xml"/><Relationship Id="rId11" Type="http://schemas.openxmlformats.org/officeDocument/2006/relationships/fontTable" Target="fontTable.xml"/><Relationship Id="rIdGrafico1" Type="http://schemas.openxmlformats.org/officeDocument/2006/relationships/chart" Target="charts/chart1.xml"/><Relationship Id="rIdGrafico2" Type="http://schemas.openxmlformats.org/officeDocument/2006/relationships/chart" Target="charts/chart2.xml"/><Relationship Id="rIdGrafico3" Type="http://schemas.openxmlformats.org/officeDocument/2006/relationships/chart" Target="charts/chart3.xml"/><Relationship Id="rIdGrafico4" Type="http://schemas.openxmlformats.org/officeDocument/2006/relationships/chart" Target="charts/chart4.xml"/><Relationship Id="rIdGrafico5" Type="http://schemas.openxmlformats.org/officeDocument/2006/relationships/chart" Target="charts/chart5.xml"/><Relationship Id="rIdGrafico6" Type="http://schemas.openxmlformats.org/officeDocument/2006/relationships/chart" Target="charts/chart6.xml"/><Relationship Id="rIdGrafico7" Type="http://schemas.openxmlformats.org/officeDocument/2006/relationships/chart" Target="charts/chart7.xml"/><Relationship Id="rIdGrafico8" Type="http://schemas.openxmlformats.org/officeDocument/2006/relationships/chart" Target="charts/chart8.xml"/><Relationship Id="rIdGrafico9" Type="http://schemas.openxmlformats.org/officeDocument/2006/relationships/chart" Target="charts/chart9.xml"/><Relationship Id="rIdGrafico10" Type="http://schemas.openxmlformats.org/officeDocument/2006/relationships/chart" Target="charts/chart10.xml"/><Relationship Id="rIdGrafico11" Type="http://schemas.openxmlformats.org/officeDocument/2006/relationships/chart" Target="charts/chart11.xml"/><Relationship Id="rIdGrafico12" Type="http://schemas.openxmlformats.org/officeDocument/2006/relationships/chart" Target="charts/chart12.xml"/><Relationship Id="rIdGrafico13" Type="http://schemas.openxmlformats.org/officeDocument/2006/relationships/chart" Target="charts/chart13.xml"/><Relationship Id="rIdGrafico14" Type="http://schemas.openxmlformats.org/officeDocument/2006/relationships/chart" Target="charts/chart14.xml"/><Relationship Id="rIdGrafico15" Type="http://schemas.openxmlformats.org/officeDocument/2006/relationships/chart" Target="charts/chart15.xml"/><Relationship Id="rIdGrafico16" Type="http://schemas.openxmlformats.org/officeDocument/2006/relationships/chart" Target="charts/chart16.xml"/><Relationship Id="rIdGrafico17" Type="http://schemas.openxmlformats.org/officeDocument/2006/relationships/chart" Target="charts/chart17.xml"/><Relationship Id="rIdGrafico18" Type="http://schemas.openxmlformats.org/officeDocument/2006/relationships/chart" Target="charts/chart18.xml"/><Relationship Id="rIdGrafico19" Type="http://schemas.openxmlformats.org/officeDocument/2006/relationships/chart" Target="charts/chart19.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er2.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word/_rels/header2.xml.rels><?xml version="1.0" encoding="UTF-8"?><Relationships xmlns="http://schemas.openxmlformats.org/package/2006/relationships"/>
</file>

<file path=word/charts/_rels/chart1.xml.rels><?xml version="1.0" encoding="UTF-8" standalone="yes"?><Relationships xmlns="http://schemas.openxmlformats.org/package/2006/relationships"><Relationship Id="rId1" Type="http://schemas.openxmlformats.org/officeDocument/2006/relationships/package" Target="../embeddings/Hoja_grafico1.xlsx"/></Relationships>
</file>

<file path=word/charts/_rels/chart2.xml.rels><?xml version="1.0" encoding="UTF-8" standalone="yes"?><Relationships xmlns="http://schemas.openxmlformats.org/package/2006/relationships"><Relationship Id="rId1" Type="http://schemas.openxmlformats.org/officeDocument/2006/relationships/package" Target="../embeddings/Hoja_grafico2.xlsx"/></Relationships>
</file>

<file path=word/charts/_rels/chart3.xml.rels><?xml version="1.0" encoding="UTF-8" standalone="yes"?><Relationships xmlns="http://schemas.openxmlformats.org/package/2006/relationships"><Relationship Id="rId1" Type="http://schemas.openxmlformats.org/officeDocument/2006/relationships/package" Target="../embeddings/Hoja_grafico3.xlsx"/></Relationships>
</file>

<file path=word/charts/_rels/chart4.xml.rels><?xml version="1.0" encoding="UTF-8" standalone="yes"?><Relationships xmlns="http://schemas.openxmlformats.org/package/2006/relationships"><Relationship Id="rId1" Type="http://schemas.openxmlformats.org/officeDocument/2006/relationships/package" Target="../embeddings/Hoja_grafico4.xlsx"/></Relationships>
</file>

<file path=word/charts/_rels/chart5.xml.rels><?xml version="1.0" encoding="UTF-8" standalone="yes"?><Relationships xmlns="http://schemas.openxmlformats.org/package/2006/relationships"><Relationship Id="rId1" Type="http://schemas.openxmlformats.org/officeDocument/2006/relationships/package" Target="../embeddings/Hoja_grafico5.xlsx"/></Relationships>
</file>

<file path=word/charts/_rels/chart6.xml.rels><?xml version="1.0" encoding="UTF-8" standalone="yes"?><Relationships xmlns="http://schemas.openxmlformats.org/package/2006/relationships"><Relationship Id="rId1" Type="http://schemas.openxmlformats.org/officeDocument/2006/relationships/package" Target="../embeddings/Hoja_grafico6.xlsx"/></Relationships>
</file>

<file path=word/charts/_rels/chart7.xml.rels><?xml version="1.0" encoding="UTF-8" standalone="yes"?><Relationships xmlns="http://schemas.openxmlformats.org/package/2006/relationships"><Relationship Id="rId1" Type="http://schemas.openxmlformats.org/officeDocument/2006/relationships/package" Target="../embeddings/Hoja_grafico7.xlsx"/></Relationships>
</file>

<file path=word/charts/_rels/chart8.xml.rels><?xml version="1.0" encoding="UTF-8" standalone="yes"?><Relationships xmlns="http://schemas.openxmlformats.org/package/2006/relationships"><Relationship Id="rId1" Type="http://schemas.openxmlformats.org/officeDocument/2006/relationships/package" Target="../embeddings/Hoja_grafico8.xlsx"/></Relationships>
</file>

<file path=word/charts/_rels/chart9.xml.rels><?xml version="1.0" encoding="UTF-8" standalone="yes"?><Relationships xmlns="http://schemas.openxmlformats.org/package/2006/relationships"><Relationship Id="rId1" Type="http://schemas.openxmlformats.org/officeDocument/2006/relationships/package" Target="../embeddings/Hoja_grafico9.xlsx"/></Relationships>
</file>

<file path=word/charts/_rels/chart10.xml.rels><?xml version="1.0" encoding="UTF-8" standalone="yes"?><Relationships xmlns="http://schemas.openxmlformats.org/package/2006/relationships"><Relationship Id="rId1" Type="http://schemas.openxmlformats.org/officeDocument/2006/relationships/package" Target="../embeddings/Hoja_grafico10.xlsx"/></Relationships>
</file>

<file path=word/charts/_rels/chart11.xml.rels><?xml version="1.0" encoding="UTF-8" standalone="yes"?><Relationships xmlns="http://schemas.openxmlformats.org/package/2006/relationships"><Relationship Id="rId1" Type="http://schemas.openxmlformats.org/officeDocument/2006/relationships/package" Target="../embeddings/Hoja_grafico11.xlsx"/></Relationships>
</file>

<file path=word/charts/_rels/chart12.xml.rels><?xml version="1.0" encoding="UTF-8" standalone="yes"?><Relationships xmlns="http://schemas.openxmlformats.org/package/2006/relationships"><Relationship Id="rId1" Type="http://schemas.openxmlformats.org/officeDocument/2006/relationships/package" Target="../embeddings/Hoja_grafico12.xlsx"/></Relationships>
</file>

<file path=word/charts/_rels/chart13.xml.rels><?xml version="1.0" encoding="UTF-8" standalone="yes"?><Relationships xmlns="http://schemas.openxmlformats.org/package/2006/relationships"><Relationship Id="rId1" Type="http://schemas.openxmlformats.org/officeDocument/2006/relationships/package" Target="../embeddings/Hoja_grafico13.xlsx"/></Relationships>
</file>

<file path=word/charts/_rels/chart14.xml.rels><?xml version="1.0" encoding="UTF-8" standalone="yes"?><Relationships xmlns="http://schemas.openxmlformats.org/package/2006/relationships"><Relationship Id="rId1" Type="http://schemas.openxmlformats.org/officeDocument/2006/relationships/package" Target="../embeddings/Hoja_grafico14.xlsx"/></Relationships>
</file>

<file path=word/charts/_rels/chart15.xml.rels><?xml version="1.0" encoding="UTF-8" standalone="yes"?><Relationships xmlns="http://schemas.openxmlformats.org/package/2006/relationships"><Relationship Id="rId1" Type="http://schemas.openxmlformats.org/officeDocument/2006/relationships/package" Target="../embeddings/Hoja_grafico15.xlsx"/></Relationships>
</file>

<file path=word/charts/_rels/chart16.xml.rels><?xml version="1.0" encoding="UTF-8" standalone="yes"?><Relationships xmlns="http://schemas.openxmlformats.org/package/2006/relationships"><Relationship Id="rId1" Type="http://schemas.openxmlformats.org/officeDocument/2006/relationships/package" Target="../embeddings/Hoja_grafico16.xlsx"/></Relationships>
</file>

<file path=word/charts/_rels/chart17.xml.rels><?xml version="1.0" encoding="UTF-8" standalone="yes"?><Relationships xmlns="http://schemas.openxmlformats.org/package/2006/relationships"><Relationship Id="rId1" Type="http://schemas.openxmlformats.org/officeDocument/2006/relationships/package" Target="../embeddings/Hoja_grafico17.xlsx"/></Relationships>
</file>

<file path=word/charts/_rels/chart18.xml.rels><?xml version="1.0" encoding="UTF-8" standalone="yes"?><Relationships xmlns="http://schemas.openxmlformats.org/package/2006/relationships"><Relationship Id="rId1" Type="http://schemas.openxmlformats.org/officeDocument/2006/relationships/package" Target="../embeddings/Hoja_grafico18.xlsx"/></Relationships>
</file>

<file path=word/charts/_rels/chart19.xml.rels><?xml version="1.0" encoding="UTF-8" standalone="yes"?><Relationships xmlns="http://schemas.openxmlformats.org/package/2006/relationships"><Relationship Id="rId1" Type="http://schemas.openxmlformats.org/officeDocument/2006/relationships/package" Target="../embeddings/Hoja_grafico19.xlsx"/></Relationships>
</file>

<file path=word/charts/chart1.xml><?xml version="1.0" encoding="utf-8"?>
<c:chartSpace xmlns:c="http://schemas.openxmlformats.org/drawingml/2006/chart" xmlns:a="http://schemas.openxmlformats.org/drawingml/2006/main" xmlns:r="http://schemas.openxmlformats.org/officeDocument/2006/relationships">
  <c:date1904 val="0"/>
  <c:lang val="es-ES"/>
  <c:roundedCorners val="0"/>
  <c:chart>
    <c:title>
      <c:tx>
        <c:rich>
          <a:bodyPr/>
          <a:lstStyle/>
          <a:p>
            <a:pPr algn="l">
              <a:defRPr sz="1050" b="1">
                <a:solidFill>
                  <a:srgbClr val="1F2A3C"/>
                </a:solidFill>
              </a:defRPr>
            </a:pPr>
            <a:r>
              <a:rPr lang="es-ES" sz="1050" b="1">
                <a:solidFill>
                  <a:srgbClr val="1F2A3C"/>
                </a:solidFill>
              </a:rPr>
              <a:t>Valor por acción según cada método (USD) · precio actual 140,93</a:t>
            </a:r>
          </a:p>
        </c:rich>
      </c:tx>
      <c:overlay val="0"/>
    </c:title>
    <c:autoTitleDeleted val="0"/>
    <c:plotArea>
      <c:layout/>
      <c:barChart>
        <c:barDir val="bar"/>
        <c:grouping val="stacked"/>
        <c:varyColors val="0"/>
        <c:ser>
          <c:idx val="0"/>
          <c:order val="0"/>
          <c:tx>
            <c:strRef>
              <c:f>Hoja1!$B$1</c:f>
              <c:strCache>
                <c:ptCount val="1"/>
                <c:pt idx="0">
                  <c:v>Desde</c:v>
                </c:pt>
              </c:strCache>
            </c:strRef>
          </c:tx>
          <c:spPr>
            <a:noFill/>
            <a:ln>
              <a:noFill/>
            </a:ln>
          </c:spPr>
          <c:invertIfNegative val="0"/>
          <c:cat>
            <c:strRef>
              <c:f>Hoja1!$A$2:$A$7</c:f>
              <c:strCache>
                <c:ptCount val="6"/>
                <c:pt idx="0">
                  <c:v>Precio objetivo de los analistas (95,95 – 150,69)</c:v>
                </c:pt>
                <c:pt idx="1">
                  <c:v>Comparables: PER NTM (102,26 – 171,30)</c:v>
                </c:pt>
                <c:pt idx="2">
                  <c:v>DCF (WACC y g ± 0,5) (95,65 – 129,36)</c:v>
                </c:pt>
                <c:pt idx="3">
                  <c:v>Escenarios (bajista – alcista) (82,32 – 127,51)</c:v>
                </c:pt>
                <c:pt idx="4">
                  <c:v>DCF con la prima implícita del mercado (4,2 %)</c:v>
                </c:pt>
                <c:pt idx="5">
                  <c:v>Precio actual (140,93)</c:v>
                </c:pt>
              </c:strCache>
            </c:strRef>
          </c:cat>
          <c:val>
            <c:numRef>
              <c:f>Hoja1!$B$2:$B$7</c:f>
              <c:numCache>
                <c:formatCode>#,##0</c:formatCode>
                <c:ptCount val="6"/>
                <c:pt idx="0">
                  <c:v>95.95</c:v>
                </c:pt>
                <c:pt idx="1">
                  <c:v>102.26</c:v>
                </c:pt>
                <c:pt idx="2">
                  <c:v>95.65</c:v>
                </c:pt>
                <c:pt idx="3">
                  <c:v>82.32</c:v>
                </c:pt>
                <c:pt idx="4">
                  <c:v>114.79</c:v>
                </c:pt>
                <c:pt idx="5">
                  <c:v>140.23</c:v>
                </c:pt>
              </c:numCache>
            </c:numRef>
          </c:val>
        </c:ser>
        <c:ser>
          <c:idx val="1"/>
          <c:order val="1"/>
          <c:tx>
            <c:strRef>
              <c:f>Hoja1!$C$1</c:f>
              <c:strCache>
                <c:ptCount val="1"/>
                <c:pt idx="0">
                  <c:v>Rango</c:v>
                </c:pt>
              </c:strCache>
            </c:strRef>
          </c:tx>
          <c:spPr>
            <a:solidFill>
              <a:srgbClr val="2A78D6"/>
            </a:solidFill>
            <a:ln w="12700">
              <a:noFill/>
            </a:ln>
          </c:spPr>
          <c:invertIfNegative val="0"/>
          <c:dPt>
            <c:idx val="0"/>
            <c:invertIfNegative val="0"/>
            <c:bubble3D val="0"/>
            <c:spPr>
              <a:solidFill>
                <a:srgbClr val="C9C8C2"/>
              </a:solidFill>
            </c:spPr>
          </c:dPt>
          <c:dPt>
            <c:idx val="5"/>
            <c:invertIfNegative val="0"/>
            <c:bubble3D val="0"/>
            <c:spPr>
              <a:solidFill>
                <a:srgbClr val="C9C8C2"/>
              </a:solidFill>
            </c:spPr>
          </c:dPt>
          <c:cat>
            <c:strRef>
              <c:f>Hoja1!$A$2:$A$7</c:f>
              <c:strCache>
                <c:ptCount val="6"/>
                <c:pt idx="0">
                  <c:v>Precio objetivo de los analistas (95,95 – 150,69)</c:v>
                </c:pt>
                <c:pt idx="1">
                  <c:v>Comparables: PER NTM (102,26 – 171,30)</c:v>
                </c:pt>
                <c:pt idx="2">
                  <c:v>DCF (WACC y g ± 0,5) (95,65 – 129,36)</c:v>
                </c:pt>
                <c:pt idx="3">
                  <c:v>Escenarios (bajista – alcista) (82,32 – 127,51)</c:v>
                </c:pt>
                <c:pt idx="4">
                  <c:v>DCF con la prima implícita del mercado (4,2 %)</c:v>
                </c:pt>
                <c:pt idx="5">
                  <c:v>Precio actual (140,93)</c:v>
                </c:pt>
              </c:strCache>
            </c:strRef>
          </c:cat>
          <c:val>
            <c:numRef>
              <c:f>Hoja1!$C$2:$C$7</c:f>
              <c:numCache>
                <c:formatCode>#,##0</c:formatCode>
                <c:ptCount val="6"/>
                <c:pt idx="0">
                  <c:v>54.739999999999995</c:v>
                </c:pt>
                <c:pt idx="1">
                  <c:v>69.04</c:v>
                </c:pt>
                <c:pt idx="2">
                  <c:v>33.71000000000001</c:v>
                </c:pt>
                <c:pt idx="3">
                  <c:v>45.19000000000001</c:v>
                </c:pt>
                <c:pt idx="4">
                  <c:v>26.39999999999999</c:v>
                </c:pt>
                <c:pt idx="5">
                  <c:v>1.4000000000000057</c:v>
                </c:pt>
              </c:numCache>
            </c:numRef>
          </c:val>
        </c:ser>
        <c:gapWidth val="60"/>
        <c:overlap val="100"/>
        <c:axId val="10"/>
        <c:axId val="20"/>
      </c:barChart>
      <c:catAx>
        <c:axId val="10"/>
        <c:scaling>
          <c:orientation val="maxMin"/>
        </c:scaling>
        <c:delete val="0"/>
        <c:axPos val="l"/>
        <c:numFmt formatCode="General" sourceLinked="0"/>
        <c:majorTickMark val="none"/>
        <c:minorTickMark val="none"/>
        <c:tickLblPos val="low"/>
        <c:spPr>
          <a:ln w="9525">
            <a:solidFill>
              <a:srgbClr val="A3A29C"/>
            </a:solidFill>
          </a:ln>
        </c:spPr>
        <c:txPr>
          <a:bodyPr/>
          <a:lstStyle/>
          <a:p>
            <a:pPr>
              <a:defRPr sz="850">
                <a:solidFill>
                  <a:srgbClr val="52514E"/>
                </a:solidFill>
              </a:defRPr>
            </a:pPr>
            <a:endParaRPr lang="es-ES"/>
          </a:p>
        </c:txPr>
        <c:crossAx val="20"/>
        <c:crosses val="autoZero"/>
        <c:auto val="1"/>
        <c:lblAlgn val="ctr"/>
        <c:lblOffset val="100"/>
        <c:noMultiLvlLbl val="0"/>
      </c:catAx>
      <c:valAx>
        <c:axId val="20"/>
        <c:scaling>
          <c:orientation val="minMax"/>
          <c:min val="70"/>
        </c:scaling>
        <c:delete val="0"/>
        <c:axPos val="b"/>
        <c:majorGridlines>
          <c:spPr>
            <a:ln w="6350">
              <a:solidFill>
                <a:srgbClr val="E4E3DF"/>
              </a:solidFill>
            </a:ln>
          </c:spPr>
        </c:majorGridlines>
        <c:numFmt formatCode="#,##0" sourceLinked="0"/>
        <c:majorTickMark val="none"/>
        <c:minorTickMark val="none"/>
        <c:tickLblPos val="nextTo"/>
        <c:spPr>
          <a:ln>
            <a:noFill/>
          </a:ln>
        </c:spPr>
        <c:txPr>
          <a:bodyPr/>
          <a:lstStyle/>
          <a:p>
            <a:pPr>
              <a:defRPr sz="850">
                <a:solidFill>
                  <a:srgbClr val="52514E"/>
                </a:solidFill>
              </a:defRPr>
            </a:pPr>
            <a:endParaRPr lang="es-ES"/>
          </a:p>
        </c:txPr>
        <c:crossAx val="10"/>
        <c:crosses val="max"/>
        <c:crossBetween val="between"/>
      </c:valAx>
    </c:plotArea>
    <c:plotVisOnly val="1"/>
    <c:dispBlanksAs val="gap"/>
  </c:chart>
  <c:spPr>
    <a:noFill/>
    <a:ln>
      <a:noFill/>
    </a:ln>
  </c:spPr>
  <c:txPr>
    <a:bodyPr/>
    <a:lstStyle/>
    <a:p>
      <a:pPr>
        <a:defRPr sz="900">
          <a:solidFill>
            <a:srgbClr val="52514E"/>
          </a:solidFill>
        </a:defRPr>
      </a:pPr>
      <a:endParaRPr lang="es-ES"/>
    </a:p>
  </c:txPr>
  <c:externalData r:id="rId1">
    <c:autoUpdate val="0"/>
  </c:externalData>
</c:chartSpace>
</file>

<file path=word/charts/chart2.xml><?xml version="1.0" encoding="utf-8"?>
<c:chartSpace xmlns:c="http://schemas.openxmlformats.org/drawingml/2006/chart" xmlns:a="http://schemas.openxmlformats.org/drawingml/2006/main" xmlns:r="http://schemas.openxmlformats.org/officeDocument/2006/relationships">
  <c:date1904 val="0"/>
  <c:lang val="es-ES"/>
  <c:roundedCorners val="0"/>
  <c:chart>
    <c:title>
      <c:tx>
        <c:rich>
          <a:bodyPr/>
          <a:lstStyle/>
          <a:p>
            <a:pPr algn="l">
              <a:defRPr sz="1050" b="1">
                <a:solidFill>
                  <a:srgbClr val="1F2A3C"/>
                </a:solidFill>
              </a:defRPr>
            </a:pPr>
            <a:r>
              <a:rPr lang="es-ES" sz="1050" b="1">
                <a:solidFill>
                  <a:srgbClr val="1F2A3C"/>
                </a:solidFill>
              </a:rPr>
              <a:t>Margen EBIT: la empresa frente a sus competidores (%)</a:t>
            </a:r>
          </a:p>
        </c:rich>
      </c:tx>
      <c:overlay val="0"/>
    </c:title>
    <c:autoTitleDeleted val="0"/>
    <c:plotArea>
      <c:layout/>
      <c:barChart>
        <c:barDir val="bar"/>
        <c:grouping val="clustered"/>
        <c:varyColors val="0"/>
        <c:ser>
          <c:idx val="0"/>
          <c:order val="0"/>
          <c:tx>
            <c:strRef>
              <c:f>Hoja1!$B$1</c:f>
              <c:strCache>
                <c:ptCount val="1"/>
                <c:pt idx="0">
                  <c:v>Margen EBIT</c:v>
                </c:pt>
              </c:strCache>
            </c:strRef>
          </c:tx>
          <c:spPr>
            <a:solidFill>
              <a:srgbClr val="2A78D6"/>
            </a:solidFill>
            <a:ln w="9525">
              <a:noFill/>
            </a:ln>
          </c:spPr>
          <c:invertIfNegative val="0"/>
          <c:dPt>
            <c:idx val="1"/>
            <c:invertIfNegative val="0"/>
            <c:bubble3D val="0"/>
            <c:spPr>
              <a:solidFill>
                <a:srgbClr val="C9C8C2"/>
              </a:solidFill>
            </c:spPr>
          </c:dPt>
          <c:dPt>
            <c:idx val="2"/>
            <c:invertIfNegative val="0"/>
            <c:bubble3D val="0"/>
            <c:spPr>
              <a:solidFill>
                <a:srgbClr val="C9C8C2"/>
              </a:solidFill>
            </c:spPr>
          </c:dPt>
          <c:dPt>
            <c:idx val="3"/>
            <c:invertIfNegative val="0"/>
            <c:bubble3D val="0"/>
            <c:spPr>
              <a:solidFill>
                <a:srgbClr val="C9C8C2"/>
              </a:solidFill>
            </c:spPr>
          </c:dPt>
          <c:dPt>
            <c:idx val="4"/>
            <c:invertIfNegative val="0"/>
            <c:bubble3D val="0"/>
            <c:spPr>
              <a:solidFill>
                <a:srgbClr val="C9C8C2"/>
              </a:solidFill>
            </c:spPr>
          </c:dPt>
          <c:dPt>
            <c:idx val="5"/>
            <c:invertIfNegative val="0"/>
            <c:bubble3D val="0"/>
            <c:spPr>
              <a:solidFill>
                <a:srgbClr val="C9C8C2"/>
              </a:solidFill>
            </c:spPr>
          </c:dPt>
          <c:dLbls>
            <c:numFmt formatCode="0.0&quot;%&quot;" sourceLinked="0"/>
            <c:spPr>
              <a:noFill/>
              <a:ln>
                <a:noFill/>
              </a:ln>
            </c:spPr>
            <c:txPr>
              <a:bodyPr/>
              <a:lstStyle/>
              <a:p>
                <a:pPr>
                  <a:defRPr sz="800">
                    <a:solidFill>
                      <a:srgbClr val="52514E"/>
                    </a:solidFill>
                  </a:defRPr>
                </a:pPr>
                <a:endParaRPr lang="es-ES"/>
              </a:p>
            </c:txPr>
            <c:dLblPos val="outEnd"/>
            <c:showLegendKey val="0"/>
            <c:showVal val="1"/>
            <c:showCatName val="0"/>
            <c:showSerName val="0"/>
            <c:showPercent val="0"/>
            <c:showBubbleSize val="0"/>
          </c:dLbls>
          <c:cat>
            <c:strRef>
              <c:f>Hoja1!$A$2:$A$7</c:f>
              <c:strCache>
                <c:ptCount val="6"/>
                <c:pt idx="0">
                  <c:v>Novartis</c:v>
                </c:pt>
                <c:pt idx="1">
                  <c:v>Roche</c:v>
                </c:pt>
                <c:pt idx="2">
                  <c:v>AstraZeneca</c:v>
                </c:pt>
                <c:pt idx="3">
                  <c:v>Merck &amp; Co</c:v>
                </c:pt>
                <c:pt idx="4">
                  <c:v>Sanofi</c:v>
                </c:pt>
                <c:pt idx="5">
                  <c:v>Eli Lilly</c:v>
                </c:pt>
              </c:strCache>
            </c:strRef>
          </c:cat>
          <c:val>
            <c:numRef>
              <c:f>Hoja1!$B$2:$B$7</c:f>
              <c:numCache>
                <c:formatCode>0.0"%"</c:formatCode>
                <c:ptCount val="6"/>
                <c:pt idx="0">
                  <c:v>31.1</c:v>
                </c:pt>
              </c:numCache>
            </c:numRef>
          </c:val>
        </c:ser>
        <c:gapWidth val="70"/>
        <c:overlap val="-10"/>
        <c:axId val="10"/>
        <c:axId val="20"/>
      </c:barChart>
      <c:catAx>
        <c:axId val="10"/>
        <c:scaling>
          <c:orientation val="maxMin"/>
        </c:scaling>
        <c:delete val="0"/>
        <c:axPos val="l"/>
        <c:numFmt formatCode="General" sourceLinked="0"/>
        <c:majorTickMark val="none"/>
        <c:minorTickMark val="none"/>
        <c:tickLblPos val="low"/>
        <c:spPr>
          <a:ln w="9525">
            <a:solidFill>
              <a:srgbClr val="A3A29C"/>
            </a:solidFill>
          </a:ln>
        </c:spPr>
        <c:txPr>
          <a:bodyPr/>
          <a:lstStyle/>
          <a:p>
            <a:pPr>
              <a:defRPr sz="850">
                <a:solidFill>
                  <a:srgbClr val="52514E"/>
                </a:solidFill>
              </a:defRPr>
            </a:pPr>
            <a:endParaRPr lang="es-ES"/>
          </a:p>
        </c:txPr>
        <c:crossAx val="20"/>
        <c:crosses val="autoZero"/>
        <c:auto val="1"/>
        <c:lblAlgn val="ctr"/>
        <c:lblOffset val="100"/>
        <c:noMultiLvlLbl val="0"/>
      </c:catAx>
      <c:valAx>
        <c:axId val="20"/>
        <c:scaling>
          <c:orientation val="minMax"/>
        </c:scaling>
        <c:delete val="0"/>
        <c:axPos val="b"/>
        <c:majorGridlines>
          <c:spPr>
            <a:ln w="6350">
              <a:solidFill>
                <a:srgbClr val="E4E3DF"/>
              </a:solidFill>
            </a:ln>
          </c:spPr>
        </c:majorGridlines>
        <c:numFmt formatCode="0.0&quot;%&quot;" sourceLinked="0"/>
        <c:majorTickMark val="none"/>
        <c:minorTickMark val="none"/>
        <c:tickLblPos val="nextTo"/>
        <c:spPr>
          <a:ln>
            <a:noFill/>
          </a:ln>
        </c:spPr>
        <c:txPr>
          <a:bodyPr/>
          <a:lstStyle/>
          <a:p>
            <a:pPr>
              <a:defRPr sz="850">
                <a:solidFill>
                  <a:srgbClr val="52514E"/>
                </a:solidFill>
              </a:defRPr>
            </a:pPr>
            <a:endParaRPr lang="es-ES"/>
          </a:p>
        </c:txPr>
        <c:crossAx val="10"/>
        <c:crosses val="max"/>
        <c:crossBetween val="between"/>
      </c:valAx>
    </c:plotArea>
    <c:plotVisOnly val="1"/>
    <c:dispBlanksAs val="gap"/>
  </c:chart>
  <c:spPr>
    <a:noFill/>
    <a:ln>
      <a:noFill/>
    </a:ln>
  </c:spPr>
  <c:txPr>
    <a:bodyPr/>
    <a:lstStyle/>
    <a:p>
      <a:pPr>
        <a:defRPr sz="900">
          <a:solidFill>
            <a:srgbClr val="52514E"/>
          </a:solidFill>
        </a:defRPr>
      </a:pPr>
      <a:endParaRPr lang="es-ES"/>
    </a:p>
  </c:txPr>
  <c:externalData r:id="rId1">
    <c:autoUpdate val="0"/>
  </c:externalData>
</c:chartSpace>
</file>

<file path=word/charts/chart3.xml><?xml version="1.0" encoding="utf-8"?>
<c:chartSpace xmlns:c="http://schemas.openxmlformats.org/drawingml/2006/chart" xmlns:a="http://schemas.openxmlformats.org/drawingml/2006/main" xmlns:r="http://schemas.openxmlformats.org/officeDocument/2006/relationships">
  <c:date1904 val="0"/>
  <c:lang val="es-ES"/>
  <c:roundedCorners val="0"/>
  <c:chart>
    <c:title>
      <c:tx>
        <c:rich>
          <a:bodyPr/>
          <a:lstStyle/>
          <a:p>
            <a:pPr algn="l">
              <a:defRPr sz="1050" b="1">
                <a:solidFill>
                  <a:srgbClr val="1F2A3C"/>
                </a:solidFill>
              </a:defRPr>
            </a:pPr>
            <a:r>
              <a:rPr lang="es-ES" sz="1050" b="1">
                <a:solidFill>
                  <a:srgbClr val="1F2A3C"/>
                </a:solidFill>
              </a:rPr>
              <a:t>Fuentes de ventaja competitiva (0 = inexistente, 5 = muy fuerte)</a:t>
            </a:r>
          </a:p>
        </c:rich>
      </c:tx>
      <c:overlay val="0"/>
    </c:title>
    <c:autoTitleDeleted val="0"/>
    <c:plotArea>
      <c:layout/>
      <c:barChart>
        <c:barDir val="bar"/>
        <c:grouping val="clustered"/>
        <c:varyColors val="0"/>
        <c:ser>
          <c:idx val="0"/>
          <c:order val="0"/>
          <c:tx>
            <c:strRef>
              <c:f>Hoja1!$B$1</c:f>
              <c:strCache>
                <c:ptCount val="1"/>
                <c:pt idx="0">
                  <c:v>Puntuación</c:v>
                </c:pt>
              </c:strCache>
            </c:strRef>
          </c:tx>
          <c:spPr>
            <a:solidFill>
              <a:srgbClr val="2A78D6"/>
            </a:solidFill>
            <a:ln w="9525">
              <a:noFill/>
            </a:ln>
          </c:spPr>
          <c:invertIfNegative val="0"/>
          <c:dLbls>
            <c:numFmt formatCode="0" sourceLinked="0"/>
            <c:spPr>
              <a:noFill/>
              <a:ln>
                <a:noFill/>
              </a:ln>
            </c:spPr>
            <c:txPr>
              <a:bodyPr/>
              <a:lstStyle/>
              <a:p>
                <a:pPr>
                  <a:defRPr sz="800">
                    <a:solidFill>
                      <a:srgbClr val="52514E"/>
                    </a:solidFill>
                  </a:defRPr>
                </a:pPr>
                <a:endParaRPr lang="es-ES"/>
              </a:p>
            </c:txPr>
            <c:dLblPos val="outEnd"/>
            <c:showLegendKey val="0"/>
            <c:showVal val="1"/>
            <c:showCatName val="0"/>
            <c:showSerName val="0"/>
            <c:showPercent val="0"/>
            <c:showBubbleSize val="0"/>
          </c:dLbls>
          <c:cat>
            <c:strRef>
              <c:f>Hoja1!$A$2:$A$6</c:f>
              <c:strCache>
                <c:ptCount val="5"/>
                <c:pt idx="0">
                  <c:v>Efectos de red</c:v>
                </c:pt>
                <c:pt idx="1">
                  <c:v>Costes de cambio</c:v>
                </c:pt>
                <c:pt idx="2">
                  <c:v>Intangibles (marca, patentes, licencias)</c:v>
                </c:pt>
                <c:pt idx="3">
                  <c:v>Ventaja en costes</c:v>
                </c:pt>
                <c:pt idx="4">
                  <c:v>Escala eficiente</c:v>
                </c:pt>
              </c:strCache>
            </c:strRef>
          </c:cat>
          <c:val>
            <c:numRef>
              <c:f>Hoja1!$B$2:$B$6</c:f>
              <c:numCache>
                <c:formatCode>0</c:formatCode>
                <c:ptCount val="5"/>
                <c:pt idx="0">
                  <c:v>0</c:v>
                </c:pt>
                <c:pt idx="1">
                  <c:v>2</c:v>
                </c:pt>
                <c:pt idx="2">
                  <c:v>4</c:v>
                </c:pt>
                <c:pt idx="3">
                  <c:v>2</c:v>
                </c:pt>
                <c:pt idx="4">
                  <c:v>3</c:v>
                </c:pt>
              </c:numCache>
            </c:numRef>
          </c:val>
        </c:ser>
        <c:gapWidth val="70"/>
        <c:overlap val="-10"/>
        <c:axId val="10"/>
        <c:axId val="20"/>
      </c:barChart>
      <c:catAx>
        <c:axId val="10"/>
        <c:scaling>
          <c:orientation val="maxMin"/>
        </c:scaling>
        <c:delete val="0"/>
        <c:axPos val="l"/>
        <c:numFmt formatCode="General" sourceLinked="0"/>
        <c:majorTickMark val="none"/>
        <c:minorTickMark val="none"/>
        <c:tickLblPos val="low"/>
        <c:spPr>
          <a:ln w="9525">
            <a:solidFill>
              <a:srgbClr val="A3A29C"/>
            </a:solidFill>
          </a:ln>
        </c:spPr>
        <c:txPr>
          <a:bodyPr/>
          <a:lstStyle/>
          <a:p>
            <a:pPr>
              <a:defRPr sz="850">
                <a:solidFill>
                  <a:srgbClr val="52514E"/>
                </a:solidFill>
              </a:defRPr>
            </a:pPr>
            <a:endParaRPr lang="es-ES"/>
          </a:p>
        </c:txPr>
        <c:crossAx val="20"/>
        <c:crosses val="autoZero"/>
        <c:auto val="1"/>
        <c:lblAlgn val="ctr"/>
        <c:lblOffset val="100"/>
        <c:noMultiLvlLbl val="0"/>
      </c:catAx>
      <c:valAx>
        <c:axId val="20"/>
        <c:scaling>
          <c:orientation val="minMax"/>
          <c:max val="5"/>
          <c:min val="0"/>
        </c:scaling>
        <c:delete val="0"/>
        <c:axPos val="b"/>
        <c:majorGridlines>
          <c:spPr>
            <a:ln w="6350">
              <a:solidFill>
                <a:srgbClr val="E4E3DF"/>
              </a:solidFill>
            </a:ln>
          </c:spPr>
        </c:majorGridlines>
        <c:numFmt formatCode="0" sourceLinked="0"/>
        <c:majorTickMark val="none"/>
        <c:minorTickMark val="none"/>
        <c:tickLblPos val="nextTo"/>
        <c:spPr>
          <a:ln>
            <a:noFill/>
          </a:ln>
        </c:spPr>
        <c:txPr>
          <a:bodyPr/>
          <a:lstStyle/>
          <a:p>
            <a:pPr>
              <a:defRPr sz="850">
                <a:solidFill>
                  <a:srgbClr val="52514E"/>
                </a:solidFill>
              </a:defRPr>
            </a:pPr>
            <a:endParaRPr lang="es-ES"/>
          </a:p>
        </c:txPr>
        <c:crossAx val="10"/>
        <c:crosses val="max"/>
        <c:crossBetween val="between"/>
      </c:valAx>
    </c:plotArea>
    <c:plotVisOnly val="1"/>
    <c:dispBlanksAs val="gap"/>
  </c:chart>
  <c:spPr>
    <a:noFill/>
    <a:ln>
      <a:noFill/>
    </a:ln>
  </c:spPr>
  <c:txPr>
    <a:bodyPr/>
    <a:lstStyle/>
    <a:p>
      <a:pPr>
        <a:defRPr sz="900">
          <a:solidFill>
            <a:srgbClr val="52514E"/>
          </a:solidFill>
        </a:defRPr>
      </a:pPr>
      <a:endParaRPr lang="es-ES"/>
    </a:p>
  </c:txPr>
  <c:externalData r:id="rId1">
    <c:autoUpdate val="0"/>
  </c:externalData>
</c:chartSpace>
</file>

<file path=word/charts/chart4.xml><?xml version="1.0" encoding="utf-8"?>
<c:chartSpace xmlns:c="http://schemas.openxmlformats.org/drawingml/2006/chart" xmlns:a="http://schemas.openxmlformats.org/drawingml/2006/main" xmlns:r="http://schemas.openxmlformats.org/officeDocument/2006/relationships">
  <c:date1904 val="0"/>
  <c:lang val="es-ES"/>
  <c:roundedCorners val="0"/>
  <c:chart>
    <c:title>
      <c:tx>
        <c:rich>
          <a:bodyPr/>
          <a:lstStyle/>
          <a:p>
            <a:pPr algn="l">
              <a:defRPr sz="1050" b="1">
                <a:solidFill>
                  <a:srgbClr val="1F2A3C"/>
                </a:solidFill>
              </a:defRPr>
            </a:pPr>
            <a:r>
              <a:rPr lang="es-ES" sz="1050" b="1">
                <a:solidFill>
                  <a:srgbClr val="1F2A3C"/>
                </a:solidFill>
              </a:rPr>
              <a:t>Ingresos y EBITDA (USD, millones) · «e» = proyección propia del DCF</a:t>
            </a:r>
          </a:p>
        </c:rich>
      </c:tx>
      <c:overlay val="0"/>
    </c:title>
    <c:autoTitleDeleted val="0"/>
    <c:plotArea>
      <c:layout/>
      <c:barChart>
        <c:barDir val="col"/>
        <c:grouping val="clustered"/>
        <c:varyColors val="0"/>
        <c:ser>
          <c:idx val="0"/>
          <c:order val="0"/>
          <c:tx>
            <c:strRef>
              <c:f>Hoja1!$B$1</c:f>
              <c:strCache>
                <c:ptCount val="1"/>
                <c:pt idx="0">
                  <c:v>Ingresos</c:v>
                </c:pt>
              </c:strCache>
            </c:strRef>
          </c:tx>
          <c:spPr>
            <a:solidFill>
              <a:srgbClr val="2A78D6"/>
            </a:solidFill>
            <a:ln w="9525">
              <a:noFill/>
            </a:ln>
          </c:spPr>
          <c:invertIfNegative val="0"/>
          <c:cat>
            <c:strRef>
              <c:f>Hoja1!$A$2:$A$16</c:f>
              <c:strCache>
                <c:ptCount val="15"/>
                <c:pt idx="0">
                  <c:v>2021</c:v>
                </c:pt>
                <c:pt idx="1">
                  <c:v>2022</c:v>
                </c:pt>
                <c:pt idx="2">
                  <c:v>2023</c:v>
                </c:pt>
                <c:pt idx="3">
                  <c:v>2024</c:v>
                </c:pt>
                <c:pt idx="4">
                  <c:v>2025</c:v>
                </c:pt>
                <c:pt idx="5">
                  <c:v>2026e</c:v>
                </c:pt>
                <c:pt idx="6">
                  <c:v>2027e</c:v>
                </c:pt>
                <c:pt idx="7">
                  <c:v>2028e</c:v>
                </c:pt>
                <c:pt idx="8">
                  <c:v>2029e</c:v>
                </c:pt>
                <c:pt idx="9">
                  <c:v>2030e</c:v>
                </c:pt>
                <c:pt idx="10">
                  <c:v>2031e</c:v>
                </c:pt>
                <c:pt idx="11">
                  <c:v>2032e</c:v>
                </c:pt>
                <c:pt idx="12">
                  <c:v>2033e</c:v>
                </c:pt>
                <c:pt idx="13">
                  <c:v>2034e</c:v>
                </c:pt>
                <c:pt idx="14">
                  <c:v>2035e</c:v>
                </c:pt>
              </c:strCache>
            </c:strRef>
          </c:cat>
          <c:val>
            <c:numRef>
              <c:f>Hoja1!$B$2:$B$16</c:f>
              <c:numCache>
                <c:formatCode>#,##0</c:formatCode>
                <c:ptCount val="15"/>
                <c:pt idx="0">
                  <c:v>43974</c:v>
                </c:pt>
                <c:pt idx="1">
                  <c:v>43461</c:v>
                </c:pt>
                <c:pt idx="2">
                  <c:v>46660</c:v>
                </c:pt>
                <c:pt idx="3">
                  <c:v>51722</c:v>
                </c:pt>
                <c:pt idx="4">
                  <c:v>56674</c:v>
                </c:pt>
                <c:pt idx="5">
                  <c:v>58658</c:v>
                </c:pt>
                <c:pt idx="6">
                  <c:v>61884</c:v>
                </c:pt>
                <c:pt idx="7">
                  <c:v>65287</c:v>
                </c:pt>
                <c:pt idx="8">
                  <c:v>68552</c:v>
                </c:pt>
                <c:pt idx="9">
                  <c:v>71637</c:v>
                </c:pt>
                <c:pt idx="10">
                  <c:v>71637</c:v>
                </c:pt>
                <c:pt idx="11">
                  <c:v>70204</c:v>
                </c:pt>
                <c:pt idx="12">
                  <c:v>70906</c:v>
                </c:pt>
                <c:pt idx="13">
                  <c:v>72324</c:v>
                </c:pt>
                <c:pt idx="14">
                  <c:v>73770</c:v>
                </c:pt>
              </c:numCache>
            </c:numRef>
          </c:val>
        </c:ser>
        <c:ser>
          <c:idx val="1"/>
          <c:order val="1"/>
          <c:tx>
            <c:strRef>
              <c:f>Hoja1!$C$1</c:f>
              <c:strCache>
                <c:ptCount val="1"/>
                <c:pt idx="0">
                  <c:v>EBITDA</c:v>
                </c:pt>
              </c:strCache>
            </c:strRef>
          </c:tx>
          <c:spPr>
            <a:solidFill>
              <a:srgbClr val="EB6834"/>
            </a:solidFill>
            <a:ln w="9525">
              <a:noFill/>
            </a:ln>
          </c:spPr>
          <c:invertIfNegative val="0"/>
          <c:cat>
            <c:strRef>
              <c:f>Hoja1!$A$2:$A$16</c:f>
              <c:strCache>
                <c:ptCount val="15"/>
                <c:pt idx="0">
                  <c:v>2021</c:v>
                </c:pt>
                <c:pt idx="1">
                  <c:v>2022</c:v>
                </c:pt>
                <c:pt idx="2">
                  <c:v>2023</c:v>
                </c:pt>
                <c:pt idx="3">
                  <c:v>2024</c:v>
                </c:pt>
                <c:pt idx="4">
                  <c:v>2025</c:v>
                </c:pt>
                <c:pt idx="5">
                  <c:v>2026e</c:v>
                </c:pt>
                <c:pt idx="6">
                  <c:v>2027e</c:v>
                </c:pt>
                <c:pt idx="7">
                  <c:v>2028e</c:v>
                </c:pt>
                <c:pt idx="8">
                  <c:v>2029e</c:v>
                </c:pt>
                <c:pt idx="9">
                  <c:v>2030e</c:v>
                </c:pt>
                <c:pt idx="10">
                  <c:v>2031e</c:v>
                </c:pt>
                <c:pt idx="11">
                  <c:v>2032e</c:v>
                </c:pt>
                <c:pt idx="12">
                  <c:v>2033e</c:v>
                </c:pt>
                <c:pt idx="13">
                  <c:v>2034e</c:v>
                </c:pt>
                <c:pt idx="14">
                  <c:v>2035e</c:v>
                </c:pt>
              </c:strCache>
            </c:strRef>
          </c:cat>
          <c:val>
            <c:numRef>
              <c:f>Hoja1!$C$2:$C$16</c:f>
              <c:numCache>
                <c:formatCode>#,##0</c:formatCode>
                <c:ptCount val="15"/>
                <c:pt idx="0">
                  <c:v>15615</c:v>
                </c:pt>
                <c:pt idx="1">
                  <c:v>14911</c:v>
                </c:pt>
                <c:pt idx="2">
                  <c:v>18152</c:v>
                </c:pt>
                <c:pt idx="3">
                  <c:v>20658</c:v>
                </c:pt>
                <c:pt idx="4">
                  <c:v>22919</c:v>
                </c:pt>
                <c:pt idx="5">
                  <c:v>22759</c:v>
                </c:pt>
                <c:pt idx="6">
                  <c:v>24754</c:v>
                </c:pt>
                <c:pt idx="7">
                  <c:v>26768</c:v>
                </c:pt>
                <c:pt idx="8">
                  <c:v>28449</c:v>
                </c:pt>
                <c:pt idx="9">
                  <c:v>29729</c:v>
                </c:pt>
                <c:pt idx="10">
                  <c:v>28655</c:v>
                </c:pt>
                <c:pt idx="11">
                  <c:v>27028</c:v>
                </c:pt>
                <c:pt idx="12">
                  <c:v>26944</c:v>
                </c:pt>
                <c:pt idx="13">
                  <c:v>27483</c:v>
                </c:pt>
                <c:pt idx="14">
                  <c:v>28033</c:v>
                </c:pt>
              </c:numCache>
            </c:numRef>
          </c:val>
        </c:ser>
        <c:gapWidth val="70"/>
        <c:overlap val="-10"/>
        <c:axId val="10"/>
        <c:axId val="20"/>
      </c:barChart>
      <c:catAx>
        <c:axId val="10"/>
        <c:scaling>
          <c:orientation val="minMax"/>
        </c:scaling>
        <c:delete val="0"/>
        <c:axPos val="b"/>
        <c:numFmt formatCode="General" sourceLinked="0"/>
        <c:majorTickMark val="none"/>
        <c:minorTickMark val="none"/>
        <c:tickLblPos val="low"/>
        <c:spPr>
          <a:ln w="9525">
            <a:solidFill>
              <a:srgbClr val="A3A29C"/>
            </a:solidFill>
          </a:ln>
        </c:spPr>
        <c:txPr>
          <a:bodyPr/>
          <a:lstStyle/>
          <a:p>
            <a:pPr>
              <a:defRPr sz="850">
                <a:solidFill>
                  <a:srgbClr val="52514E"/>
                </a:solidFill>
              </a:defRPr>
            </a:pPr>
            <a:endParaRPr lang="es-ES"/>
          </a:p>
        </c:txPr>
        <c:crossAx val="20"/>
        <c:crosses val="autoZero"/>
        <c:auto val="1"/>
        <c:lblAlgn val="ctr"/>
        <c:lblOffset val="100"/>
        <c:noMultiLvlLbl val="0"/>
      </c:catAx>
      <c:valAx>
        <c:axId val="20"/>
        <c:scaling>
          <c:orientation val="minMax"/>
        </c:scaling>
        <c:delete val="0"/>
        <c:axPos val="l"/>
        <c:majorGridlines>
          <c:spPr>
            <a:ln w="6350">
              <a:solidFill>
                <a:srgbClr val="E4E3DF"/>
              </a:solidFill>
            </a:ln>
          </c:spPr>
        </c:majorGridlines>
        <c:numFmt formatCode="#,##0" sourceLinked="0"/>
        <c:majorTickMark val="none"/>
        <c:minorTickMark val="none"/>
        <c:tickLblPos val="nextTo"/>
        <c:spPr>
          <a:ln>
            <a:noFill/>
          </a:ln>
        </c:spPr>
        <c:txPr>
          <a:bodyPr/>
          <a:lstStyle/>
          <a:p>
            <a:pPr>
              <a:defRPr sz="850">
                <a:solidFill>
                  <a:srgbClr val="52514E"/>
                </a:solidFill>
              </a:defRPr>
            </a:pPr>
            <a:endParaRPr lang="es-ES"/>
          </a:p>
        </c:txPr>
        <c:crossAx val="10"/>
        <c:crosses val="autoZero"/>
        <c:crossBetween val="between"/>
      </c:valAx>
    </c:plotArea>
    <c:legend>
      <c:legendPos val="b"/>
      <c:overlay val="0"/>
      <c:txPr>
        <a:bodyPr/>
        <a:lstStyle/>
        <a:p>
          <a:pPr>
            <a:defRPr sz="850">
              <a:solidFill>
                <a:srgbClr val="52514E"/>
              </a:solidFill>
            </a:defRPr>
          </a:pPr>
          <a:endParaRPr lang="es-ES"/>
        </a:p>
      </c:txPr>
    </c:legend>
    <c:plotVisOnly val="1"/>
    <c:dispBlanksAs val="gap"/>
  </c:chart>
  <c:spPr>
    <a:noFill/>
    <a:ln>
      <a:noFill/>
    </a:ln>
  </c:spPr>
  <c:txPr>
    <a:bodyPr/>
    <a:lstStyle/>
    <a:p>
      <a:pPr>
        <a:defRPr sz="900">
          <a:solidFill>
            <a:srgbClr val="52514E"/>
          </a:solidFill>
        </a:defRPr>
      </a:pPr>
      <a:endParaRPr lang="es-ES"/>
    </a:p>
  </c:txPr>
  <c:externalData r:id="rId1">
    <c:autoUpdate val="0"/>
  </c:externalData>
</c:chartSpace>
</file>

<file path=word/charts/chart5.xml><?xml version="1.0" encoding="utf-8"?>
<c:chartSpace xmlns:c="http://schemas.openxmlformats.org/drawingml/2006/chart" xmlns:a="http://schemas.openxmlformats.org/drawingml/2006/main" xmlns:r="http://schemas.openxmlformats.org/officeDocument/2006/relationships">
  <c:date1904 val="0"/>
  <c:lang val="es-ES"/>
  <c:roundedCorners val="0"/>
  <c:chart>
    <c:title>
      <c:tx>
        <c:rich>
          <a:bodyPr/>
          <a:lstStyle/>
          <a:p>
            <a:pPr algn="l">
              <a:defRPr sz="1050" b="1">
                <a:solidFill>
                  <a:srgbClr val="1F2A3C"/>
                </a:solidFill>
              </a:defRPr>
            </a:pPr>
            <a:r>
              <a:rPr lang="es-ES" sz="1050" b="1">
                <a:solidFill>
                  <a:srgbClr val="1F2A3C"/>
                </a:solidFill>
              </a:rPr>
              <a:t>Márgenes (% de ingresos)</a:t>
            </a:r>
          </a:p>
        </c:rich>
      </c:tx>
      <c:overlay val="0"/>
    </c:title>
    <c:autoTitleDeleted val="0"/>
    <c:plotArea>
      <c:layout/>
      <c:lineChart>
        <c:grouping val="standard"/>
        <c:varyColors val="0"/>
        <c:ser>
          <c:idx val="0"/>
          <c:order val="0"/>
          <c:tx>
            <c:strRef>
              <c:f>Hoja1!$B$1</c:f>
              <c:strCache>
                <c:ptCount val="1"/>
                <c:pt idx="0">
                  <c:v>EBITDA</c:v>
                </c:pt>
              </c:strCache>
            </c:strRef>
          </c:tx>
          <c:spPr>
            <a:ln w="25400" cap="rnd">
              <a:solidFill>
                <a:srgbClr val="2A78D6"/>
              </a:solidFill>
              <a:round/>
            </a:ln>
          </c:spPr>
          <c:marker>
            <c:symbol val="circle"/>
            <c:size val="6"/>
            <c:spPr>
              <a:solidFill>
                <a:srgbClr val="2A78D6"/>
              </a:solidFill>
              <a:ln w="9525">
                <a:solidFill>
                  <a:srgbClr val="FFFFFF"/>
                </a:solidFill>
              </a:ln>
            </c:spPr>
          </c:marker>
          <c:cat>
            <c:strRef>
              <c:f>Hoja1!$A$2:$A$6</c:f>
              <c:strCache>
                <c:ptCount val="5"/>
                <c:pt idx="0">
                  <c:v>2021</c:v>
                </c:pt>
                <c:pt idx="1">
                  <c:v>2022</c:v>
                </c:pt>
                <c:pt idx="2">
                  <c:v>2023</c:v>
                </c:pt>
                <c:pt idx="3">
                  <c:v>2024</c:v>
                </c:pt>
                <c:pt idx="4">
                  <c:v>2025</c:v>
                </c:pt>
              </c:strCache>
            </c:strRef>
          </c:cat>
          <c:val>
            <c:numRef>
              <c:f>Hoja1!$B$2:$B$6</c:f>
              <c:numCache>
                <c:formatCode>0"%"</c:formatCode>
                <c:ptCount val="5"/>
                <c:pt idx="0">
                  <c:v>35.5</c:v>
                </c:pt>
                <c:pt idx="1">
                  <c:v>34.3</c:v>
                </c:pt>
                <c:pt idx="2">
                  <c:v>38.9</c:v>
                </c:pt>
                <c:pt idx="3">
                  <c:v>39.9</c:v>
                </c:pt>
                <c:pt idx="4">
                  <c:v>40.4</c:v>
                </c:pt>
              </c:numCache>
            </c:numRef>
          </c:val>
          <c:smooth val="0"/>
        </c:ser>
        <c:ser>
          <c:idx val="1"/>
          <c:order val="1"/>
          <c:tx>
            <c:strRef>
              <c:f>Hoja1!$C$1</c:f>
              <c:strCache>
                <c:ptCount val="1"/>
                <c:pt idx="0">
                  <c:v>EBIT</c:v>
                </c:pt>
              </c:strCache>
            </c:strRef>
          </c:tx>
          <c:spPr>
            <a:ln w="25400" cap="rnd">
              <a:solidFill>
                <a:srgbClr val="EB6834"/>
              </a:solidFill>
              <a:round/>
            </a:ln>
          </c:spPr>
          <c:marker>
            <c:symbol val="circle"/>
            <c:size val="6"/>
            <c:spPr>
              <a:solidFill>
                <a:srgbClr val="EB6834"/>
              </a:solidFill>
              <a:ln w="9525">
                <a:solidFill>
                  <a:srgbClr val="FFFFFF"/>
                </a:solidFill>
              </a:ln>
            </c:spPr>
          </c:marker>
          <c:cat>
            <c:strRef>
              <c:f>Hoja1!$A$2:$A$6</c:f>
              <c:strCache>
                <c:ptCount val="5"/>
                <c:pt idx="0">
                  <c:v>2021</c:v>
                </c:pt>
                <c:pt idx="1">
                  <c:v>2022</c:v>
                </c:pt>
                <c:pt idx="2">
                  <c:v>2023</c:v>
                </c:pt>
                <c:pt idx="3">
                  <c:v>2024</c:v>
                </c:pt>
                <c:pt idx="4">
                  <c:v>2025</c:v>
                </c:pt>
              </c:strCache>
            </c:strRef>
          </c:cat>
          <c:val>
            <c:numRef>
              <c:f>Hoja1!$C$2:$C$6</c:f>
              <c:numCache>
                <c:formatCode>0"%"</c:formatCode>
                <c:ptCount val="5"/>
                <c:pt idx="0">
                  <c:v>22.9</c:v>
                </c:pt>
                <c:pt idx="1">
                  <c:v>18.3</c:v>
                </c:pt>
                <c:pt idx="2">
                  <c:v>20.9</c:v>
                </c:pt>
                <c:pt idx="3">
                  <c:v>28.1</c:v>
                </c:pt>
                <c:pt idx="4">
                  <c:v>31.1</c:v>
                </c:pt>
              </c:numCache>
            </c:numRef>
          </c:val>
          <c:smooth val="0"/>
        </c:ser>
        <c:ser>
          <c:idx val="2"/>
          <c:order val="2"/>
          <c:tx>
            <c:strRef>
              <c:f>Hoja1!$D$1</c:f>
              <c:strCache>
                <c:ptCount val="1"/>
                <c:pt idx="0">
                  <c:v>Neto</c:v>
                </c:pt>
              </c:strCache>
            </c:strRef>
          </c:tx>
          <c:spPr>
            <a:ln w="25400" cap="rnd">
              <a:solidFill>
                <a:srgbClr val="1BAF7A"/>
              </a:solidFill>
              <a:round/>
            </a:ln>
          </c:spPr>
          <c:marker>
            <c:symbol val="circle"/>
            <c:size val="6"/>
            <c:spPr>
              <a:solidFill>
                <a:srgbClr val="1BAF7A"/>
              </a:solidFill>
              <a:ln w="9525">
                <a:solidFill>
                  <a:srgbClr val="FFFFFF"/>
                </a:solidFill>
              </a:ln>
            </c:spPr>
          </c:marker>
          <c:cat>
            <c:strRef>
              <c:f>Hoja1!$A$2:$A$6</c:f>
              <c:strCache>
                <c:ptCount val="5"/>
                <c:pt idx="0">
                  <c:v>2021</c:v>
                </c:pt>
                <c:pt idx="1">
                  <c:v>2022</c:v>
                </c:pt>
                <c:pt idx="2">
                  <c:v>2023</c:v>
                </c:pt>
                <c:pt idx="3">
                  <c:v>2024</c:v>
                </c:pt>
                <c:pt idx="4">
                  <c:v>2025</c:v>
                </c:pt>
              </c:strCache>
            </c:strRef>
          </c:cat>
          <c:val>
            <c:numRef>
              <c:f>Hoja1!$D$2:$D$6</c:f>
              <c:numCache>
                <c:formatCode>0"%"</c:formatCode>
                <c:ptCount val="5"/>
                <c:pt idx="0">
                  <c:v>52.1</c:v>
                </c:pt>
                <c:pt idx="1">
                  <c:v>13.9</c:v>
                </c:pt>
                <c:pt idx="2">
                  <c:v>18.4</c:v>
                </c:pt>
                <c:pt idx="3">
                  <c:v>23.1</c:v>
                </c:pt>
                <c:pt idx="4">
                  <c:v>24.7</c:v>
                </c:pt>
              </c:numCache>
            </c:numRef>
          </c:val>
          <c:smooth val="0"/>
        </c:ser>
        <c:marker val="1"/>
        <c:axId val="10"/>
        <c:axId val="20"/>
      </c:lineChart>
      <c:catAx>
        <c:axId val="10"/>
        <c:scaling>
          <c:orientation val="minMax"/>
        </c:scaling>
        <c:delete val="0"/>
        <c:axPos val="b"/>
        <c:numFmt formatCode="General" sourceLinked="0"/>
        <c:majorTickMark val="none"/>
        <c:minorTickMark val="none"/>
        <c:tickLblPos val="low"/>
        <c:spPr>
          <a:ln w="9525">
            <a:solidFill>
              <a:srgbClr val="A3A29C"/>
            </a:solidFill>
          </a:ln>
        </c:spPr>
        <c:txPr>
          <a:bodyPr/>
          <a:lstStyle/>
          <a:p>
            <a:pPr>
              <a:defRPr sz="850">
                <a:solidFill>
                  <a:srgbClr val="52514E"/>
                </a:solidFill>
              </a:defRPr>
            </a:pPr>
            <a:endParaRPr lang="es-ES"/>
          </a:p>
        </c:txPr>
        <c:crossAx val="20"/>
        <c:crosses val="autoZero"/>
        <c:auto val="1"/>
        <c:lblAlgn val="ctr"/>
        <c:lblOffset val="100"/>
        <c:noMultiLvlLbl val="0"/>
      </c:catAx>
      <c:valAx>
        <c:axId val="20"/>
        <c:scaling>
          <c:orientation val="minMax"/>
        </c:scaling>
        <c:delete val="0"/>
        <c:axPos val="l"/>
        <c:majorGridlines>
          <c:spPr>
            <a:ln w="6350">
              <a:solidFill>
                <a:srgbClr val="E4E3DF"/>
              </a:solidFill>
            </a:ln>
          </c:spPr>
        </c:majorGridlines>
        <c:numFmt formatCode="0&quot;%&quot;" sourceLinked="0"/>
        <c:majorTickMark val="none"/>
        <c:minorTickMark val="none"/>
        <c:tickLblPos val="nextTo"/>
        <c:spPr>
          <a:ln>
            <a:noFill/>
          </a:ln>
        </c:spPr>
        <c:txPr>
          <a:bodyPr/>
          <a:lstStyle/>
          <a:p>
            <a:pPr>
              <a:defRPr sz="850">
                <a:solidFill>
                  <a:srgbClr val="52514E"/>
                </a:solidFill>
              </a:defRPr>
            </a:pPr>
            <a:endParaRPr lang="es-ES"/>
          </a:p>
        </c:txPr>
        <c:crossAx val="10"/>
        <c:crosses val="autoZero"/>
        <c:crossBetween val="between"/>
      </c:valAx>
    </c:plotArea>
    <c:legend>
      <c:legendPos val="b"/>
      <c:overlay val="0"/>
      <c:txPr>
        <a:bodyPr/>
        <a:lstStyle/>
        <a:p>
          <a:pPr>
            <a:defRPr sz="850">
              <a:solidFill>
                <a:srgbClr val="52514E"/>
              </a:solidFill>
            </a:defRPr>
          </a:pPr>
          <a:endParaRPr lang="es-ES"/>
        </a:p>
      </c:txPr>
    </c:legend>
    <c:plotVisOnly val="1"/>
    <c:dispBlanksAs val="gap"/>
  </c:chart>
  <c:spPr>
    <a:noFill/>
    <a:ln>
      <a:noFill/>
    </a:ln>
  </c:spPr>
  <c:txPr>
    <a:bodyPr/>
    <a:lstStyle/>
    <a:p>
      <a:pPr>
        <a:defRPr sz="900">
          <a:solidFill>
            <a:srgbClr val="52514E"/>
          </a:solidFill>
        </a:defRPr>
      </a:pPr>
      <a:endParaRPr lang="es-ES"/>
    </a:p>
  </c:txPr>
  <c:externalData r:id="rId1">
    <c:autoUpdate val="0"/>
  </c:externalData>
</c:chartSpace>
</file>

<file path=word/charts/chart6.xml><?xml version="1.0" encoding="utf-8"?>
<c:chartSpace xmlns:c="http://schemas.openxmlformats.org/drawingml/2006/chart" xmlns:a="http://schemas.openxmlformats.org/drawingml/2006/main" xmlns:r="http://schemas.openxmlformats.org/officeDocument/2006/relationships">
  <c:date1904 val="0"/>
  <c:lang val="es-ES"/>
  <c:roundedCorners val="0"/>
  <c:chart>
    <c:title>
      <c:tx>
        <c:rich>
          <a:bodyPr/>
          <a:lstStyle/>
          <a:p>
            <a:pPr algn="l">
              <a:defRPr sz="1050" b="1">
                <a:solidFill>
                  <a:srgbClr val="1F2A3C"/>
                </a:solidFill>
              </a:defRPr>
            </a:pPr>
            <a:r>
              <a:rPr lang="es-ES" sz="1050" b="1">
                <a:solidFill>
                  <a:srgbClr val="1F2A3C"/>
                </a:solidFill>
              </a:rPr>
              <a:t>Crecimiento interanual por trimestre (%)</a:t>
            </a:r>
          </a:p>
        </c:rich>
      </c:tx>
      <c:overlay val="0"/>
    </c:title>
    <c:autoTitleDeleted val="0"/>
    <c:plotArea>
      <c:layout/>
      <c:barChart>
        <c:barDir val="col"/>
        <c:grouping val="clustered"/>
        <c:varyColors val="0"/>
        <c:ser>
          <c:idx val="0"/>
          <c:order val="0"/>
          <c:tx>
            <c:strRef>
              <c:f>Hoja1!$B$1</c:f>
              <c:strCache>
                <c:ptCount val="1"/>
                <c:pt idx="0">
                  <c:v>Reportado</c:v>
                </c:pt>
              </c:strCache>
            </c:strRef>
          </c:tx>
          <c:spPr>
            <a:solidFill>
              <a:srgbClr val="2A78D6"/>
            </a:solidFill>
            <a:ln w="9525">
              <a:noFill/>
            </a:ln>
          </c:spPr>
          <c:invertIfNegative val="0"/>
          <c:cat>
            <c:strRef>
              <c:f>Hoja1!$A$2:$A$4</c:f>
              <c:strCache>
                <c:ptCount val="3"/>
                <c:pt idx="0">
                  <c:v>4T25</c:v>
                </c:pt>
                <c:pt idx="1">
                  <c:v>1T26</c:v>
                </c:pt>
                <c:pt idx="2">
                  <c:v>2T26</c:v>
                </c:pt>
              </c:strCache>
            </c:strRef>
          </c:cat>
          <c:val>
            <c:numRef>
              <c:f>Hoja1!$B$2:$B$4</c:f>
              <c:numCache>
                <c:formatCode>0.0"%"</c:formatCode>
                <c:ptCount val="3"/>
                <c:pt idx="0">
                  <c:v>1</c:v>
                </c:pt>
                <c:pt idx="1">
                  <c:v>-1</c:v>
                </c:pt>
                <c:pt idx="2">
                  <c:v>3</c:v>
                </c:pt>
              </c:numCache>
            </c:numRef>
          </c:val>
        </c:ser>
        <c:ser>
          <c:idx val="1"/>
          <c:order val="1"/>
          <c:tx>
            <c:strRef>
              <c:f>Hoja1!$C$1</c:f>
              <c:strCache>
                <c:ptCount val="1"/>
                <c:pt idx="0">
                  <c:v>Orgánico</c:v>
                </c:pt>
              </c:strCache>
            </c:strRef>
          </c:tx>
          <c:spPr>
            <a:solidFill>
              <a:srgbClr val="EB6834"/>
            </a:solidFill>
            <a:ln w="9525">
              <a:noFill/>
            </a:ln>
          </c:spPr>
          <c:invertIfNegative val="0"/>
          <c:cat>
            <c:strRef>
              <c:f>Hoja1!$A$2:$A$4</c:f>
              <c:strCache>
                <c:ptCount val="3"/>
                <c:pt idx="0">
                  <c:v>4T25</c:v>
                </c:pt>
                <c:pt idx="1">
                  <c:v>1T26</c:v>
                </c:pt>
                <c:pt idx="2">
                  <c:v>2T26</c:v>
                </c:pt>
              </c:strCache>
            </c:strRef>
          </c:cat>
          <c:val>
            <c:numRef>
              <c:f>Hoja1!$C$2:$C$4</c:f>
              <c:numCache>
                <c:formatCode>0.0"%"</c:formatCode>
                <c:ptCount val="3"/>
                <c:pt idx="0">
                  <c:v>-1</c:v>
                </c:pt>
                <c:pt idx="1">
                  <c:v>-5</c:v>
                </c:pt>
                <c:pt idx="2">
                  <c:v>1</c:v>
                </c:pt>
              </c:numCache>
            </c:numRef>
          </c:val>
        </c:ser>
        <c:gapWidth val="70"/>
        <c:overlap val="-10"/>
        <c:axId val="10"/>
        <c:axId val="20"/>
      </c:barChart>
      <c:catAx>
        <c:axId val="10"/>
        <c:scaling>
          <c:orientation val="minMax"/>
        </c:scaling>
        <c:delete val="0"/>
        <c:axPos val="b"/>
        <c:numFmt formatCode="General" sourceLinked="0"/>
        <c:majorTickMark val="none"/>
        <c:minorTickMark val="none"/>
        <c:tickLblPos val="low"/>
        <c:spPr>
          <a:ln w="9525">
            <a:solidFill>
              <a:srgbClr val="A3A29C"/>
            </a:solidFill>
          </a:ln>
        </c:spPr>
        <c:txPr>
          <a:bodyPr/>
          <a:lstStyle/>
          <a:p>
            <a:pPr>
              <a:defRPr sz="850">
                <a:solidFill>
                  <a:srgbClr val="52514E"/>
                </a:solidFill>
              </a:defRPr>
            </a:pPr>
            <a:endParaRPr lang="es-ES"/>
          </a:p>
        </c:txPr>
        <c:crossAx val="20"/>
        <c:crosses val="autoZero"/>
        <c:auto val="1"/>
        <c:lblAlgn val="ctr"/>
        <c:lblOffset val="100"/>
        <c:noMultiLvlLbl val="0"/>
      </c:catAx>
      <c:valAx>
        <c:axId val="20"/>
        <c:scaling>
          <c:orientation val="minMax"/>
        </c:scaling>
        <c:delete val="0"/>
        <c:axPos val="l"/>
        <c:majorGridlines>
          <c:spPr>
            <a:ln w="6350">
              <a:solidFill>
                <a:srgbClr val="E4E3DF"/>
              </a:solidFill>
            </a:ln>
          </c:spPr>
        </c:majorGridlines>
        <c:numFmt formatCode="0.0&quot;%&quot;" sourceLinked="0"/>
        <c:majorTickMark val="none"/>
        <c:minorTickMark val="none"/>
        <c:tickLblPos val="nextTo"/>
        <c:spPr>
          <a:ln>
            <a:noFill/>
          </a:ln>
        </c:spPr>
        <c:txPr>
          <a:bodyPr/>
          <a:lstStyle/>
          <a:p>
            <a:pPr>
              <a:defRPr sz="850">
                <a:solidFill>
                  <a:srgbClr val="52514E"/>
                </a:solidFill>
              </a:defRPr>
            </a:pPr>
            <a:endParaRPr lang="es-ES"/>
          </a:p>
        </c:txPr>
        <c:crossAx val="10"/>
        <c:crosses val="autoZero"/>
        <c:crossBetween val="between"/>
      </c:valAx>
    </c:plotArea>
    <c:legend>
      <c:legendPos val="b"/>
      <c:overlay val="0"/>
      <c:txPr>
        <a:bodyPr/>
        <a:lstStyle/>
        <a:p>
          <a:pPr>
            <a:defRPr sz="850">
              <a:solidFill>
                <a:srgbClr val="52514E"/>
              </a:solidFill>
            </a:defRPr>
          </a:pPr>
          <a:endParaRPr lang="es-ES"/>
        </a:p>
      </c:txPr>
    </c:legend>
    <c:plotVisOnly val="1"/>
    <c:dispBlanksAs val="gap"/>
  </c:chart>
  <c:spPr>
    <a:noFill/>
    <a:ln>
      <a:noFill/>
    </a:ln>
  </c:spPr>
  <c:txPr>
    <a:bodyPr/>
    <a:lstStyle/>
    <a:p>
      <a:pPr>
        <a:defRPr sz="900">
          <a:solidFill>
            <a:srgbClr val="52514E"/>
          </a:solidFill>
        </a:defRPr>
      </a:pPr>
      <a:endParaRPr lang="es-ES"/>
    </a:p>
  </c:txPr>
  <c:externalData r:id="rId1">
    <c:autoUpdate val="0"/>
  </c:externalData>
</c:chartSpace>
</file>

<file path=word/charts/chart7.xml><?xml version="1.0" encoding="utf-8"?>
<c:chartSpace xmlns:c="http://schemas.openxmlformats.org/drawingml/2006/chart" xmlns:a="http://schemas.openxmlformats.org/drawingml/2006/main" xmlns:r="http://schemas.openxmlformats.org/officeDocument/2006/relationships">
  <c:date1904 val="0"/>
  <c:lang val="es-ES"/>
  <c:roundedCorners val="0"/>
  <c:chart>
    <c:title>
      <c:tx>
        <c:rich>
          <a:bodyPr/>
          <a:lstStyle/>
          <a:p>
            <a:pPr algn="l">
              <a:defRPr sz="1050" b="1">
                <a:solidFill>
                  <a:srgbClr val="1F2A3C"/>
                </a:solidFill>
              </a:defRPr>
            </a:pPr>
            <a:r>
              <a:rPr lang="es-ES" sz="1050" b="1">
                <a:solidFill>
                  <a:srgbClr val="1F2A3C"/>
                </a:solidFill>
              </a:rPr>
              <a:t>Capital circulante en días</a:t>
            </a:r>
          </a:p>
        </c:rich>
      </c:tx>
      <c:overlay val="0"/>
    </c:title>
    <c:autoTitleDeleted val="0"/>
    <c:plotArea>
      <c:layout/>
      <c:lineChart>
        <c:grouping val="standard"/>
        <c:varyColors val="0"/>
        <c:ser>
          <c:idx val="0"/>
          <c:order val="0"/>
          <c:tx>
            <c:strRef>
              <c:f>Hoja1!$B$1</c:f>
              <c:strCache>
                <c:ptCount val="1"/>
                <c:pt idx="0">
                  <c:v>Días de cobro</c:v>
                </c:pt>
              </c:strCache>
            </c:strRef>
          </c:tx>
          <c:spPr>
            <a:ln w="25400" cap="rnd">
              <a:solidFill>
                <a:srgbClr val="2A78D6"/>
              </a:solidFill>
              <a:round/>
            </a:ln>
          </c:spPr>
          <c:marker>
            <c:symbol val="circle"/>
            <c:size val="6"/>
            <c:spPr>
              <a:solidFill>
                <a:srgbClr val="2A78D6"/>
              </a:solidFill>
              <a:ln w="9525">
                <a:solidFill>
                  <a:srgbClr val="FFFFFF"/>
                </a:solidFill>
              </a:ln>
            </c:spPr>
          </c:marker>
          <c:cat>
            <c:strRef>
              <c:f>Hoja1!$A$2:$A$6</c:f>
              <c:strCache>
                <c:ptCount val="5"/>
                <c:pt idx="0">
                  <c:v>2021</c:v>
                </c:pt>
                <c:pt idx="1">
                  <c:v>2022</c:v>
                </c:pt>
                <c:pt idx="2">
                  <c:v>2023</c:v>
                </c:pt>
                <c:pt idx="3">
                  <c:v>2024</c:v>
                </c:pt>
                <c:pt idx="4">
                  <c:v>2025</c:v>
                </c:pt>
              </c:strCache>
            </c:strRef>
          </c:cat>
          <c:val>
            <c:numRef>
              <c:f>Hoja1!$B$2:$B$6</c:f>
              <c:numCache>
                <c:formatCode>0</c:formatCode>
                <c:ptCount val="5"/>
                <c:pt idx="0">
                  <c:v>66</c:v>
                </c:pt>
                <c:pt idx="1">
                  <c:v>68</c:v>
                </c:pt>
                <c:pt idx="2">
                  <c:v>56</c:v>
                </c:pt>
                <c:pt idx="3">
                  <c:v>52</c:v>
                </c:pt>
                <c:pt idx="4">
                  <c:v>58</c:v>
                </c:pt>
              </c:numCache>
            </c:numRef>
          </c:val>
          <c:smooth val="0"/>
        </c:ser>
        <c:marker val="1"/>
        <c:axId val="10"/>
        <c:axId val="20"/>
      </c:lineChart>
      <c:catAx>
        <c:axId val="10"/>
        <c:scaling>
          <c:orientation val="minMax"/>
        </c:scaling>
        <c:delete val="0"/>
        <c:axPos val="b"/>
        <c:numFmt formatCode="General" sourceLinked="0"/>
        <c:majorTickMark val="none"/>
        <c:minorTickMark val="none"/>
        <c:tickLblPos val="low"/>
        <c:spPr>
          <a:ln w="9525">
            <a:solidFill>
              <a:srgbClr val="A3A29C"/>
            </a:solidFill>
          </a:ln>
        </c:spPr>
        <c:txPr>
          <a:bodyPr/>
          <a:lstStyle/>
          <a:p>
            <a:pPr>
              <a:defRPr sz="850">
                <a:solidFill>
                  <a:srgbClr val="52514E"/>
                </a:solidFill>
              </a:defRPr>
            </a:pPr>
            <a:endParaRPr lang="es-ES"/>
          </a:p>
        </c:txPr>
        <c:crossAx val="20"/>
        <c:crosses val="autoZero"/>
        <c:auto val="1"/>
        <c:lblAlgn val="ctr"/>
        <c:lblOffset val="100"/>
        <c:noMultiLvlLbl val="0"/>
      </c:catAx>
      <c:valAx>
        <c:axId val="20"/>
        <c:scaling>
          <c:orientation val="minMax"/>
        </c:scaling>
        <c:delete val="0"/>
        <c:axPos val="l"/>
        <c:majorGridlines>
          <c:spPr>
            <a:ln w="6350">
              <a:solidFill>
                <a:srgbClr val="E4E3DF"/>
              </a:solidFill>
            </a:ln>
          </c:spPr>
        </c:majorGridlines>
        <c:numFmt formatCode="0" sourceLinked="0"/>
        <c:majorTickMark val="none"/>
        <c:minorTickMark val="none"/>
        <c:tickLblPos val="nextTo"/>
        <c:spPr>
          <a:ln>
            <a:noFill/>
          </a:ln>
        </c:spPr>
        <c:txPr>
          <a:bodyPr/>
          <a:lstStyle/>
          <a:p>
            <a:pPr>
              <a:defRPr sz="850">
                <a:solidFill>
                  <a:srgbClr val="52514E"/>
                </a:solidFill>
              </a:defRPr>
            </a:pPr>
            <a:endParaRPr lang="es-ES"/>
          </a:p>
        </c:txPr>
        <c:crossAx val="10"/>
        <c:crosses val="autoZero"/>
        <c:crossBetween val="between"/>
      </c:valAx>
    </c:plotArea>
    <c:plotVisOnly val="1"/>
    <c:dispBlanksAs val="gap"/>
  </c:chart>
  <c:spPr>
    <a:noFill/>
    <a:ln>
      <a:noFill/>
    </a:ln>
  </c:spPr>
  <c:txPr>
    <a:bodyPr/>
    <a:lstStyle/>
    <a:p>
      <a:pPr>
        <a:defRPr sz="900">
          <a:solidFill>
            <a:srgbClr val="52514E"/>
          </a:solidFill>
        </a:defRPr>
      </a:pPr>
      <a:endParaRPr lang="es-ES"/>
    </a:p>
  </c:txPr>
  <c:externalData r:id="rId1">
    <c:autoUpdate val="0"/>
  </c:externalData>
</c:chartSpace>
</file>

<file path=word/charts/chart8.xml><?xml version="1.0" encoding="utf-8"?>
<c:chartSpace xmlns:c="http://schemas.openxmlformats.org/drawingml/2006/chart" xmlns:a="http://schemas.openxmlformats.org/drawingml/2006/main" xmlns:r="http://schemas.openxmlformats.org/officeDocument/2006/relationships">
  <c:date1904 val="0"/>
  <c:lang val="es-ES"/>
  <c:roundedCorners val="0"/>
  <c:chart>
    <c:title>
      <c:tx>
        <c:rich>
          <a:bodyPr/>
          <a:lstStyle/>
          <a:p>
            <a:pPr algn="l">
              <a:defRPr sz="1050" b="1">
                <a:solidFill>
                  <a:srgbClr val="1F2A3C"/>
                </a:solidFill>
              </a:defRPr>
            </a:pPr>
            <a:r>
              <a:rPr lang="es-ES" sz="1050" b="1">
                <a:solidFill>
                  <a:srgbClr val="1F2A3C"/>
                </a:solidFill>
              </a:rPr>
              <a:t>Flujo de caja libre frente a beneficio neto (USD, millones)</a:t>
            </a:r>
          </a:p>
        </c:rich>
      </c:tx>
      <c:overlay val="0"/>
    </c:title>
    <c:autoTitleDeleted val="0"/>
    <c:plotArea>
      <c:layout/>
      <c:barChart>
        <c:barDir val="col"/>
        <c:grouping val="clustered"/>
        <c:varyColors val="0"/>
        <c:ser>
          <c:idx val="0"/>
          <c:order val="0"/>
          <c:tx>
            <c:strRef>
              <c:f>Hoja1!$B$1</c:f>
              <c:strCache>
                <c:ptCount val="1"/>
                <c:pt idx="0">
                  <c:v>Flujo de caja libre</c:v>
                </c:pt>
              </c:strCache>
            </c:strRef>
          </c:tx>
          <c:spPr>
            <a:solidFill>
              <a:srgbClr val="2A78D6"/>
            </a:solidFill>
            <a:ln w="9525">
              <a:noFill/>
            </a:ln>
          </c:spPr>
          <c:invertIfNegative val="0"/>
          <c:cat>
            <c:strRef>
              <c:f>Hoja1!$A$2:$A$4</c:f>
              <c:strCache>
                <c:ptCount val="3"/>
                <c:pt idx="0">
                  <c:v>2023</c:v>
                </c:pt>
                <c:pt idx="1">
                  <c:v>2024</c:v>
                </c:pt>
                <c:pt idx="2">
                  <c:v>2025</c:v>
                </c:pt>
              </c:strCache>
            </c:strRef>
          </c:cat>
          <c:val>
            <c:numRef>
              <c:f>Hoja1!$B$2:$B$4</c:f>
              <c:numCache>
                <c:formatCode>#,##0</c:formatCode>
                <c:ptCount val="3"/>
                <c:pt idx="0">
                  <c:v>13398</c:v>
                </c:pt>
                <c:pt idx="1">
                  <c:v>16253</c:v>
                </c:pt>
                <c:pt idx="2">
                  <c:v>17596</c:v>
                </c:pt>
              </c:numCache>
            </c:numRef>
          </c:val>
        </c:ser>
        <c:ser>
          <c:idx val="1"/>
          <c:order val="1"/>
          <c:tx>
            <c:strRef>
              <c:f>Hoja1!$C$1</c:f>
              <c:strCache>
                <c:ptCount val="1"/>
                <c:pt idx="0">
                  <c:v>Beneficio neto</c:v>
                </c:pt>
              </c:strCache>
            </c:strRef>
          </c:tx>
          <c:spPr>
            <a:solidFill>
              <a:srgbClr val="EB6834"/>
            </a:solidFill>
            <a:ln w="9525">
              <a:noFill/>
            </a:ln>
          </c:spPr>
          <c:invertIfNegative val="0"/>
          <c:cat>
            <c:strRef>
              <c:f>Hoja1!$A$2:$A$4</c:f>
              <c:strCache>
                <c:ptCount val="3"/>
                <c:pt idx="0">
                  <c:v>2023</c:v>
                </c:pt>
                <c:pt idx="1">
                  <c:v>2024</c:v>
                </c:pt>
                <c:pt idx="2">
                  <c:v>2025</c:v>
                </c:pt>
              </c:strCache>
            </c:strRef>
          </c:cat>
          <c:val>
            <c:numRef>
              <c:f>Hoja1!$C$2:$C$4</c:f>
              <c:numCache>
                <c:formatCode>#,##0</c:formatCode>
                <c:ptCount val="3"/>
                <c:pt idx="0">
                  <c:v>8572</c:v>
                </c:pt>
                <c:pt idx="1">
                  <c:v>11939</c:v>
                </c:pt>
                <c:pt idx="2">
                  <c:v>13984</c:v>
                </c:pt>
              </c:numCache>
            </c:numRef>
          </c:val>
        </c:ser>
        <c:gapWidth val="70"/>
        <c:overlap val="-10"/>
        <c:axId val="10"/>
        <c:axId val="20"/>
      </c:barChart>
      <c:catAx>
        <c:axId val="10"/>
        <c:scaling>
          <c:orientation val="minMax"/>
        </c:scaling>
        <c:delete val="0"/>
        <c:axPos val="b"/>
        <c:numFmt formatCode="General" sourceLinked="0"/>
        <c:majorTickMark val="none"/>
        <c:minorTickMark val="none"/>
        <c:tickLblPos val="low"/>
        <c:spPr>
          <a:ln w="9525">
            <a:solidFill>
              <a:srgbClr val="A3A29C"/>
            </a:solidFill>
          </a:ln>
        </c:spPr>
        <c:txPr>
          <a:bodyPr/>
          <a:lstStyle/>
          <a:p>
            <a:pPr>
              <a:defRPr sz="850">
                <a:solidFill>
                  <a:srgbClr val="52514E"/>
                </a:solidFill>
              </a:defRPr>
            </a:pPr>
            <a:endParaRPr lang="es-ES"/>
          </a:p>
        </c:txPr>
        <c:crossAx val="20"/>
        <c:crosses val="autoZero"/>
        <c:auto val="1"/>
        <c:lblAlgn val="ctr"/>
        <c:lblOffset val="100"/>
        <c:noMultiLvlLbl val="0"/>
      </c:catAx>
      <c:valAx>
        <c:axId val="20"/>
        <c:scaling>
          <c:orientation val="minMax"/>
        </c:scaling>
        <c:delete val="0"/>
        <c:axPos val="l"/>
        <c:majorGridlines>
          <c:spPr>
            <a:ln w="6350">
              <a:solidFill>
                <a:srgbClr val="E4E3DF"/>
              </a:solidFill>
            </a:ln>
          </c:spPr>
        </c:majorGridlines>
        <c:numFmt formatCode="#,##0" sourceLinked="0"/>
        <c:majorTickMark val="none"/>
        <c:minorTickMark val="none"/>
        <c:tickLblPos val="nextTo"/>
        <c:spPr>
          <a:ln>
            <a:noFill/>
          </a:ln>
        </c:spPr>
        <c:txPr>
          <a:bodyPr/>
          <a:lstStyle/>
          <a:p>
            <a:pPr>
              <a:defRPr sz="850">
                <a:solidFill>
                  <a:srgbClr val="52514E"/>
                </a:solidFill>
              </a:defRPr>
            </a:pPr>
            <a:endParaRPr lang="es-ES"/>
          </a:p>
        </c:txPr>
        <c:crossAx val="10"/>
        <c:crosses val="autoZero"/>
        <c:crossBetween val="between"/>
      </c:valAx>
    </c:plotArea>
    <c:legend>
      <c:legendPos val="b"/>
      <c:overlay val="0"/>
      <c:txPr>
        <a:bodyPr/>
        <a:lstStyle/>
        <a:p>
          <a:pPr>
            <a:defRPr sz="850">
              <a:solidFill>
                <a:srgbClr val="52514E"/>
              </a:solidFill>
            </a:defRPr>
          </a:pPr>
          <a:endParaRPr lang="es-ES"/>
        </a:p>
      </c:txPr>
    </c:legend>
    <c:plotVisOnly val="1"/>
    <c:dispBlanksAs val="gap"/>
  </c:chart>
  <c:spPr>
    <a:noFill/>
    <a:ln>
      <a:noFill/>
    </a:ln>
  </c:spPr>
  <c:txPr>
    <a:bodyPr/>
    <a:lstStyle/>
    <a:p>
      <a:pPr>
        <a:defRPr sz="900">
          <a:solidFill>
            <a:srgbClr val="52514E"/>
          </a:solidFill>
        </a:defRPr>
      </a:pPr>
      <a:endParaRPr lang="es-ES"/>
    </a:p>
  </c:txPr>
  <c:externalData r:id="rId1">
    <c:autoUpdate val="0"/>
  </c:externalData>
</c:chartSpace>
</file>

<file path=word/charts/chart9.xml><?xml version="1.0" encoding="utf-8"?>
<c:chartSpace xmlns:c="http://schemas.openxmlformats.org/drawingml/2006/chart" xmlns:a="http://schemas.openxmlformats.org/drawingml/2006/main" xmlns:r="http://schemas.openxmlformats.org/officeDocument/2006/relationships">
  <c:date1904 val="0"/>
  <c:lang val="es-ES"/>
  <c:roundedCorners val="0"/>
  <c:chart>
    <c:title>
      <c:tx>
        <c:rich>
          <a:bodyPr/>
          <a:lstStyle/>
          <a:p>
            <a:pPr algn="l">
              <a:defRPr sz="1050" b="1">
                <a:solidFill>
                  <a:srgbClr val="1F2A3C"/>
                </a:solidFill>
              </a:defRPr>
            </a:pPr>
            <a:r>
              <a:rPr lang="es-ES" sz="1050" b="1">
                <a:solidFill>
                  <a:srgbClr val="1F2A3C"/>
                </a:solidFill>
              </a:rPr>
              <a:t>ROIC y ROE frente al coste del capital (%)</a:t>
            </a:r>
          </a:p>
        </c:rich>
      </c:tx>
      <c:overlay val="0"/>
    </c:title>
    <c:autoTitleDeleted val="0"/>
    <c:plotArea>
      <c:layout/>
      <c:lineChart>
        <c:grouping val="standard"/>
        <c:varyColors val="0"/>
        <c:ser>
          <c:idx val="0"/>
          <c:order val="0"/>
          <c:tx>
            <c:strRef>
              <c:f>Hoja1!$B$1</c:f>
              <c:strCache>
                <c:ptCount val="1"/>
                <c:pt idx="0">
                  <c:v>ROIC</c:v>
                </c:pt>
              </c:strCache>
            </c:strRef>
          </c:tx>
          <c:spPr>
            <a:ln w="25400" cap="rnd">
              <a:solidFill>
                <a:srgbClr val="2A78D6"/>
              </a:solidFill>
              <a:round/>
            </a:ln>
          </c:spPr>
          <c:marker>
            <c:symbol val="circle"/>
            <c:size val="6"/>
            <c:spPr>
              <a:solidFill>
                <a:srgbClr val="2A78D6"/>
              </a:solidFill>
              <a:ln w="9525">
                <a:solidFill>
                  <a:srgbClr val="FFFFFF"/>
                </a:solidFill>
              </a:ln>
            </c:spPr>
          </c:marker>
          <c:cat>
            <c:strRef>
              <c:f>Hoja1!$A$2:$A$6</c:f>
              <c:strCache>
                <c:ptCount val="5"/>
                <c:pt idx="0">
                  <c:v>2021</c:v>
                </c:pt>
                <c:pt idx="1">
                  <c:v>2022</c:v>
                </c:pt>
                <c:pt idx="2">
                  <c:v>2023</c:v>
                </c:pt>
                <c:pt idx="3">
                  <c:v>2024</c:v>
                </c:pt>
                <c:pt idx="4">
                  <c:v>2025</c:v>
                </c:pt>
              </c:strCache>
            </c:strRef>
          </c:cat>
          <c:val>
            <c:numRef>
              <c:f>Hoja1!$B$2:$B$6</c:f>
              <c:numCache>
                <c:formatCode>0"%"</c:formatCode>
                <c:ptCount val="5"/>
                <c:pt idx="0">
                  <c:v>9.6</c:v>
                </c:pt>
                <c:pt idx="1">
                  <c:v>7.9</c:v>
                </c:pt>
                <c:pt idx="2">
                  <c:v>11.8</c:v>
                </c:pt>
                <c:pt idx="3">
                  <c:v>20.6</c:v>
                </c:pt>
                <c:pt idx="4">
                  <c:v>24.6</c:v>
                </c:pt>
              </c:numCache>
            </c:numRef>
          </c:val>
          <c:smooth val="0"/>
        </c:ser>
        <c:ser>
          <c:idx val="1"/>
          <c:order val="1"/>
          <c:tx>
            <c:strRef>
              <c:f>Hoja1!$C$1</c:f>
              <c:strCache>
                <c:ptCount val="1"/>
                <c:pt idx="0">
                  <c:v>WACC actual</c:v>
                </c:pt>
              </c:strCache>
            </c:strRef>
          </c:tx>
          <c:spPr>
            <a:ln w="25400" cap="rnd">
              <a:solidFill>
                <a:srgbClr val="EB6834"/>
              </a:solidFill>
              <a:round/>
            </a:ln>
          </c:spPr>
          <c:marker>
            <c:symbol val="circle"/>
            <c:size val="6"/>
            <c:spPr>
              <a:solidFill>
                <a:srgbClr val="EB6834"/>
              </a:solidFill>
              <a:ln w="9525">
                <a:solidFill>
                  <a:srgbClr val="FFFFFF"/>
                </a:solidFill>
              </a:ln>
            </c:spPr>
          </c:marker>
          <c:cat>
            <c:strRef>
              <c:f>Hoja1!$A$2:$A$6</c:f>
              <c:strCache>
                <c:ptCount val="5"/>
                <c:pt idx="0">
                  <c:v>2021</c:v>
                </c:pt>
                <c:pt idx="1">
                  <c:v>2022</c:v>
                </c:pt>
                <c:pt idx="2">
                  <c:v>2023</c:v>
                </c:pt>
                <c:pt idx="3">
                  <c:v>2024</c:v>
                </c:pt>
                <c:pt idx="4">
                  <c:v>2025</c:v>
                </c:pt>
              </c:strCache>
            </c:strRef>
          </c:cat>
          <c:val>
            <c:numRef>
              <c:f>Hoja1!$C$2:$C$6</c:f>
              <c:numCache>
                <c:formatCode>0"%"</c:formatCode>
                <c:ptCount val="5"/>
                <c:pt idx="0">
                  <c:v>8.1</c:v>
                </c:pt>
                <c:pt idx="1">
                  <c:v>8.1</c:v>
                </c:pt>
                <c:pt idx="2">
                  <c:v>8.1</c:v>
                </c:pt>
                <c:pt idx="3">
                  <c:v>8.1</c:v>
                </c:pt>
                <c:pt idx="4">
                  <c:v>8.1</c:v>
                </c:pt>
              </c:numCache>
            </c:numRef>
          </c:val>
          <c:smooth val="0"/>
        </c:ser>
        <c:ser>
          <c:idx val="2"/>
          <c:order val="2"/>
          <c:tx>
            <c:strRef>
              <c:f>Hoja1!$D$1</c:f>
              <c:strCache>
                <c:ptCount val="1"/>
                <c:pt idx="0">
                  <c:v>ROE</c:v>
                </c:pt>
              </c:strCache>
            </c:strRef>
          </c:tx>
          <c:spPr>
            <a:ln w="25400" cap="rnd">
              <a:solidFill>
                <a:srgbClr val="1BAF7A"/>
              </a:solidFill>
              <a:round/>
            </a:ln>
          </c:spPr>
          <c:marker>
            <c:symbol val="circle"/>
            <c:size val="6"/>
            <c:spPr>
              <a:solidFill>
                <a:srgbClr val="1BAF7A"/>
              </a:solidFill>
              <a:ln w="9525">
                <a:solidFill>
                  <a:srgbClr val="FFFFFF"/>
                </a:solidFill>
              </a:ln>
            </c:spPr>
          </c:marker>
          <c:cat>
            <c:strRef>
              <c:f>Hoja1!$A$2:$A$6</c:f>
              <c:strCache>
                <c:ptCount val="5"/>
                <c:pt idx="0">
                  <c:v>2021</c:v>
                </c:pt>
                <c:pt idx="1">
                  <c:v>2022</c:v>
                </c:pt>
                <c:pt idx="2">
                  <c:v>2023</c:v>
                </c:pt>
                <c:pt idx="3">
                  <c:v>2024</c:v>
                </c:pt>
                <c:pt idx="4">
                  <c:v>2025</c:v>
                </c:pt>
              </c:strCache>
            </c:strRef>
          </c:cat>
          <c:val>
            <c:numRef>
              <c:f>Hoja1!$D$2:$D$6</c:f>
              <c:numCache>
                <c:formatCode>0"%"</c:formatCode>
                <c:ptCount val="5"/>
                <c:pt idx="0">
                  <c:v>33.8</c:v>
                </c:pt>
                <c:pt idx="1">
                  <c:v>9.5</c:v>
                </c:pt>
                <c:pt idx="2">
                  <c:v>16.1</c:v>
                </c:pt>
                <c:pt idx="3">
                  <c:v>26.3</c:v>
                </c:pt>
                <c:pt idx="4">
                  <c:v>30.8</c:v>
                </c:pt>
              </c:numCache>
            </c:numRef>
          </c:val>
          <c:smooth val="0"/>
        </c:ser>
        <c:marker val="1"/>
        <c:axId val="10"/>
        <c:axId val="20"/>
      </c:lineChart>
      <c:catAx>
        <c:axId val="10"/>
        <c:scaling>
          <c:orientation val="minMax"/>
        </c:scaling>
        <c:delete val="0"/>
        <c:axPos val="b"/>
        <c:numFmt formatCode="General" sourceLinked="0"/>
        <c:majorTickMark val="none"/>
        <c:minorTickMark val="none"/>
        <c:tickLblPos val="low"/>
        <c:spPr>
          <a:ln w="9525">
            <a:solidFill>
              <a:srgbClr val="A3A29C"/>
            </a:solidFill>
          </a:ln>
        </c:spPr>
        <c:txPr>
          <a:bodyPr/>
          <a:lstStyle/>
          <a:p>
            <a:pPr>
              <a:defRPr sz="850">
                <a:solidFill>
                  <a:srgbClr val="52514E"/>
                </a:solidFill>
              </a:defRPr>
            </a:pPr>
            <a:endParaRPr lang="es-ES"/>
          </a:p>
        </c:txPr>
        <c:crossAx val="20"/>
        <c:crosses val="autoZero"/>
        <c:auto val="1"/>
        <c:lblAlgn val="ctr"/>
        <c:lblOffset val="100"/>
        <c:noMultiLvlLbl val="0"/>
      </c:catAx>
      <c:valAx>
        <c:axId val="20"/>
        <c:scaling>
          <c:orientation val="minMax"/>
        </c:scaling>
        <c:delete val="0"/>
        <c:axPos val="l"/>
        <c:majorGridlines>
          <c:spPr>
            <a:ln w="6350">
              <a:solidFill>
                <a:srgbClr val="E4E3DF"/>
              </a:solidFill>
            </a:ln>
          </c:spPr>
        </c:majorGridlines>
        <c:numFmt formatCode="0&quot;%&quot;" sourceLinked="0"/>
        <c:majorTickMark val="none"/>
        <c:minorTickMark val="none"/>
        <c:tickLblPos val="nextTo"/>
        <c:spPr>
          <a:ln>
            <a:noFill/>
          </a:ln>
        </c:spPr>
        <c:txPr>
          <a:bodyPr/>
          <a:lstStyle/>
          <a:p>
            <a:pPr>
              <a:defRPr sz="850">
                <a:solidFill>
                  <a:srgbClr val="52514E"/>
                </a:solidFill>
              </a:defRPr>
            </a:pPr>
            <a:endParaRPr lang="es-ES"/>
          </a:p>
        </c:txPr>
        <c:crossAx val="10"/>
        <c:crosses val="autoZero"/>
        <c:crossBetween val="between"/>
      </c:valAx>
    </c:plotArea>
    <c:legend>
      <c:legendPos val="b"/>
      <c:overlay val="0"/>
      <c:txPr>
        <a:bodyPr/>
        <a:lstStyle/>
        <a:p>
          <a:pPr>
            <a:defRPr sz="850">
              <a:solidFill>
                <a:srgbClr val="52514E"/>
              </a:solidFill>
            </a:defRPr>
          </a:pPr>
          <a:endParaRPr lang="es-ES"/>
        </a:p>
      </c:txPr>
    </c:legend>
    <c:plotVisOnly val="1"/>
    <c:dispBlanksAs val="gap"/>
  </c:chart>
  <c:spPr>
    <a:noFill/>
    <a:ln>
      <a:noFill/>
    </a:ln>
  </c:spPr>
  <c:txPr>
    <a:bodyPr/>
    <a:lstStyle/>
    <a:p>
      <a:pPr>
        <a:defRPr sz="900">
          <a:solidFill>
            <a:srgbClr val="52514E"/>
          </a:solidFill>
        </a:defRPr>
      </a:pPr>
      <a:endParaRPr lang="es-ES"/>
    </a:p>
  </c:txPr>
  <c:externalData r:id="rId1">
    <c:autoUpdate val="0"/>
  </c:externalData>
</c:chartSpace>
</file>

<file path=word/charts/chart10.xml><?xml version="1.0" encoding="utf-8"?>
<c:chartSpace xmlns:c="http://schemas.openxmlformats.org/drawingml/2006/chart" xmlns:a="http://schemas.openxmlformats.org/drawingml/2006/main" xmlns:r="http://schemas.openxmlformats.org/officeDocument/2006/relationships">
  <c:date1904 val="0"/>
  <c:lang val="es-ES"/>
  <c:roundedCorners val="0"/>
  <c:chart>
    <c:title>
      <c:tx>
        <c:rich>
          <a:bodyPr/>
          <a:lstStyle/>
          <a:p>
            <a:pPr algn="l">
              <a:defRPr sz="1050" b="1">
                <a:solidFill>
                  <a:srgbClr val="1F2A3C"/>
                </a:solidFill>
              </a:defRPr>
            </a:pPr>
            <a:r>
              <a:rPr lang="es-ES" sz="1050" b="1">
                <a:solidFill>
                  <a:srgbClr val="1F2A3C"/>
                </a:solidFill>
              </a:rPr>
              <a:t>Deuda neta / EBITDA al cierre de cada ejercicio (veces)</a:t>
            </a:r>
          </a:p>
        </c:rich>
      </c:tx>
      <c:overlay val="0"/>
    </c:title>
    <c:autoTitleDeleted val="0"/>
    <c:plotArea>
      <c:layout/>
      <c:barChart>
        <c:barDir val="col"/>
        <c:grouping val="clustered"/>
        <c:varyColors val="0"/>
        <c:ser>
          <c:idx val="0"/>
          <c:order val="0"/>
          <c:tx>
            <c:strRef>
              <c:f>Hoja1!$B$1</c:f>
              <c:strCache>
                <c:ptCount val="1"/>
                <c:pt idx="0">
                  <c:v>Deuda neta / EBITDA</c:v>
                </c:pt>
              </c:strCache>
            </c:strRef>
          </c:tx>
          <c:spPr>
            <a:solidFill>
              <a:srgbClr val="2A78D6"/>
            </a:solidFill>
            <a:ln w="9525">
              <a:noFill/>
            </a:ln>
          </c:spPr>
          <c:invertIfNegative val="0"/>
          <c:dLbls>
            <c:numFmt formatCode="0.0&quot;x&quot;" sourceLinked="0"/>
            <c:spPr>
              <a:noFill/>
              <a:ln>
                <a:noFill/>
              </a:ln>
            </c:spPr>
            <c:txPr>
              <a:bodyPr/>
              <a:lstStyle/>
              <a:p>
                <a:pPr>
                  <a:defRPr sz="800">
                    <a:solidFill>
                      <a:srgbClr val="52514E"/>
                    </a:solidFill>
                  </a:defRPr>
                </a:pPr>
                <a:endParaRPr lang="es-ES"/>
              </a:p>
            </c:txPr>
            <c:dLblPos val="outEnd"/>
            <c:showLegendKey val="0"/>
            <c:showVal val="1"/>
            <c:showCatName val="0"/>
            <c:showSerName val="0"/>
            <c:showPercent val="0"/>
            <c:showBubbleSize val="0"/>
          </c:dLbls>
          <c:cat>
            <c:strRef>
              <c:f>Hoja1!$A$2:$A$6</c:f>
              <c:strCache>
                <c:ptCount val="5"/>
                <c:pt idx="0">
                  <c:v>2021</c:v>
                </c:pt>
                <c:pt idx="1">
                  <c:v>2022</c:v>
                </c:pt>
                <c:pt idx="2">
                  <c:v>2023</c:v>
                </c:pt>
                <c:pt idx="3">
                  <c:v>2024</c:v>
                </c:pt>
                <c:pt idx="4">
                  <c:v>2025</c:v>
                </c:pt>
              </c:strCache>
            </c:strRef>
          </c:cat>
          <c:val>
            <c:numRef>
              <c:f>Hoja1!$B$2:$B$6</c:f>
              <c:numCache>
                <c:formatCode>0.0"x"</c:formatCode>
                <c:ptCount val="5"/>
                <c:pt idx="0">
                  <c:v>0.67</c:v>
                </c:pt>
                <c:pt idx="1">
                  <c:v>0.85</c:v>
                </c:pt>
                <c:pt idx="2">
                  <c:v>0.28</c:v>
                </c:pt>
                <c:pt idx="3">
                  <c:v>0.48</c:v>
                </c:pt>
                <c:pt idx="4">
                  <c:v>0.96</c:v>
                </c:pt>
              </c:numCache>
            </c:numRef>
          </c:val>
        </c:ser>
        <c:gapWidth val="70"/>
        <c:overlap val="-10"/>
        <c:axId val="10"/>
        <c:axId val="20"/>
      </c:barChart>
      <c:catAx>
        <c:axId val="10"/>
        <c:scaling>
          <c:orientation val="minMax"/>
        </c:scaling>
        <c:delete val="0"/>
        <c:axPos val="b"/>
        <c:numFmt formatCode="General" sourceLinked="0"/>
        <c:majorTickMark val="none"/>
        <c:minorTickMark val="none"/>
        <c:tickLblPos val="low"/>
        <c:spPr>
          <a:ln w="9525">
            <a:solidFill>
              <a:srgbClr val="A3A29C"/>
            </a:solidFill>
          </a:ln>
        </c:spPr>
        <c:txPr>
          <a:bodyPr/>
          <a:lstStyle/>
          <a:p>
            <a:pPr>
              <a:defRPr sz="850">
                <a:solidFill>
                  <a:srgbClr val="52514E"/>
                </a:solidFill>
              </a:defRPr>
            </a:pPr>
            <a:endParaRPr lang="es-ES"/>
          </a:p>
        </c:txPr>
        <c:crossAx val="20"/>
        <c:crosses val="autoZero"/>
        <c:auto val="1"/>
        <c:lblAlgn val="ctr"/>
        <c:lblOffset val="100"/>
        <c:noMultiLvlLbl val="0"/>
      </c:catAx>
      <c:valAx>
        <c:axId val="20"/>
        <c:scaling>
          <c:orientation val="minMax"/>
        </c:scaling>
        <c:delete val="0"/>
        <c:axPos val="l"/>
        <c:majorGridlines>
          <c:spPr>
            <a:ln w="6350">
              <a:solidFill>
                <a:srgbClr val="E4E3DF"/>
              </a:solidFill>
            </a:ln>
          </c:spPr>
        </c:majorGridlines>
        <c:numFmt formatCode="0.0&quot;x&quot;" sourceLinked="0"/>
        <c:majorTickMark val="none"/>
        <c:minorTickMark val="none"/>
        <c:tickLblPos val="nextTo"/>
        <c:spPr>
          <a:ln>
            <a:noFill/>
          </a:ln>
        </c:spPr>
        <c:txPr>
          <a:bodyPr/>
          <a:lstStyle/>
          <a:p>
            <a:pPr>
              <a:defRPr sz="850">
                <a:solidFill>
                  <a:srgbClr val="52514E"/>
                </a:solidFill>
              </a:defRPr>
            </a:pPr>
            <a:endParaRPr lang="es-ES"/>
          </a:p>
        </c:txPr>
        <c:crossAx val="10"/>
        <c:crosses val="autoZero"/>
        <c:crossBetween val="between"/>
      </c:valAx>
    </c:plotArea>
    <c:plotVisOnly val="1"/>
    <c:dispBlanksAs val="gap"/>
  </c:chart>
  <c:spPr>
    <a:noFill/>
    <a:ln>
      <a:noFill/>
    </a:ln>
  </c:spPr>
  <c:txPr>
    <a:bodyPr/>
    <a:lstStyle/>
    <a:p>
      <a:pPr>
        <a:defRPr sz="900">
          <a:solidFill>
            <a:srgbClr val="52514E"/>
          </a:solidFill>
        </a:defRPr>
      </a:pPr>
      <a:endParaRPr lang="es-ES"/>
    </a:p>
  </c:txPr>
  <c:externalData r:id="rId1">
    <c:autoUpdate val="0"/>
  </c:externalData>
</c:chartSpace>
</file>

<file path=word/charts/chart11.xml><?xml version="1.0" encoding="utf-8"?>
<c:chartSpace xmlns:c="http://schemas.openxmlformats.org/drawingml/2006/chart" xmlns:a="http://schemas.openxmlformats.org/drawingml/2006/main" xmlns:r="http://schemas.openxmlformats.org/officeDocument/2006/relationships">
  <c:date1904 val="0"/>
  <c:lang val="es-ES"/>
  <c:roundedCorners val="0"/>
  <c:chart>
    <c:title>
      <c:tx>
        <c:rich>
          <a:bodyPr/>
          <a:lstStyle/>
          <a:p>
            <a:pPr algn="l">
              <a:defRPr sz="1050" b="1">
                <a:solidFill>
                  <a:srgbClr val="1F2A3C"/>
                </a:solidFill>
              </a:defRPr>
            </a:pPr>
            <a:r>
              <a:rPr lang="es-ES" sz="1050" b="1">
                <a:solidFill>
                  <a:srgbClr val="1F2A3C"/>
                </a:solidFill>
              </a:rPr>
              <a:t>Usos de la caja (USD, millones)</a:t>
            </a:r>
          </a:p>
        </c:rich>
      </c:tx>
      <c:overlay val="0"/>
    </c:title>
    <c:autoTitleDeleted val="0"/>
    <c:plotArea>
      <c:layout/>
      <c:barChart>
        <c:barDir val="col"/>
        <c:grouping val="stacked"/>
        <c:varyColors val="0"/>
        <c:ser>
          <c:idx val="0"/>
          <c:order val="0"/>
          <c:tx>
            <c:strRef>
              <c:f>Hoja1!$B$1</c:f>
              <c:strCache>
                <c:ptCount val="1"/>
                <c:pt idx="0">
                  <c:v>Dividendos</c:v>
                </c:pt>
              </c:strCache>
            </c:strRef>
          </c:tx>
          <c:spPr>
            <a:solidFill>
              <a:srgbClr val="2A78D6"/>
            </a:solidFill>
            <a:ln w="12700">
              <a:solidFill>
                <a:srgbClr val="FFFFFF"/>
              </a:solidFill>
            </a:ln>
          </c:spPr>
          <c:invertIfNegative val="0"/>
          <c:cat>
            <c:strRef>
              <c:f>Hoja1!$A$2:$A$4</c:f>
              <c:strCache>
                <c:ptCount val="3"/>
                <c:pt idx="0">
                  <c:v>2023</c:v>
                </c:pt>
                <c:pt idx="1">
                  <c:v>2024</c:v>
                </c:pt>
                <c:pt idx="2">
                  <c:v>2025</c:v>
                </c:pt>
              </c:strCache>
            </c:strRef>
          </c:cat>
          <c:val>
            <c:numRef>
              <c:f>Hoja1!$B$2:$B$4</c:f>
              <c:numCache>
                <c:formatCode>#,##0</c:formatCode>
                <c:ptCount val="3"/>
                <c:pt idx="0">
                  <c:v>7250</c:v>
                </c:pt>
                <c:pt idx="1">
                  <c:v>7620</c:v>
                </c:pt>
                <c:pt idx="2">
                  <c:v>7820</c:v>
                </c:pt>
              </c:numCache>
            </c:numRef>
          </c:val>
        </c:ser>
        <c:ser>
          <c:idx val="1"/>
          <c:order val="1"/>
          <c:tx>
            <c:strRef>
              <c:f>Hoja1!$C$1</c:f>
              <c:strCache>
                <c:ptCount val="1"/>
                <c:pt idx="0">
                  <c:v>Recompras</c:v>
                </c:pt>
              </c:strCache>
            </c:strRef>
          </c:tx>
          <c:spPr>
            <a:solidFill>
              <a:srgbClr val="EB6834"/>
            </a:solidFill>
            <a:ln w="12700">
              <a:solidFill>
                <a:srgbClr val="FFFFFF"/>
              </a:solidFill>
            </a:ln>
          </c:spPr>
          <c:invertIfNegative val="0"/>
          <c:cat>
            <c:strRef>
              <c:f>Hoja1!$A$2:$A$4</c:f>
              <c:strCache>
                <c:ptCount val="3"/>
                <c:pt idx="0">
                  <c:v>2023</c:v>
                </c:pt>
                <c:pt idx="1">
                  <c:v>2024</c:v>
                </c:pt>
                <c:pt idx="2">
                  <c:v>2025</c:v>
                </c:pt>
              </c:strCache>
            </c:strRef>
          </c:cat>
          <c:val>
            <c:numRef>
              <c:f>Hoja1!$C$2:$C$4</c:f>
              <c:numCache>
                <c:formatCode>#,##0</c:formatCode>
                <c:ptCount val="3"/>
                <c:pt idx="0">
                  <c:v>8520</c:v>
                </c:pt>
                <c:pt idx="1">
                  <c:v>8450</c:v>
                </c:pt>
                <c:pt idx="2">
                  <c:v>9120</c:v>
                </c:pt>
              </c:numCache>
            </c:numRef>
          </c:val>
        </c:ser>
        <c:gapWidth val="60"/>
        <c:overlap val="100"/>
        <c:axId val="10"/>
        <c:axId val="20"/>
      </c:barChart>
      <c:catAx>
        <c:axId val="10"/>
        <c:scaling>
          <c:orientation val="minMax"/>
        </c:scaling>
        <c:delete val="0"/>
        <c:axPos val="b"/>
        <c:numFmt formatCode="General" sourceLinked="0"/>
        <c:majorTickMark val="none"/>
        <c:minorTickMark val="none"/>
        <c:tickLblPos val="low"/>
        <c:spPr>
          <a:ln w="9525">
            <a:solidFill>
              <a:srgbClr val="A3A29C"/>
            </a:solidFill>
          </a:ln>
        </c:spPr>
        <c:txPr>
          <a:bodyPr/>
          <a:lstStyle/>
          <a:p>
            <a:pPr>
              <a:defRPr sz="850">
                <a:solidFill>
                  <a:srgbClr val="52514E"/>
                </a:solidFill>
              </a:defRPr>
            </a:pPr>
            <a:endParaRPr lang="es-ES"/>
          </a:p>
        </c:txPr>
        <c:crossAx val="20"/>
        <c:crosses val="autoZero"/>
        <c:auto val="1"/>
        <c:lblAlgn val="ctr"/>
        <c:lblOffset val="100"/>
        <c:noMultiLvlLbl val="0"/>
      </c:catAx>
      <c:valAx>
        <c:axId val="20"/>
        <c:scaling>
          <c:orientation val="minMax"/>
        </c:scaling>
        <c:delete val="0"/>
        <c:axPos val="l"/>
        <c:majorGridlines>
          <c:spPr>
            <a:ln w="6350">
              <a:solidFill>
                <a:srgbClr val="E4E3DF"/>
              </a:solidFill>
            </a:ln>
          </c:spPr>
        </c:majorGridlines>
        <c:numFmt formatCode="#,##0" sourceLinked="0"/>
        <c:majorTickMark val="none"/>
        <c:minorTickMark val="none"/>
        <c:tickLblPos val="nextTo"/>
        <c:spPr>
          <a:ln>
            <a:noFill/>
          </a:ln>
        </c:spPr>
        <c:txPr>
          <a:bodyPr/>
          <a:lstStyle/>
          <a:p>
            <a:pPr>
              <a:defRPr sz="850">
                <a:solidFill>
                  <a:srgbClr val="52514E"/>
                </a:solidFill>
              </a:defRPr>
            </a:pPr>
            <a:endParaRPr lang="es-ES"/>
          </a:p>
        </c:txPr>
        <c:crossAx val="10"/>
        <c:crosses val="autoZero"/>
        <c:crossBetween val="between"/>
      </c:valAx>
    </c:plotArea>
    <c:legend>
      <c:legendPos val="b"/>
      <c:overlay val="0"/>
      <c:txPr>
        <a:bodyPr/>
        <a:lstStyle/>
        <a:p>
          <a:pPr>
            <a:defRPr sz="850">
              <a:solidFill>
                <a:srgbClr val="52514E"/>
              </a:solidFill>
            </a:defRPr>
          </a:pPr>
          <a:endParaRPr lang="es-ES"/>
        </a:p>
      </c:txPr>
    </c:legend>
    <c:plotVisOnly val="1"/>
    <c:dispBlanksAs val="gap"/>
  </c:chart>
  <c:spPr>
    <a:noFill/>
    <a:ln>
      <a:noFill/>
    </a:ln>
  </c:spPr>
  <c:txPr>
    <a:bodyPr/>
    <a:lstStyle/>
    <a:p>
      <a:pPr>
        <a:defRPr sz="900">
          <a:solidFill>
            <a:srgbClr val="52514E"/>
          </a:solidFill>
        </a:defRPr>
      </a:pPr>
      <a:endParaRPr lang="es-ES"/>
    </a:p>
  </c:txPr>
  <c:externalData r:id="rId1">
    <c:autoUpdate val="0"/>
  </c:externalData>
</c:chartSpace>
</file>

<file path=word/charts/chart12.xml><?xml version="1.0" encoding="utf-8"?>
<c:chartSpace xmlns:c="http://schemas.openxmlformats.org/drawingml/2006/chart" xmlns:a="http://schemas.openxmlformats.org/drawingml/2006/main" xmlns:r="http://schemas.openxmlformats.org/officeDocument/2006/relationships">
  <c:date1904 val="0"/>
  <c:lang val="es-ES"/>
  <c:roundedCorners val="0"/>
  <c:chart>
    <c:title>
      <c:tx>
        <c:rich>
          <a:bodyPr/>
          <a:lstStyle/>
          <a:p>
            <a:pPr algn="l">
              <a:defRPr sz="1050" b="1">
                <a:solidFill>
                  <a:srgbClr val="1F2A3C"/>
                </a:solidFill>
              </a:defRPr>
            </a:pPr>
            <a:r>
              <a:rPr lang="es-ES" sz="1050" b="1">
                <a:solidFill>
                  <a:srgbClr val="1F2A3C"/>
                </a:solidFill>
              </a:rPr>
              <a:t>Composición del consejo (número de consejeros)</a:t>
            </a:r>
          </a:p>
        </c:rich>
      </c:tx>
      <c:overlay val="0"/>
    </c:title>
    <c:autoTitleDeleted val="0"/>
    <c:plotArea>
      <c:layout/>
      <c:doughnutChart>
        <c:varyColors val="1"/>
        <c:ser>
          <c:idx val="0"/>
          <c:order val="0"/>
          <c:tx>
            <c:strRef>
              <c:f>Hoja1!$B$1</c:f>
              <c:strCache>
                <c:ptCount val="1"/>
                <c:pt idx="0">
                  <c:v>Consejeros</c:v>
                </c:pt>
              </c:strCache>
            </c:strRef>
          </c:tx>
          <c:dPt>
            <c:idx val="0"/>
            <c:bubble3D val="0"/>
            <c:spPr>
              <a:solidFill>
                <a:srgbClr val="2A78D6"/>
              </a:solidFill>
              <a:ln w="19050">
                <a:solidFill>
                  <a:srgbClr val="FFFFFF"/>
                </a:solidFill>
              </a:ln>
            </c:spPr>
          </c:dPt>
          <c:dLbls>
            <c:numFmt formatCode="0" sourceLinked="0"/>
            <c:spPr>
              <a:noFill/>
              <a:ln>
                <a:noFill/>
              </a:ln>
            </c:spPr>
            <c:txPr>
              <a:bodyPr/>
              <a:lstStyle/>
              <a:p>
                <a:pPr>
                  <a:defRPr sz="800">
                    <a:solidFill>
                      <a:srgbClr val="1F2A3C"/>
                    </a:solidFill>
                  </a:defRPr>
                </a:pPr>
                <a:endParaRPr lang="es-ES"/>
              </a:p>
            </c:txPr>
            <c:showLegendKey val="0"/>
            <c:showVal val="1"/>
            <c:showCatName val="0"/>
            <c:showSerName val="0"/>
            <c:showPercent val="0"/>
            <c:showBubbleSize val="0"/>
            <c:showLeaderLines val="1"/>
          </c:dLbls>
          <c:cat>
            <c:strRef>
              <c:f>Hoja1!$A$2</c:f>
              <c:strCache>
                <c:ptCount val="1"/>
                <c:pt idx="0">
                  <c:v>Independiente</c:v>
                </c:pt>
              </c:strCache>
            </c:strRef>
          </c:cat>
          <c:val>
            <c:numRef>
              <c:f>Hoja1!$B$2</c:f>
              <c:numCache>
                <c:formatCode>0</c:formatCode>
                <c:ptCount val="1"/>
                <c:pt idx="0">
                  <c:v>1</c:v>
                </c:pt>
              </c:numCache>
            </c:numRef>
          </c:val>
        </c:ser>
        <c:firstSliceAng val="0"/>
        <c:holeSize val="55"/>
      </c:doughnutChart>
    </c:plotArea>
    <c:legend>
      <c:legendPos val="r"/>
      <c:overlay val="0"/>
      <c:txPr>
        <a:bodyPr/>
        <a:lstStyle/>
        <a:p>
          <a:pPr>
            <a:defRPr sz="850">
              <a:solidFill>
                <a:srgbClr val="52514E"/>
              </a:solidFill>
            </a:defRPr>
          </a:pPr>
          <a:endParaRPr lang="es-ES"/>
        </a:p>
      </c:txPr>
    </c:legend>
    <c:plotVisOnly val="1"/>
    <c:dispBlanksAs val="gap"/>
  </c:chart>
  <c:spPr>
    <a:noFill/>
    <a:ln>
      <a:noFill/>
    </a:ln>
  </c:spPr>
  <c:txPr>
    <a:bodyPr/>
    <a:lstStyle/>
    <a:p>
      <a:pPr>
        <a:defRPr sz="900">
          <a:solidFill>
            <a:srgbClr val="52514E"/>
          </a:solidFill>
        </a:defRPr>
      </a:pPr>
      <a:endParaRPr lang="es-ES"/>
    </a:p>
  </c:txPr>
  <c:externalData r:id="rId1">
    <c:autoUpdate val="0"/>
  </c:externalData>
</c:chartSpace>
</file>

<file path=word/charts/chart13.xml><?xml version="1.0" encoding="utf-8"?>
<c:chartSpace xmlns:c="http://schemas.openxmlformats.org/drawingml/2006/chart" xmlns:a="http://schemas.openxmlformats.org/drawingml/2006/main" xmlns:r="http://schemas.openxmlformats.org/officeDocument/2006/relationships">
  <c:date1904 val="0"/>
  <c:lang val="es-ES"/>
  <c:roundedCorners val="0"/>
  <c:chart>
    <c:title>
      <c:tx>
        <c:rich>
          <a:bodyPr/>
          <a:lstStyle/>
          <a:p>
            <a:pPr algn="l">
              <a:defRPr sz="1050" b="1">
                <a:solidFill>
                  <a:srgbClr val="1F2A3C"/>
                </a:solidFill>
              </a:defRPr>
            </a:pPr>
            <a:r>
              <a:rPr lang="es-ES" sz="1050" b="1">
                <a:solidFill>
                  <a:srgbClr val="1F2A3C"/>
                </a:solidFill>
              </a:rPr>
              <a:t>Rentabilidad total por año: acción frente a su índice (%)</a:t>
            </a:r>
          </a:p>
        </c:rich>
      </c:tx>
      <c:overlay val="0"/>
    </c:title>
    <c:autoTitleDeleted val="0"/>
    <c:plotArea>
      <c:layout/>
      <c:barChart>
        <c:barDir val="col"/>
        <c:grouping val="clustered"/>
        <c:varyColors val="0"/>
        <c:ser>
          <c:idx val="0"/>
          <c:order val="0"/>
          <c:tx>
            <c:strRef>
              <c:f>Hoja1!$B$1</c:f>
              <c:strCache>
                <c:ptCount val="1"/>
                <c:pt idx="0">
                  <c:v>Acción</c:v>
                </c:pt>
              </c:strCache>
            </c:strRef>
          </c:tx>
          <c:spPr>
            <a:solidFill>
              <a:srgbClr val="2A78D6"/>
            </a:solidFill>
            <a:ln w="9525">
              <a:noFill/>
            </a:ln>
          </c:spPr>
          <c:invertIfNegative val="0"/>
          <c:cat>
            <c:strRef>
              <c:f>Hoja1!$A$2:$A$6</c:f>
              <c:strCache>
                <c:ptCount val="5"/>
                <c:pt idx="0">
                  <c:v>2021</c:v>
                </c:pt>
                <c:pt idx="1">
                  <c:v>2022</c:v>
                </c:pt>
                <c:pt idx="2">
                  <c:v>2023</c:v>
                </c:pt>
                <c:pt idx="3">
                  <c:v>2024</c:v>
                </c:pt>
                <c:pt idx="4">
                  <c:v>2025</c:v>
                </c:pt>
              </c:strCache>
            </c:strRef>
          </c:cat>
          <c:val>
            <c:numRef>
              <c:f>Hoja1!$B$2:$B$6</c:f>
              <c:numCache>
                <c:formatCode>0"%"</c:formatCode>
                <c:ptCount val="5"/>
                <c:pt idx="0">
                  <c:v>-7.9</c:v>
                </c:pt>
                <c:pt idx="1">
                  <c:v>3.6</c:v>
                </c:pt>
                <c:pt idx="2">
                  <c:v>17.1</c:v>
                </c:pt>
                <c:pt idx="3">
                  <c:v>-2.8</c:v>
                </c:pt>
                <c:pt idx="4">
                  <c:v>42.3</c:v>
                </c:pt>
              </c:numCache>
            </c:numRef>
          </c:val>
        </c:ser>
        <c:gapWidth val="70"/>
        <c:overlap val="-10"/>
        <c:axId val="10"/>
        <c:axId val="20"/>
      </c:barChart>
      <c:catAx>
        <c:axId val="10"/>
        <c:scaling>
          <c:orientation val="minMax"/>
        </c:scaling>
        <c:delete val="0"/>
        <c:axPos val="b"/>
        <c:numFmt formatCode="General" sourceLinked="0"/>
        <c:majorTickMark val="none"/>
        <c:minorTickMark val="none"/>
        <c:tickLblPos val="low"/>
        <c:spPr>
          <a:ln w="9525">
            <a:solidFill>
              <a:srgbClr val="A3A29C"/>
            </a:solidFill>
          </a:ln>
        </c:spPr>
        <c:txPr>
          <a:bodyPr/>
          <a:lstStyle/>
          <a:p>
            <a:pPr>
              <a:defRPr sz="850">
                <a:solidFill>
                  <a:srgbClr val="52514E"/>
                </a:solidFill>
              </a:defRPr>
            </a:pPr>
            <a:endParaRPr lang="es-ES"/>
          </a:p>
        </c:txPr>
        <c:crossAx val="20"/>
        <c:crosses val="autoZero"/>
        <c:auto val="1"/>
        <c:lblAlgn val="ctr"/>
        <c:lblOffset val="100"/>
        <c:noMultiLvlLbl val="0"/>
      </c:catAx>
      <c:valAx>
        <c:axId val="20"/>
        <c:scaling>
          <c:orientation val="minMax"/>
        </c:scaling>
        <c:delete val="0"/>
        <c:axPos val="l"/>
        <c:majorGridlines>
          <c:spPr>
            <a:ln w="6350">
              <a:solidFill>
                <a:srgbClr val="E4E3DF"/>
              </a:solidFill>
            </a:ln>
          </c:spPr>
        </c:majorGridlines>
        <c:numFmt formatCode="0&quot;%&quot;" sourceLinked="0"/>
        <c:majorTickMark val="none"/>
        <c:minorTickMark val="none"/>
        <c:tickLblPos val="nextTo"/>
        <c:spPr>
          <a:ln>
            <a:noFill/>
          </a:ln>
        </c:spPr>
        <c:txPr>
          <a:bodyPr/>
          <a:lstStyle/>
          <a:p>
            <a:pPr>
              <a:defRPr sz="850">
                <a:solidFill>
                  <a:srgbClr val="52514E"/>
                </a:solidFill>
              </a:defRPr>
            </a:pPr>
            <a:endParaRPr lang="es-ES"/>
          </a:p>
        </c:txPr>
        <c:crossAx val="10"/>
        <c:crosses val="autoZero"/>
        <c:crossBetween val="between"/>
      </c:valAx>
    </c:plotArea>
    <c:plotVisOnly val="1"/>
    <c:dispBlanksAs val="gap"/>
  </c:chart>
  <c:spPr>
    <a:noFill/>
    <a:ln>
      <a:noFill/>
    </a:ln>
  </c:spPr>
  <c:txPr>
    <a:bodyPr/>
    <a:lstStyle/>
    <a:p>
      <a:pPr>
        <a:defRPr sz="900">
          <a:solidFill>
            <a:srgbClr val="52514E"/>
          </a:solidFill>
        </a:defRPr>
      </a:pPr>
      <a:endParaRPr lang="es-ES"/>
    </a:p>
  </c:txPr>
  <c:externalData r:id="rId1">
    <c:autoUpdate val="0"/>
  </c:externalData>
</c:chartSpace>
</file>

<file path=word/charts/chart14.xml><?xml version="1.0" encoding="utf-8"?>
<c:chartSpace xmlns:c="http://schemas.openxmlformats.org/drawingml/2006/chart" xmlns:a="http://schemas.openxmlformats.org/drawingml/2006/main" xmlns:r="http://schemas.openxmlformats.org/officeDocument/2006/relationships">
  <c:date1904 val="0"/>
  <c:lang val="es-ES"/>
  <c:roundedCorners val="0"/>
  <c:chart>
    <c:title>
      <c:tx>
        <c:rich>
          <a:bodyPr/>
          <a:lstStyle/>
          <a:p>
            <a:pPr algn="l">
              <a:defRPr sz="1050" b="1">
                <a:solidFill>
                  <a:srgbClr val="1F2A3C"/>
                </a:solidFill>
              </a:defRPr>
            </a:pPr>
            <a:r>
              <a:rPr lang="es-ES" sz="1050" b="1">
                <a:solidFill>
                  <a:srgbClr val="1F2A3C"/>
                </a:solidFill>
              </a:rPr>
              <a:t>EV/EBITDA de los próximos 12 meses: empresa y comparables (veces)</a:t>
            </a:r>
          </a:p>
        </c:rich>
      </c:tx>
      <c:overlay val="0"/>
    </c:title>
    <c:autoTitleDeleted val="0"/>
    <c:plotArea>
      <c:layout/>
      <c:barChart>
        <c:barDir val="bar"/>
        <c:grouping val="clustered"/>
        <c:varyColors val="0"/>
        <c:ser>
          <c:idx val="0"/>
          <c:order val="0"/>
          <c:tx>
            <c:strRef>
              <c:f>Hoja1!$B$1</c:f>
              <c:strCache>
                <c:ptCount val="1"/>
                <c:pt idx="0">
                  <c:v>EV/EBITDA NTM</c:v>
                </c:pt>
              </c:strCache>
            </c:strRef>
          </c:tx>
          <c:spPr>
            <a:solidFill>
              <a:srgbClr val="2A78D6"/>
            </a:solidFill>
            <a:ln w="9525">
              <a:noFill/>
            </a:ln>
          </c:spPr>
          <c:invertIfNegative val="0"/>
          <c:dPt>
            <c:idx val="1"/>
            <c:invertIfNegative val="0"/>
            <c:bubble3D val="0"/>
            <c:spPr>
              <a:solidFill>
                <a:srgbClr val="C9C8C2"/>
              </a:solidFill>
            </c:spPr>
          </c:dPt>
          <c:dPt>
            <c:idx val="2"/>
            <c:invertIfNegative val="0"/>
            <c:bubble3D val="0"/>
            <c:spPr>
              <a:solidFill>
                <a:srgbClr val="C9C8C2"/>
              </a:solidFill>
            </c:spPr>
          </c:dPt>
          <c:dPt>
            <c:idx val="3"/>
            <c:invertIfNegative val="0"/>
            <c:bubble3D val="0"/>
            <c:spPr>
              <a:solidFill>
                <a:srgbClr val="C9C8C2"/>
              </a:solidFill>
            </c:spPr>
          </c:dPt>
          <c:dPt>
            <c:idx val="4"/>
            <c:invertIfNegative val="0"/>
            <c:bubble3D val="0"/>
            <c:spPr>
              <a:solidFill>
                <a:srgbClr val="C9C8C2"/>
              </a:solidFill>
            </c:spPr>
          </c:dPt>
          <c:dPt>
            <c:idx val="5"/>
            <c:invertIfNegative val="0"/>
            <c:bubble3D val="0"/>
            <c:spPr>
              <a:solidFill>
                <a:srgbClr val="C9C8C2"/>
              </a:solidFill>
            </c:spPr>
          </c:dPt>
          <c:dPt>
            <c:idx val="6"/>
            <c:invertIfNegative val="0"/>
            <c:bubble3D val="0"/>
            <c:spPr>
              <a:solidFill>
                <a:srgbClr val="C9C8C2"/>
              </a:solidFill>
            </c:spPr>
          </c:dPt>
          <c:dPt>
            <c:idx val="7"/>
            <c:invertIfNegative val="0"/>
            <c:bubble3D val="0"/>
            <c:spPr>
              <a:solidFill>
                <a:srgbClr val="C9C8C2"/>
              </a:solidFill>
            </c:spPr>
          </c:dPt>
          <c:dLbls>
            <c:numFmt formatCode="0.0&quot;x&quot;" sourceLinked="0"/>
            <c:spPr>
              <a:noFill/>
              <a:ln>
                <a:noFill/>
              </a:ln>
            </c:spPr>
            <c:txPr>
              <a:bodyPr/>
              <a:lstStyle/>
              <a:p>
                <a:pPr>
                  <a:defRPr sz="800">
                    <a:solidFill>
                      <a:srgbClr val="52514E"/>
                    </a:solidFill>
                  </a:defRPr>
                </a:pPr>
                <a:endParaRPr lang="es-ES"/>
              </a:p>
            </c:txPr>
            <c:dLblPos val="outEnd"/>
            <c:showLegendKey val="0"/>
            <c:showVal val="1"/>
            <c:showCatName val="0"/>
            <c:showSerName val="0"/>
            <c:showPercent val="0"/>
            <c:showBubbleSize val="0"/>
          </c:dLbls>
          <c:cat>
            <c:strRef>
              <c:f>Hoja1!$A$2:$A$9</c:f>
              <c:strCache>
                <c:ptCount val="8"/>
                <c:pt idx="0">
                  <c:v>Novartis</c:v>
                </c:pt>
                <c:pt idx="1">
                  <c:v>Eli Lilly</c:v>
                </c:pt>
                <c:pt idx="2">
                  <c:v>AstraZeneca</c:v>
                </c:pt>
                <c:pt idx="3">
                  <c:v>Sanofi</c:v>
                </c:pt>
                <c:pt idx="4">
                  <c:v>Merck &amp; Co</c:v>
                </c:pt>
                <c:pt idx="5">
                  <c:v>GSK</c:v>
                </c:pt>
                <c:pt idx="6">
                  <c:v>Novo Nordisk</c:v>
                </c:pt>
                <c:pt idx="7">
                  <c:v>Roche</c:v>
                </c:pt>
              </c:strCache>
            </c:strRef>
          </c:cat>
          <c:val>
            <c:numRef>
              <c:f>Hoja1!$B$2:$B$9</c:f>
              <c:numCache>
                <c:formatCode>0.0"x"</c:formatCode>
                <c:ptCount val="8"/>
                <c:pt idx="1">
                  <c:v>20.6</c:v>
                </c:pt>
                <c:pt idx="2">
                  <c:v>11.4</c:v>
                </c:pt>
                <c:pt idx="3">
                  <c:v>6.6</c:v>
                </c:pt>
                <c:pt idx="4">
                  <c:v>13.3</c:v>
                </c:pt>
                <c:pt idx="5">
                  <c:v>6.9</c:v>
                </c:pt>
                <c:pt idx="7">
                  <c:v>12.8</c:v>
                </c:pt>
              </c:numCache>
            </c:numRef>
          </c:val>
        </c:ser>
        <c:gapWidth val="70"/>
        <c:overlap val="-10"/>
        <c:axId val="10"/>
        <c:axId val="20"/>
      </c:barChart>
      <c:catAx>
        <c:axId val="10"/>
        <c:scaling>
          <c:orientation val="maxMin"/>
        </c:scaling>
        <c:delete val="0"/>
        <c:axPos val="l"/>
        <c:numFmt formatCode="General" sourceLinked="0"/>
        <c:majorTickMark val="none"/>
        <c:minorTickMark val="none"/>
        <c:tickLblPos val="low"/>
        <c:spPr>
          <a:ln w="9525">
            <a:solidFill>
              <a:srgbClr val="A3A29C"/>
            </a:solidFill>
          </a:ln>
        </c:spPr>
        <c:txPr>
          <a:bodyPr/>
          <a:lstStyle/>
          <a:p>
            <a:pPr>
              <a:defRPr sz="850">
                <a:solidFill>
                  <a:srgbClr val="52514E"/>
                </a:solidFill>
              </a:defRPr>
            </a:pPr>
            <a:endParaRPr lang="es-ES"/>
          </a:p>
        </c:txPr>
        <c:crossAx val="20"/>
        <c:crosses val="autoZero"/>
        <c:auto val="1"/>
        <c:lblAlgn val="ctr"/>
        <c:lblOffset val="100"/>
        <c:noMultiLvlLbl val="0"/>
      </c:catAx>
      <c:valAx>
        <c:axId val="20"/>
        <c:scaling>
          <c:orientation val="minMax"/>
        </c:scaling>
        <c:delete val="0"/>
        <c:axPos val="b"/>
        <c:majorGridlines>
          <c:spPr>
            <a:ln w="6350">
              <a:solidFill>
                <a:srgbClr val="E4E3DF"/>
              </a:solidFill>
            </a:ln>
          </c:spPr>
        </c:majorGridlines>
        <c:numFmt formatCode="0.0&quot;x&quot;" sourceLinked="0"/>
        <c:majorTickMark val="none"/>
        <c:minorTickMark val="none"/>
        <c:tickLblPos val="nextTo"/>
        <c:spPr>
          <a:ln>
            <a:noFill/>
          </a:ln>
        </c:spPr>
        <c:txPr>
          <a:bodyPr/>
          <a:lstStyle/>
          <a:p>
            <a:pPr>
              <a:defRPr sz="850">
                <a:solidFill>
                  <a:srgbClr val="52514E"/>
                </a:solidFill>
              </a:defRPr>
            </a:pPr>
            <a:endParaRPr lang="es-ES"/>
          </a:p>
        </c:txPr>
        <c:crossAx val="10"/>
        <c:crosses val="max"/>
        <c:crossBetween val="between"/>
      </c:valAx>
    </c:plotArea>
    <c:plotVisOnly val="1"/>
    <c:dispBlanksAs val="gap"/>
  </c:chart>
  <c:spPr>
    <a:noFill/>
    <a:ln>
      <a:noFill/>
    </a:ln>
  </c:spPr>
  <c:txPr>
    <a:bodyPr/>
    <a:lstStyle/>
    <a:p>
      <a:pPr>
        <a:defRPr sz="900">
          <a:solidFill>
            <a:srgbClr val="52514E"/>
          </a:solidFill>
        </a:defRPr>
      </a:pPr>
      <a:endParaRPr lang="es-ES"/>
    </a:p>
  </c:txPr>
  <c:externalData r:id="rId1">
    <c:autoUpdate val="0"/>
  </c:externalData>
</c:chartSpace>
</file>

<file path=word/charts/chart15.xml><?xml version="1.0" encoding="utf-8"?>
<c:chartSpace xmlns:c="http://schemas.openxmlformats.org/drawingml/2006/chart" xmlns:a="http://schemas.openxmlformats.org/drawingml/2006/main" xmlns:r="http://schemas.openxmlformats.org/officeDocument/2006/relationships">
  <c:date1904 val="0"/>
  <c:lang val="es-ES"/>
  <c:roundedCorners val="0"/>
  <c:chart>
    <c:title>
      <c:tx>
        <c:rich>
          <a:bodyPr/>
          <a:lstStyle/>
          <a:p>
            <a:pPr algn="l">
              <a:defRPr sz="1050" b="1">
                <a:solidFill>
                  <a:srgbClr val="1F2A3C"/>
                </a:solidFill>
              </a:defRPr>
            </a:pPr>
            <a:r>
              <a:rPr lang="es-ES" sz="1050" b="1">
                <a:solidFill>
                  <a:srgbClr val="1F2A3C"/>
                </a:solidFill>
              </a:rPr>
              <a:t>Crecimiento esperado frente a múltiplo</a:t>
            </a:r>
          </a:p>
        </c:rich>
      </c:tx>
      <c:overlay val="0"/>
    </c:title>
    <c:autoTitleDeleted val="0"/>
    <c:plotArea>
      <c:layout/>
      <c:scatterChart>
        <c:scatterStyle val="lineMarker"/>
        <c:varyColors val="0"/>
        <c:ser>
          <c:idx val="0"/>
          <c:order val="0"/>
          <c:tx>
            <c:strRef>
              <c:f>Hoja1!$A$2</c:f>
              <c:strCache>
                <c:ptCount val="1"/>
                <c:pt idx="0">
                  <c:v>Eli Lilly</c:v>
                </c:pt>
              </c:strCache>
            </c:strRef>
          </c:tx>
          <c:spPr>
            <a:ln w="19050">
              <a:noFill/>
            </a:ln>
          </c:spPr>
          <c:marker>
            <c:symbol val="circle"/>
            <c:size val="10"/>
            <c:spPr>
              <a:solidFill>
                <a:srgbClr val="2A78D6"/>
              </a:solidFill>
              <a:ln w="9525">
                <a:solidFill>
                  <a:srgbClr val="FFFFFF"/>
                </a:solidFill>
              </a:ln>
            </c:spPr>
          </c:marker>
          <c:dLbls>
            <c:spPr>
              <a:noFill/>
              <a:ln>
                <a:noFill/>
              </a:ln>
            </c:spPr>
            <c:txPr>
              <a:bodyPr/>
              <a:lstStyle/>
              <a:p>
                <a:pPr>
                  <a:defRPr sz="800">
                    <a:solidFill>
                      <a:srgbClr val="1F2A3C"/>
                    </a:solidFill>
                  </a:defRPr>
                </a:pPr>
                <a:endParaRPr lang="es-ES"/>
              </a:p>
            </c:txPr>
            <c:dLblPos val="r"/>
            <c:showLegendKey val="0"/>
            <c:showVal val="0"/>
            <c:showCatName val="0"/>
            <c:showSerName val="1"/>
            <c:showPercent val="0"/>
            <c:showBubbleSize val="0"/>
          </c:dLbls>
          <c:xVal>
            <c:numRef>
              <c:f>Hoja1!$B$2</c:f>
              <c:numCache>
                <c:formatCode>0"%"</c:formatCode>
                <c:ptCount val="1"/>
                <c:pt idx="0">
                  <c:v>24.4</c:v>
                </c:pt>
              </c:numCache>
            </c:numRef>
          </c:xVal>
          <c:yVal>
            <c:numRef>
              <c:f>Hoja1!$C$2</c:f>
              <c:numCache>
                <c:formatCode>0.0"x"</c:formatCode>
                <c:ptCount val="1"/>
                <c:pt idx="0">
                  <c:v>20.6</c:v>
                </c:pt>
              </c:numCache>
            </c:numRef>
          </c:yVal>
          <c:smooth val="0"/>
        </c:ser>
        <c:ser>
          <c:idx val="1"/>
          <c:order val="1"/>
          <c:tx>
            <c:strRef>
              <c:f>Hoja1!$A$3</c:f>
              <c:strCache>
                <c:ptCount val="1"/>
                <c:pt idx="0">
                  <c:v>AstraZeneca</c:v>
                </c:pt>
              </c:strCache>
            </c:strRef>
          </c:tx>
          <c:spPr>
            <a:ln w="19050">
              <a:noFill/>
            </a:ln>
          </c:spPr>
          <c:marker>
            <c:symbol val="circle"/>
            <c:size val="8"/>
            <c:spPr>
              <a:solidFill>
                <a:srgbClr val="8A8984"/>
              </a:solidFill>
              <a:ln w="9525">
                <a:solidFill>
                  <a:srgbClr val="FFFFFF"/>
                </a:solidFill>
              </a:ln>
            </c:spPr>
          </c:marker>
          <c:dLbls>
            <c:spPr>
              <a:noFill/>
              <a:ln>
                <a:noFill/>
              </a:ln>
            </c:spPr>
            <c:txPr>
              <a:bodyPr/>
              <a:lstStyle/>
              <a:p>
                <a:pPr>
                  <a:defRPr sz="800">
                    <a:solidFill>
                      <a:srgbClr val="52514E"/>
                    </a:solidFill>
                  </a:defRPr>
                </a:pPr>
                <a:endParaRPr lang="es-ES"/>
              </a:p>
            </c:txPr>
            <c:dLblPos val="r"/>
            <c:showLegendKey val="0"/>
            <c:showVal val="0"/>
            <c:showCatName val="0"/>
            <c:showSerName val="1"/>
            <c:showPercent val="0"/>
            <c:showBubbleSize val="0"/>
          </c:dLbls>
          <c:xVal>
            <c:numRef>
              <c:f>Hoja1!$B$3</c:f>
              <c:numCache>
                <c:formatCode>0"%"</c:formatCode>
                <c:ptCount val="1"/>
                <c:pt idx="0">
                  <c:v>7.8</c:v>
                </c:pt>
              </c:numCache>
            </c:numRef>
          </c:xVal>
          <c:yVal>
            <c:numRef>
              <c:f>Hoja1!$C$3</c:f>
              <c:numCache>
                <c:formatCode>0.0"x"</c:formatCode>
                <c:ptCount val="1"/>
                <c:pt idx="0">
                  <c:v>11.4</c:v>
                </c:pt>
              </c:numCache>
            </c:numRef>
          </c:yVal>
          <c:smooth val="0"/>
        </c:ser>
        <c:ser>
          <c:idx val="2"/>
          <c:order val="2"/>
          <c:tx>
            <c:strRef>
              <c:f>Hoja1!$A$4</c:f>
              <c:strCache>
                <c:ptCount val="1"/>
                <c:pt idx="0">
                  <c:v>Sanofi</c:v>
                </c:pt>
              </c:strCache>
            </c:strRef>
          </c:tx>
          <c:spPr>
            <a:ln w="19050">
              <a:noFill/>
            </a:ln>
          </c:spPr>
          <c:marker>
            <c:symbol val="circle"/>
            <c:size val="8"/>
            <c:spPr>
              <a:solidFill>
                <a:srgbClr val="8A8984"/>
              </a:solidFill>
              <a:ln w="9525">
                <a:solidFill>
                  <a:srgbClr val="FFFFFF"/>
                </a:solidFill>
              </a:ln>
            </c:spPr>
          </c:marker>
          <c:dLbls>
            <c:spPr>
              <a:noFill/>
              <a:ln>
                <a:noFill/>
              </a:ln>
            </c:spPr>
            <c:txPr>
              <a:bodyPr/>
              <a:lstStyle/>
              <a:p>
                <a:pPr>
                  <a:defRPr sz="800">
                    <a:solidFill>
                      <a:srgbClr val="52514E"/>
                    </a:solidFill>
                  </a:defRPr>
                </a:pPr>
                <a:endParaRPr lang="es-ES"/>
              </a:p>
            </c:txPr>
            <c:dLblPos val="r"/>
            <c:showLegendKey val="0"/>
            <c:showVal val="0"/>
            <c:showCatName val="0"/>
            <c:showSerName val="1"/>
            <c:showPercent val="0"/>
            <c:showBubbleSize val="0"/>
          </c:dLbls>
          <c:xVal>
            <c:numRef>
              <c:f>Hoja1!$B$4</c:f>
              <c:numCache>
                <c:formatCode>0"%"</c:formatCode>
                <c:ptCount val="1"/>
                <c:pt idx="0">
                  <c:v>0.2</c:v>
                </c:pt>
              </c:numCache>
            </c:numRef>
          </c:xVal>
          <c:yVal>
            <c:numRef>
              <c:f>Hoja1!$C$4</c:f>
              <c:numCache>
                <c:formatCode>0.0"x"</c:formatCode>
                <c:ptCount val="1"/>
                <c:pt idx="0">
                  <c:v>6.6</c:v>
                </c:pt>
              </c:numCache>
            </c:numRef>
          </c:yVal>
          <c:smooth val="0"/>
        </c:ser>
        <c:ser>
          <c:idx val="3"/>
          <c:order val="3"/>
          <c:tx>
            <c:strRef>
              <c:f>Hoja1!$A$5</c:f>
              <c:strCache>
                <c:ptCount val="1"/>
                <c:pt idx="0">
                  <c:v>Merck &amp; Co</c:v>
                </c:pt>
              </c:strCache>
            </c:strRef>
          </c:tx>
          <c:spPr>
            <a:ln w="19050">
              <a:noFill/>
            </a:ln>
          </c:spPr>
          <c:marker>
            <c:symbol val="circle"/>
            <c:size val="8"/>
            <c:spPr>
              <a:solidFill>
                <a:srgbClr val="8A8984"/>
              </a:solidFill>
              <a:ln w="9525">
                <a:solidFill>
                  <a:srgbClr val="FFFFFF"/>
                </a:solidFill>
              </a:ln>
            </c:spPr>
          </c:marker>
          <c:dLbls>
            <c:spPr>
              <a:noFill/>
              <a:ln>
                <a:noFill/>
              </a:ln>
            </c:spPr>
            <c:txPr>
              <a:bodyPr/>
              <a:lstStyle/>
              <a:p>
                <a:pPr>
                  <a:defRPr sz="800">
                    <a:solidFill>
                      <a:srgbClr val="52514E"/>
                    </a:solidFill>
                  </a:defRPr>
                </a:pPr>
                <a:endParaRPr lang="es-ES"/>
              </a:p>
            </c:txPr>
            <c:dLblPos val="r"/>
            <c:showLegendKey val="0"/>
            <c:showVal val="0"/>
            <c:showCatName val="0"/>
            <c:showSerName val="1"/>
            <c:showPercent val="0"/>
            <c:showBubbleSize val="0"/>
          </c:dLbls>
          <c:xVal>
            <c:numRef>
              <c:f>Hoja1!$B$5</c:f>
              <c:numCache>
                <c:formatCode>0"%"</c:formatCode>
                <c:ptCount val="1"/>
                <c:pt idx="0">
                  <c:v>4.3</c:v>
                </c:pt>
              </c:numCache>
            </c:numRef>
          </c:xVal>
          <c:yVal>
            <c:numRef>
              <c:f>Hoja1!$C$5</c:f>
              <c:numCache>
                <c:formatCode>0.0"x"</c:formatCode>
                <c:ptCount val="1"/>
                <c:pt idx="0">
                  <c:v>13.3</c:v>
                </c:pt>
              </c:numCache>
            </c:numRef>
          </c:yVal>
          <c:smooth val="0"/>
        </c:ser>
        <c:ser>
          <c:idx val="4"/>
          <c:order val="4"/>
          <c:tx>
            <c:strRef>
              <c:f>Hoja1!$A$6</c:f>
              <c:strCache>
                <c:ptCount val="1"/>
                <c:pt idx="0">
                  <c:v>GSK</c:v>
                </c:pt>
              </c:strCache>
            </c:strRef>
          </c:tx>
          <c:spPr>
            <a:ln w="19050">
              <a:noFill/>
            </a:ln>
          </c:spPr>
          <c:marker>
            <c:symbol val="circle"/>
            <c:size val="8"/>
            <c:spPr>
              <a:solidFill>
                <a:srgbClr val="8A8984"/>
              </a:solidFill>
              <a:ln w="9525">
                <a:solidFill>
                  <a:srgbClr val="FFFFFF"/>
                </a:solidFill>
              </a:ln>
            </c:spPr>
          </c:marker>
          <c:dLbls>
            <c:spPr>
              <a:noFill/>
              <a:ln>
                <a:noFill/>
              </a:ln>
            </c:spPr>
            <c:txPr>
              <a:bodyPr/>
              <a:lstStyle/>
              <a:p>
                <a:pPr>
                  <a:defRPr sz="800">
                    <a:solidFill>
                      <a:srgbClr val="52514E"/>
                    </a:solidFill>
                  </a:defRPr>
                </a:pPr>
                <a:endParaRPr lang="es-ES"/>
              </a:p>
            </c:txPr>
            <c:dLblPos val="r"/>
            <c:showLegendKey val="0"/>
            <c:showVal val="0"/>
            <c:showCatName val="0"/>
            <c:showSerName val="1"/>
            <c:showPercent val="0"/>
            <c:showBubbleSize val="0"/>
          </c:dLbls>
          <c:xVal>
            <c:numRef>
              <c:f>Hoja1!$B$6</c:f>
              <c:numCache>
                <c:formatCode>0"%"</c:formatCode>
                <c:ptCount val="1"/>
                <c:pt idx="0">
                  <c:v>5.4</c:v>
                </c:pt>
              </c:numCache>
            </c:numRef>
          </c:xVal>
          <c:yVal>
            <c:numRef>
              <c:f>Hoja1!$C$6</c:f>
              <c:numCache>
                <c:formatCode>0.0"x"</c:formatCode>
                <c:ptCount val="1"/>
                <c:pt idx="0">
                  <c:v>6.9</c:v>
                </c:pt>
              </c:numCache>
            </c:numRef>
          </c:yVal>
          <c:smooth val="0"/>
        </c:ser>
        <c:ser>
          <c:idx val="5"/>
          <c:order val="5"/>
          <c:tx>
            <c:strRef>
              <c:f>Hoja1!$A$7</c:f>
              <c:strCache>
                <c:ptCount val="1"/>
                <c:pt idx="0">
                  <c:v>Roche</c:v>
                </c:pt>
              </c:strCache>
            </c:strRef>
          </c:tx>
          <c:spPr>
            <a:ln w="19050">
              <a:noFill/>
            </a:ln>
          </c:spPr>
          <c:marker>
            <c:symbol val="circle"/>
            <c:size val="8"/>
            <c:spPr>
              <a:solidFill>
                <a:srgbClr val="8A8984"/>
              </a:solidFill>
              <a:ln w="9525">
                <a:solidFill>
                  <a:srgbClr val="FFFFFF"/>
                </a:solidFill>
              </a:ln>
            </c:spPr>
          </c:marker>
          <c:dLbls>
            <c:spPr>
              <a:noFill/>
              <a:ln>
                <a:noFill/>
              </a:ln>
            </c:spPr>
            <c:txPr>
              <a:bodyPr/>
              <a:lstStyle/>
              <a:p>
                <a:pPr>
                  <a:defRPr sz="800">
                    <a:solidFill>
                      <a:srgbClr val="52514E"/>
                    </a:solidFill>
                  </a:defRPr>
                </a:pPr>
                <a:endParaRPr lang="es-ES"/>
              </a:p>
            </c:txPr>
            <c:dLblPos val="r"/>
            <c:showLegendKey val="0"/>
            <c:showVal val="0"/>
            <c:showCatName val="0"/>
            <c:showSerName val="1"/>
            <c:showPercent val="0"/>
            <c:showBubbleSize val="0"/>
          </c:dLbls>
          <c:xVal>
            <c:numRef>
              <c:f>Hoja1!$B$7</c:f>
              <c:numCache>
                <c:formatCode>0"%"</c:formatCode>
                <c:ptCount val="1"/>
                <c:pt idx="0">
                  <c:v>1.6</c:v>
                </c:pt>
              </c:numCache>
            </c:numRef>
          </c:xVal>
          <c:yVal>
            <c:numRef>
              <c:f>Hoja1!$C$7</c:f>
              <c:numCache>
                <c:formatCode>0.0"x"</c:formatCode>
                <c:ptCount val="1"/>
                <c:pt idx="0">
                  <c:v>12.8</c:v>
                </c:pt>
              </c:numCache>
            </c:numRef>
          </c:yVal>
          <c:smooth val="0"/>
        </c:ser>
        <c:axId val="10"/>
        <c:axId val="20"/>
      </c:scatterChart>
      <c:valAx>
        <c:axId val="10"/>
        <c:scaling>
          <c:orientation val="minMax"/>
          <c:max val="40"/>
        </c:scaling>
        <c:delete val="0"/>
        <c:axPos val="b"/>
        <c:title>
          <c:tx>
            <c:rich>
              <a:bodyPr/>
              <a:lstStyle/>
              <a:p>
                <a:pPr>
                  <a:defRPr sz="850" b="0">
                    <a:solidFill>
                      <a:srgbClr val="52514E"/>
                    </a:solidFill>
                  </a:defRPr>
                </a:pPr>
                <a:r>
                  <a:rPr lang="es-ES" sz="850" b="0">
                    <a:solidFill>
                      <a:srgbClr val="52514E"/>
                    </a:solidFill>
                  </a:rPr>
                  <a:t>Crecimiento de ingresos próximos 12 meses (%)</a:t>
                </a:r>
              </a:p>
            </c:rich>
          </c:tx>
          <c:overlay val="0"/>
        </c:title>
        <c:numFmt formatCode="0&quot;%&quot;" sourceLinked="0"/>
        <c:majorTickMark val="none"/>
        <c:minorTickMark val="none"/>
        <c:tickLblPos val="low"/>
        <c:spPr>
          <a:ln w="9525">
            <a:solidFill>
              <a:srgbClr val="A3A29C"/>
            </a:solidFill>
          </a:ln>
        </c:spPr>
        <c:txPr>
          <a:bodyPr/>
          <a:lstStyle/>
          <a:p>
            <a:pPr>
              <a:defRPr sz="850">
                <a:solidFill>
                  <a:srgbClr val="52514E"/>
                </a:solidFill>
              </a:defRPr>
            </a:pPr>
            <a:endParaRPr lang="es-ES"/>
          </a:p>
        </c:txPr>
        <c:crossAx val="20"/>
        <c:crosses val="autoZero"/>
        <c:crossBetween val="midCat"/>
      </c:valAx>
      <c:valAx>
        <c:axId val="20"/>
        <c:scaling>
          <c:orientation val="minMax"/>
        </c:scaling>
        <c:delete val="0"/>
        <c:axPos val="l"/>
        <c:majorGridlines>
          <c:spPr>
            <a:ln w="6350">
              <a:solidFill>
                <a:srgbClr val="E4E3DF"/>
              </a:solidFill>
            </a:ln>
          </c:spPr>
        </c:majorGridlines>
        <c:title>
          <c:tx>
            <c:rich>
              <a:bodyPr rot="-5400000" vert="horz"/>
              <a:lstStyle/>
              <a:p>
                <a:pPr>
                  <a:defRPr sz="850" b="0">
                    <a:solidFill>
                      <a:srgbClr val="52514E"/>
                    </a:solidFill>
                  </a:defRPr>
                </a:pPr>
                <a:r>
                  <a:rPr lang="es-ES" sz="850" b="0">
                    <a:solidFill>
                      <a:srgbClr val="52514E"/>
                    </a:solidFill>
                  </a:rPr>
                  <a:t>EV/EBITDA NTM (x)</a:t>
                </a:r>
              </a:p>
            </c:rich>
          </c:tx>
          <c:overlay val="0"/>
        </c:title>
        <c:numFmt formatCode="0.0&quot;x&quot;" sourceLinked="0"/>
        <c:majorTickMark val="none"/>
        <c:minorTickMark val="none"/>
        <c:tickLblPos val="low"/>
        <c:spPr>
          <a:ln>
            <a:noFill/>
          </a:ln>
        </c:spPr>
        <c:txPr>
          <a:bodyPr/>
          <a:lstStyle/>
          <a:p>
            <a:pPr>
              <a:defRPr sz="850">
                <a:solidFill>
                  <a:srgbClr val="52514E"/>
                </a:solidFill>
              </a:defRPr>
            </a:pPr>
            <a:endParaRPr lang="es-ES"/>
          </a:p>
        </c:txPr>
        <c:crossAx val="10"/>
        <c:crosses val="autoZero"/>
        <c:crossBetween val="midCat"/>
      </c:valAx>
    </c:plotArea>
    <c:plotVisOnly val="1"/>
    <c:dispBlanksAs val="gap"/>
  </c:chart>
  <c:spPr>
    <a:noFill/>
    <a:ln>
      <a:noFill/>
    </a:ln>
  </c:spPr>
  <c:txPr>
    <a:bodyPr/>
    <a:lstStyle/>
    <a:p>
      <a:pPr>
        <a:defRPr sz="900">
          <a:solidFill>
            <a:srgbClr val="52514E"/>
          </a:solidFill>
        </a:defRPr>
      </a:pPr>
      <a:endParaRPr lang="es-ES"/>
    </a:p>
  </c:txPr>
  <c:externalData r:id="rId1">
    <c:autoUpdate val="0"/>
  </c:externalData>
</c:chartSpace>
</file>

<file path=word/charts/chart16.xml><?xml version="1.0" encoding="utf-8"?>
<c:chartSpace xmlns:c="http://schemas.openxmlformats.org/drawingml/2006/chart" xmlns:a="http://schemas.openxmlformats.org/drawingml/2006/main" xmlns:r="http://schemas.openxmlformats.org/officeDocument/2006/relationships">
  <c:date1904 val="0"/>
  <c:lang val="es-ES"/>
  <c:roundedCorners val="0"/>
  <c:chart>
    <c:title>
      <c:tx>
        <c:rich>
          <a:bodyPr/>
          <a:lstStyle/>
          <a:p>
            <a:pPr algn="l">
              <a:defRPr sz="1050" b="1">
                <a:solidFill>
                  <a:srgbClr val="1F2A3C"/>
                </a:solidFill>
              </a:defRPr>
            </a:pPr>
            <a:r>
              <a:rPr lang="es-ES" sz="1050" b="1">
                <a:solidFill>
                  <a:srgbClr val="1F2A3C"/>
                </a:solidFill>
              </a:rPr>
              <a:t>Flujo de caja libre para la empresa proyectado (USD, millones)</a:t>
            </a:r>
          </a:p>
        </c:rich>
      </c:tx>
      <c:overlay val="0"/>
    </c:title>
    <c:autoTitleDeleted val="0"/>
    <c:plotArea>
      <c:layout/>
      <c:barChart>
        <c:barDir val="col"/>
        <c:grouping val="clustered"/>
        <c:varyColors val="0"/>
        <c:ser>
          <c:idx val="0"/>
          <c:order val="0"/>
          <c:tx>
            <c:strRef>
              <c:f>Hoja1!$B$1</c:f>
              <c:strCache>
                <c:ptCount val="1"/>
                <c:pt idx="0">
                  <c:v>FCFF</c:v>
                </c:pt>
              </c:strCache>
            </c:strRef>
          </c:tx>
          <c:spPr>
            <a:solidFill>
              <a:srgbClr val="2A78D6"/>
            </a:solidFill>
            <a:ln w="9525">
              <a:noFill/>
            </a:ln>
          </c:spPr>
          <c:invertIfNegative val="0"/>
          <c:dLbls>
            <c:numFmt formatCode="#,##0" sourceLinked="0"/>
            <c:spPr>
              <a:noFill/>
              <a:ln>
                <a:noFill/>
              </a:ln>
            </c:spPr>
            <c:txPr>
              <a:bodyPr/>
              <a:lstStyle/>
              <a:p>
                <a:pPr>
                  <a:defRPr sz="800">
                    <a:solidFill>
                      <a:srgbClr val="52514E"/>
                    </a:solidFill>
                  </a:defRPr>
                </a:pPr>
                <a:endParaRPr lang="es-ES"/>
              </a:p>
            </c:txPr>
            <c:dLblPos val="outEnd"/>
            <c:showLegendKey val="0"/>
            <c:showVal val="1"/>
            <c:showCatName val="0"/>
            <c:showSerName val="0"/>
            <c:showPercent val="0"/>
            <c:showBubbleSize val="0"/>
          </c:dLbls>
          <c:cat>
            <c:strRef>
              <c:f>Hoja1!$A$2:$A$11</c:f>
              <c:strCache>
                <c:ptCount val="10"/>
                <c:pt idx="0">
                  <c:v>2026e</c:v>
                </c:pt>
                <c:pt idx="1">
                  <c:v>2027e</c:v>
                </c:pt>
                <c:pt idx="2">
                  <c:v>2028e</c:v>
                </c:pt>
                <c:pt idx="3">
                  <c:v>2029e</c:v>
                </c:pt>
                <c:pt idx="4">
                  <c:v>2030e</c:v>
                </c:pt>
                <c:pt idx="5">
                  <c:v>2031e</c:v>
                </c:pt>
                <c:pt idx="6">
                  <c:v>2032e</c:v>
                </c:pt>
                <c:pt idx="7">
                  <c:v>2033e</c:v>
                </c:pt>
                <c:pt idx="8">
                  <c:v>2034e</c:v>
                </c:pt>
                <c:pt idx="9">
                  <c:v>2035e</c:v>
                </c:pt>
              </c:strCache>
            </c:strRef>
          </c:cat>
          <c:val>
            <c:numRef>
              <c:f>Hoja1!$B$2:$B$11</c:f>
              <c:numCache>
                <c:formatCode>#,##0</c:formatCode>
                <c:ptCount val="10"/>
                <c:pt idx="0">
                  <c:v>13903</c:v>
                </c:pt>
                <c:pt idx="1">
                  <c:v>14951</c:v>
                </c:pt>
                <c:pt idx="2">
                  <c:v>16318</c:v>
                </c:pt>
                <c:pt idx="3">
                  <c:v>17468</c:v>
                </c:pt>
                <c:pt idx="4">
                  <c:v>18305</c:v>
                </c:pt>
                <c:pt idx="5">
                  <c:v>18244</c:v>
                </c:pt>
                <c:pt idx="6">
                  <c:v>17222</c:v>
                </c:pt>
                <c:pt idx="7">
                  <c:v>16765</c:v>
                </c:pt>
                <c:pt idx="8">
                  <c:v>16991</c:v>
                </c:pt>
                <c:pt idx="9">
                  <c:v>17331</c:v>
                </c:pt>
              </c:numCache>
            </c:numRef>
          </c:val>
        </c:ser>
        <c:gapWidth val="70"/>
        <c:overlap val="-10"/>
        <c:axId val="10"/>
        <c:axId val="20"/>
      </c:barChart>
      <c:catAx>
        <c:axId val="10"/>
        <c:scaling>
          <c:orientation val="minMax"/>
        </c:scaling>
        <c:delete val="0"/>
        <c:axPos val="b"/>
        <c:numFmt formatCode="General" sourceLinked="0"/>
        <c:majorTickMark val="none"/>
        <c:minorTickMark val="none"/>
        <c:tickLblPos val="low"/>
        <c:spPr>
          <a:ln w="9525">
            <a:solidFill>
              <a:srgbClr val="A3A29C"/>
            </a:solidFill>
          </a:ln>
        </c:spPr>
        <c:txPr>
          <a:bodyPr/>
          <a:lstStyle/>
          <a:p>
            <a:pPr>
              <a:defRPr sz="850">
                <a:solidFill>
                  <a:srgbClr val="52514E"/>
                </a:solidFill>
              </a:defRPr>
            </a:pPr>
            <a:endParaRPr lang="es-ES"/>
          </a:p>
        </c:txPr>
        <c:crossAx val="20"/>
        <c:crosses val="autoZero"/>
        <c:auto val="1"/>
        <c:lblAlgn val="ctr"/>
        <c:lblOffset val="100"/>
        <c:noMultiLvlLbl val="0"/>
      </c:catAx>
      <c:valAx>
        <c:axId val="20"/>
        <c:scaling>
          <c:orientation val="minMax"/>
        </c:scaling>
        <c:delete val="0"/>
        <c:axPos val="l"/>
        <c:majorGridlines>
          <c:spPr>
            <a:ln w="6350">
              <a:solidFill>
                <a:srgbClr val="E4E3DF"/>
              </a:solidFill>
            </a:ln>
          </c:spPr>
        </c:majorGridlines>
        <c:numFmt formatCode="#,##0" sourceLinked="0"/>
        <c:majorTickMark val="none"/>
        <c:minorTickMark val="none"/>
        <c:tickLblPos val="nextTo"/>
        <c:spPr>
          <a:ln>
            <a:noFill/>
          </a:ln>
        </c:spPr>
        <c:txPr>
          <a:bodyPr/>
          <a:lstStyle/>
          <a:p>
            <a:pPr>
              <a:defRPr sz="850">
                <a:solidFill>
                  <a:srgbClr val="52514E"/>
                </a:solidFill>
              </a:defRPr>
            </a:pPr>
            <a:endParaRPr lang="es-ES"/>
          </a:p>
        </c:txPr>
        <c:crossAx val="10"/>
        <c:crosses val="autoZero"/>
        <c:crossBetween val="between"/>
      </c:valAx>
    </c:plotArea>
    <c:plotVisOnly val="1"/>
    <c:dispBlanksAs val="gap"/>
  </c:chart>
  <c:spPr>
    <a:noFill/>
    <a:ln>
      <a:noFill/>
    </a:ln>
  </c:spPr>
  <c:txPr>
    <a:bodyPr/>
    <a:lstStyle/>
    <a:p>
      <a:pPr>
        <a:defRPr sz="900">
          <a:solidFill>
            <a:srgbClr val="52514E"/>
          </a:solidFill>
        </a:defRPr>
      </a:pPr>
      <a:endParaRPr lang="es-ES"/>
    </a:p>
  </c:txPr>
  <c:externalData r:id="rId1">
    <c:autoUpdate val="0"/>
  </c:externalData>
</c:chartSpace>
</file>

<file path=word/charts/chart17.xml><?xml version="1.0" encoding="utf-8"?>
<c:chartSpace xmlns:c="http://schemas.openxmlformats.org/drawingml/2006/chart" xmlns:a="http://schemas.openxmlformats.org/drawingml/2006/main" xmlns:r="http://schemas.openxmlformats.org/officeDocument/2006/relationships">
  <c:date1904 val="0"/>
  <c:lang val="es-ES"/>
  <c:roundedCorners val="0"/>
  <c:chart>
    <c:title>
      <c:tx>
        <c:rich>
          <a:bodyPr/>
          <a:lstStyle/>
          <a:p>
            <a:pPr algn="l">
              <a:defRPr sz="1050" b="1">
                <a:solidFill>
                  <a:srgbClr val="1F2A3C"/>
                </a:solidFill>
              </a:defRPr>
            </a:pPr>
            <a:r>
              <a:rPr lang="es-ES" sz="1050" b="1">
                <a:solidFill>
                  <a:srgbClr val="1F2A3C"/>
                </a:solidFill>
              </a:rPr>
              <a:t>De dónde sale el valor empresa del DCF (USD, millones)</a:t>
            </a:r>
          </a:p>
        </c:rich>
      </c:tx>
      <c:overlay val="0"/>
    </c:title>
    <c:autoTitleDeleted val="0"/>
    <c:plotArea>
      <c:layout/>
      <c:doughnutChart>
        <c:varyColors val="1"/>
        <c:ser>
          <c:idx val="0"/>
          <c:order val="0"/>
          <c:tx>
            <c:strRef>
              <c:f>Hoja1!$B$1</c:f>
              <c:strCache>
                <c:ptCount val="1"/>
                <c:pt idx="0">
                  <c:v>Valor actual</c:v>
                </c:pt>
              </c:strCache>
            </c:strRef>
          </c:tx>
          <c:dPt>
            <c:idx val="0"/>
            <c:bubble3D val="0"/>
            <c:spPr>
              <a:solidFill>
                <a:srgbClr val="2A78D6"/>
              </a:solidFill>
              <a:ln w="19050">
                <a:solidFill>
                  <a:srgbClr val="FFFFFF"/>
                </a:solidFill>
              </a:ln>
            </c:spPr>
          </c:dPt>
          <c:dPt>
            <c:idx val="1"/>
            <c:bubble3D val="0"/>
            <c:spPr>
              <a:solidFill>
                <a:srgbClr val="EB6834"/>
              </a:solidFill>
              <a:ln w="19050">
                <a:solidFill>
                  <a:srgbClr val="FFFFFF"/>
                </a:solidFill>
              </a:ln>
            </c:spPr>
          </c:dPt>
          <c:dLbls>
            <c:numFmt formatCode="#,##0" sourceLinked="0"/>
            <c:spPr>
              <a:noFill/>
              <a:ln>
                <a:noFill/>
              </a:ln>
            </c:spPr>
            <c:txPr>
              <a:bodyPr/>
              <a:lstStyle/>
              <a:p>
                <a:pPr>
                  <a:defRPr sz="800">
                    <a:solidFill>
                      <a:srgbClr val="1F2A3C"/>
                    </a:solidFill>
                  </a:defRPr>
                </a:pPr>
                <a:endParaRPr lang="es-ES"/>
              </a:p>
            </c:txPr>
            <c:showLegendKey val="0"/>
            <c:showVal val="1"/>
            <c:showCatName val="0"/>
            <c:showSerName val="0"/>
            <c:showPercent val="0"/>
            <c:showBubbleSize val="0"/>
            <c:showLeaderLines val="1"/>
          </c:dLbls>
          <c:cat>
            <c:strRef>
              <c:f>Hoja1!$A$2:$A$3</c:f>
              <c:strCache>
                <c:ptCount val="2"/>
                <c:pt idx="0">
                  <c:v>Flujos proyectados</c:v>
                </c:pt>
                <c:pt idx="1">
                  <c:v>Valor terminal</c:v>
                </c:pt>
              </c:strCache>
            </c:strRef>
          </c:cat>
          <c:val>
            <c:numRef>
              <c:f>Hoja1!$B$2:$B$3</c:f>
              <c:numCache>
                <c:formatCode>#,##0</c:formatCode>
                <c:ptCount val="2"/>
                <c:pt idx="0">
                  <c:v>110705</c:v>
                </c:pt>
                <c:pt idx="1">
                  <c:v>140003</c:v>
                </c:pt>
              </c:numCache>
            </c:numRef>
          </c:val>
        </c:ser>
        <c:firstSliceAng val="0"/>
        <c:holeSize val="55"/>
      </c:doughnutChart>
    </c:plotArea>
    <c:legend>
      <c:legendPos val="r"/>
      <c:overlay val="0"/>
      <c:txPr>
        <a:bodyPr/>
        <a:lstStyle/>
        <a:p>
          <a:pPr>
            <a:defRPr sz="850">
              <a:solidFill>
                <a:srgbClr val="52514E"/>
              </a:solidFill>
            </a:defRPr>
          </a:pPr>
          <a:endParaRPr lang="es-ES"/>
        </a:p>
      </c:txPr>
    </c:legend>
    <c:plotVisOnly val="1"/>
    <c:dispBlanksAs val="gap"/>
  </c:chart>
  <c:spPr>
    <a:noFill/>
    <a:ln>
      <a:noFill/>
    </a:ln>
  </c:spPr>
  <c:txPr>
    <a:bodyPr/>
    <a:lstStyle/>
    <a:p>
      <a:pPr>
        <a:defRPr sz="900">
          <a:solidFill>
            <a:srgbClr val="52514E"/>
          </a:solidFill>
        </a:defRPr>
      </a:pPr>
      <a:endParaRPr lang="es-ES"/>
    </a:p>
  </c:txPr>
  <c:externalData r:id="rId1">
    <c:autoUpdate val="0"/>
  </c:externalData>
</c:chartSpace>
</file>

<file path=word/charts/chart18.xml><?xml version="1.0" encoding="utf-8"?>
<c:chartSpace xmlns:c="http://schemas.openxmlformats.org/drawingml/2006/chart" xmlns:a="http://schemas.openxmlformats.org/drawingml/2006/main" xmlns:r="http://schemas.openxmlformats.org/officeDocument/2006/relationships">
  <c:date1904 val="0"/>
  <c:lang val="es-ES"/>
  <c:roundedCorners val="0"/>
  <c:chart>
    <c:title>
      <c:tx>
        <c:rich>
          <a:bodyPr/>
          <a:lstStyle/>
          <a:p>
            <a:pPr algn="l">
              <a:defRPr sz="1050" b="1">
                <a:solidFill>
                  <a:srgbClr val="1F2A3C"/>
                </a:solidFill>
              </a:defRPr>
            </a:pPr>
            <a:r>
              <a:rPr lang="es-ES" sz="1050" b="1">
                <a:solidFill>
                  <a:srgbClr val="1F2A3C"/>
                </a:solidFill>
              </a:rPr>
              <a:t>Valor por acción por escenario (USD) · precio actual 140,93</a:t>
            </a:r>
          </a:p>
        </c:rich>
      </c:tx>
      <c:overlay val="0"/>
    </c:title>
    <c:autoTitleDeleted val="0"/>
    <c:plotArea>
      <c:layout/>
      <c:barChart>
        <c:barDir val="col"/>
        <c:grouping val="clustered"/>
        <c:varyColors val="0"/>
        <c:ser>
          <c:idx val="0"/>
          <c:order val="0"/>
          <c:tx>
            <c:strRef>
              <c:f>Hoja1!$B$1</c:f>
              <c:strCache>
                <c:ptCount val="1"/>
                <c:pt idx="0">
                  <c:v>Valor por acción</c:v>
                </c:pt>
              </c:strCache>
            </c:strRef>
          </c:tx>
          <c:spPr>
            <a:solidFill>
              <a:srgbClr val="2A78D6"/>
            </a:solidFill>
            <a:ln w="9525">
              <a:noFill/>
            </a:ln>
          </c:spPr>
          <c:invertIfNegative val="0"/>
          <c:dLbls>
            <c:numFmt formatCode="#,##0.00" sourceLinked="0"/>
            <c:spPr>
              <a:noFill/>
              <a:ln>
                <a:noFill/>
              </a:ln>
            </c:spPr>
            <c:txPr>
              <a:bodyPr/>
              <a:lstStyle/>
              <a:p>
                <a:pPr>
                  <a:defRPr sz="800">
                    <a:solidFill>
                      <a:srgbClr val="52514E"/>
                    </a:solidFill>
                  </a:defRPr>
                </a:pPr>
                <a:endParaRPr lang="es-ES"/>
              </a:p>
            </c:txPr>
            <c:dLblPos val="outEnd"/>
            <c:showLegendKey val="0"/>
            <c:showVal val="1"/>
            <c:showCatName val="0"/>
            <c:showSerName val="0"/>
            <c:showPercent val="0"/>
            <c:showBubbleSize val="0"/>
          </c:dLbls>
          <c:cat>
            <c:strRef>
              <c:f>Hoja1!$A$2:$A$4</c:f>
              <c:strCache>
                <c:ptCount val="3"/>
                <c:pt idx="0">
                  <c:v>Bajista</c:v>
                </c:pt>
                <c:pt idx="1">
                  <c:v>Base</c:v>
                </c:pt>
                <c:pt idx="2">
                  <c:v>Alcista</c:v>
                </c:pt>
              </c:strCache>
            </c:strRef>
          </c:cat>
          <c:val>
            <c:numRef>
              <c:f>Hoja1!$B$2:$B$4</c:f>
              <c:numCache>
                <c:formatCode>#,##0.00</c:formatCode>
                <c:ptCount val="3"/>
                <c:pt idx="0">
                  <c:v>82.32</c:v>
                </c:pt>
                <c:pt idx="1">
                  <c:v>109.83</c:v>
                </c:pt>
                <c:pt idx="2">
                  <c:v>127.51</c:v>
                </c:pt>
              </c:numCache>
            </c:numRef>
          </c:val>
        </c:ser>
        <c:gapWidth val="70"/>
        <c:overlap val="-10"/>
        <c:axId val="10"/>
        <c:axId val="20"/>
      </c:barChart>
      <c:catAx>
        <c:axId val="10"/>
        <c:scaling>
          <c:orientation val="minMax"/>
        </c:scaling>
        <c:delete val="0"/>
        <c:axPos val="b"/>
        <c:numFmt formatCode="General" sourceLinked="0"/>
        <c:majorTickMark val="none"/>
        <c:minorTickMark val="none"/>
        <c:tickLblPos val="low"/>
        <c:spPr>
          <a:ln w="9525">
            <a:solidFill>
              <a:srgbClr val="A3A29C"/>
            </a:solidFill>
          </a:ln>
        </c:spPr>
        <c:txPr>
          <a:bodyPr/>
          <a:lstStyle/>
          <a:p>
            <a:pPr>
              <a:defRPr sz="850">
                <a:solidFill>
                  <a:srgbClr val="52514E"/>
                </a:solidFill>
              </a:defRPr>
            </a:pPr>
            <a:endParaRPr lang="es-ES"/>
          </a:p>
        </c:txPr>
        <c:crossAx val="20"/>
        <c:crosses val="autoZero"/>
        <c:auto val="1"/>
        <c:lblAlgn val="ctr"/>
        <c:lblOffset val="100"/>
        <c:noMultiLvlLbl val="0"/>
      </c:catAx>
      <c:valAx>
        <c:axId val="20"/>
        <c:scaling>
          <c:orientation val="minMax"/>
        </c:scaling>
        <c:delete val="0"/>
        <c:axPos val="l"/>
        <c:majorGridlines>
          <c:spPr>
            <a:ln w="6350">
              <a:solidFill>
                <a:srgbClr val="E4E3DF"/>
              </a:solidFill>
            </a:ln>
          </c:spPr>
        </c:majorGridlines>
        <c:numFmt formatCode="#,##0.00" sourceLinked="0"/>
        <c:majorTickMark val="none"/>
        <c:minorTickMark val="none"/>
        <c:tickLblPos val="nextTo"/>
        <c:spPr>
          <a:ln>
            <a:noFill/>
          </a:ln>
        </c:spPr>
        <c:txPr>
          <a:bodyPr/>
          <a:lstStyle/>
          <a:p>
            <a:pPr>
              <a:defRPr sz="850">
                <a:solidFill>
                  <a:srgbClr val="52514E"/>
                </a:solidFill>
              </a:defRPr>
            </a:pPr>
            <a:endParaRPr lang="es-ES"/>
          </a:p>
        </c:txPr>
        <c:crossAx val="10"/>
        <c:crosses val="autoZero"/>
        <c:crossBetween val="between"/>
      </c:valAx>
    </c:plotArea>
    <c:plotVisOnly val="1"/>
    <c:dispBlanksAs val="gap"/>
  </c:chart>
  <c:spPr>
    <a:noFill/>
    <a:ln>
      <a:noFill/>
    </a:ln>
  </c:spPr>
  <c:txPr>
    <a:bodyPr/>
    <a:lstStyle/>
    <a:p>
      <a:pPr>
        <a:defRPr sz="900">
          <a:solidFill>
            <a:srgbClr val="52514E"/>
          </a:solidFill>
        </a:defRPr>
      </a:pPr>
      <a:endParaRPr lang="es-ES"/>
    </a:p>
  </c:txPr>
  <c:externalData r:id="rId1">
    <c:autoUpdate val="0"/>
  </c:externalData>
</c:chartSpace>
</file>

<file path=word/charts/chart19.xml><?xml version="1.0" encoding="utf-8"?>
<c:chartSpace xmlns:c="http://schemas.openxmlformats.org/drawingml/2006/chart" xmlns:a="http://schemas.openxmlformats.org/drawingml/2006/main" xmlns:r="http://schemas.openxmlformats.org/officeDocument/2006/relationships">
  <c:date1904 val="0"/>
  <c:lang val="es-ES"/>
  <c:roundedCorners val="0"/>
  <c:chart>
    <c:title>
      <c:tx>
        <c:rich>
          <a:bodyPr/>
          <a:lstStyle/>
          <a:p>
            <a:pPr algn="l">
              <a:defRPr sz="1050" b="1">
                <a:solidFill>
                  <a:srgbClr val="1F2A3C"/>
                </a:solidFill>
              </a:defRPr>
            </a:pPr>
            <a:r>
              <a:rPr lang="es-ES" sz="1050" b="1">
                <a:solidFill>
                  <a:srgbClr val="1F2A3C"/>
                </a:solidFill>
              </a:rPr>
              <a:t>Valor por acción según cada método (USD) · precio actual 140,93</a:t>
            </a:r>
          </a:p>
        </c:rich>
      </c:tx>
      <c:overlay val="0"/>
    </c:title>
    <c:autoTitleDeleted val="0"/>
    <c:plotArea>
      <c:layout/>
      <c:barChart>
        <c:barDir val="bar"/>
        <c:grouping val="stacked"/>
        <c:varyColors val="0"/>
        <c:ser>
          <c:idx val="0"/>
          <c:order val="0"/>
          <c:tx>
            <c:strRef>
              <c:f>Hoja1!$B$1</c:f>
              <c:strCache>
                <c:ptCount val="1"/>
                <c:pt idx="0">
                  <c:v>Desde</c:v>
                </c:pt>
              </c:strCache>
            </c:strRef>
          </c:tx>
          <c:spPr>
            <a:noFill/>
            <a:ln>
              <a:noFill/>
            </a:ln>
          </c:spPr>
          <c:invertIfNegative val="0"/>
          <c:cat>
            <c:strRef>
              <c:f>Hoja1!$A$2:$A$7</c:f>
              <c:strCache>
                <c:ptCount val="6"/>
                <c:pt idx="0">
                  <c:v>Precio objetivo de los analistas (95,95 – 150,69)</c:v>
                </c:pt>
                <c:pt idx="1">
                  <c:v>Comparables: PER NTM (102,26 – 171,30)</c:v>
                </c:pt>
                <c:pt idx="2">
                  <c:v>DCF (WACC y g ± 0,5) (95,65 – 129,36)</c:v>
                </c:pt>
                <c:pt idx="3">
                  <c:v>Escenarios (bajista – alcista) (82,32 – 127,51)</c:v>
                </c:pt>
                <c:pt idx="4">
                  <c:v>DCF con la prima implícita del mercado (4,2 %)</c:v>
                </c:pt>
                <c:pt idx="5">
                  <c:v>Precio actual (140,93)</c:v>
                </c:pt>
              </c:strCache>
            </c:strRef>
          </c:cat>
          <c:val>
            <c:numRef>
              <c:f>Hoja1!$B$2:$B$7</c:f>
              <c:numCache>
                <c:formatCode>#,##0</c:formatCode>
                <c:ptCount val="6"/>
                <c:pt idx="0">
                  <c:v>95.95</c:v>
                </c:pt>
                <c:pt idx="1">
                  <c:v>102.26</c:v>
                </c:pt>
                <c:pt idx="2">
                  <c:v>95.65</c:v>
                </c:pt>
                <c:pt idx="3">
                  <c:v>82.32</c:v>
                </c:pt>
                <c:pt idx="4">
                  <c:v>114.79</c:v>
                </c:pt>
                <c:pt idx="5">
                  <c:v>140.23</c:v>
                </c:pt>
              </c:numCache>
            </c:numRef>
          </c:val>
        </c:ser>
        <c:ser>
          <c:idx val="1"/>
          <c:order val="1"/>
          <c:tx>
            <c:strRef>
              <c:f>Hoja1!$C$1</c:f>
              <c:strCache>
                <c:ptCount val="1"/>
                <c:pt idx="0">
                  <c:v>Rango</c:v>
                </c:pt>
              </c:strCache>
            </c:strRef>
          </c:tx>
          <c:spPr>
            <a:solidFill>
              <a:srgbClr val="2A78D6"/>
            </a:solidFill>
            <a:ln w="12700">
              <a:noFill/>
            </a:ln>
          </c:spPr>
          <c:invertIfNegative val="0"/>
          <c:dPt>
            <c:idx val="0"/>
            <c:invertIfNegative val="0"/>
            <c:bubble3D val="0"/>
            <c:spPr>
              <a:solidFill>
                <a:srgbClr val="C9C8C2"/>
              </a:solidFill>
            </c:spPr>
          </c:dPt>
          <c:dPt>
            <c:idx val="5"/>
            <c:invertIfNegative val="0"/>
            <c:bubble3D val="0"/>
            <c:spPr>
              <a:solidFill>
                <a:srgbClr val="C9C8C2"/>
              </a:solidFill>
            </c:spPr>
          </c:dPt>
          <c:cat>
            <c:strRef>
              <c:f>Hoja1!$A$2:$A$7</c:f>
              <c:strCache>
                <c:ptCount val="6"/>
                <c:pt idx="0">
                  <c:v>Precio objetivo de los analistas (95,95 – 150,69)</c:v>
                </c:pt>
                <c:pt idx="1">
                  <c:v>Comparables: PER NTM (102,26 – 171,30)</c:v>
                </c:pt>
                <c:pt idx="2">
                  <c:v>DCF (WACC y g ± 0,5) (95,65 – 129,36)</c:v>
                </c:pt>
                <c:pt idx="3">
                  <c:v>Escenarios (bajista – alcista) (82,32 – 127,51)</c:v>
                </c:pt>
                <c:pt idx="4">
                  <c:v>DCF con la prima implícita del mercado (4,2 %)</c:v>
                </c:pt>
                <c:pt idx="5">
                  <c:v>Precio actual (140,93)</c:v>
                </c:pt>
              </c:strCache>
            </c:strRef>
          </c:cat>
          <c:val>
            <c:numRef>
              <c:f>Hoja1!$C$2:$C$7</c:f>
              <c:numCache>
                <c:formatCode>#,##0</c:formatCode>
                <c:ptCount val="6"/>
                <c:pt idx="0">
                  <c:v>54.739999999999995</c:v>
                </c:pt>
                <c:pt idx="1">
                  <c:v>69.04</c:v>
                </c:pt>
                <c:pt idx="2">
                  <c:v>33.71000000000001</c:v>
                </c:pt>
                <c:pt idx="3">
                  <c:v>45.19000000000001</c:v>
                </c:pt>
                <c:pt idx="4">
                  <c:v>26.39999999999999</c:v>
                </c:pt>
                <c:pt idx="5">
                  <c:v>1.4000000000000057</c:v>
                </c:pt>
              </c:numCache>
            </c:numRef>
          </c:val>
        </c:ser>
        <c:gapWidth val="60"/>
        <c:overlap val="100"/>
        <c:axId val="10"/>
        <c:axId val="20"/>
      </c:barChart>
      <c:catAx>
        <c:axId val="10"/>
        <c:scaling>
          <c:orientation val="maxMin"/>
        </c:scaling>
        <c:delete val="0"/>
        <c:axPos val="l"/>
        <c:numFmt formatCode="General" sourceLinked="0"/>
        <c:majorTickMark val="none"/>
        <c:minorTickMark val="none"/>
        <c:tickLblPos val="low"/>
        <c:spPr>
          <a:ln w="9525">
            <a:solidFill>
              <a:srgbClr val="A3A29C"/>
            </a:solidFill>
          </a:ln>
        </c:spPr>
        <c:txPr>
          <a:bodyPr/>
          <a:lstStyle/>
          <a:p>
            <a:pPr>
              <a:defRPr sz="850">
                <a:solidFill>
                  <a:srgbClr val="52514E"/>
                </a:solidFill>
              </a:defRPr>
            </a:pPr>
            <a:endParaRPr lang="es-ES"/>
          </a:p>
        </c:txPr>
        <c:crossAx val="20"/>
        <c:crosses val="autoZero"/>
        <c:auto val="1"/>
        <c:lblAlgn val="ctr"/>
        <c:lblOffset val="100"/>
        <c:noMultiLvlLbl val="0"/>
      </c:catAx>
      <c:valAx>
        <c:axId val="20"/>
        <c:scaling>
          <c:orientation val="minMax"/>
          <c:min val="70"/>
        </c:scaling>
        <c:delete val="0"/>
        <c:axPos val="b"/>
        <c:majorGridlines>
          <c:spPr>
            <a:ln w="6350">
              <a:solidFill>
                <a:srgbClr val="E4E3DF"/>
              </a:solidFill>
            </a:ln>
          </c:spPr>
        </c:majorGridlines>
        <c:numFmt formatCode="#,##0" sourceLinked="0"/>
        <c:majorTickMark val="none"/>
        <c:minorTickMark val="none"/>
        <c:tickLblPos val="nextTo"/>
        <c:spPr>
          <a:ln>
            <a:noFill/>
          </a:ln>
        </c:spPr>
        <c:txPr>
          <a:bodyPr/>
          <a:lstStyle/>
          <a:p>
            <a:pPr>
              <a:defRPr sz="850">
                <a:solidFill>
                  <a:srgbClr val="52514E"/>
                </a:solidFill>
              </a:defRPr>
            </a:pPr>
            <a:endParaRPr lang="es-ES"/>
          </a:p>
        </c:txPr>
        <c:crossAx val="10"/>
        <c:crosses val="max"/>
        <c:crossBetween val="between"/>
      </c:valAx>
    </c:plotArea>
    <c:plotVisOnly val="1"/>
    <c:dispBlanksAs val="gap"/>
  </c:chart>
  <c:spPr>
    <a:noFill/>
    <a:ln>
      <a:noFill/>
    </a:ln>
  </c:spPr>
  <c:txPr>
    <a:bodyPr/>
    <a:lstStyle/>
    <a:p>
      <a:pPr>
        <a:defRPr sz="900">
          <a:solidFill>
            <a:srgbClr val="52514E"/>
          </a:solidFill>
        </a:defRPr>
      </a:pPr>
      <a:endParaRPr lang="es-ES"/>
    </a:p>
  </c:txPr>
  <c:externalData r:id="rId1">
    <c:autoUpdate val="0"/>
  </c:externalData>
</c:chartSpace>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true">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false"/>
        </a:gradFill>
        <a:gradFill rotWithShape="true">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false"/>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false">
              <a:srgbClr val="000000">
                <a:alpha val="63000"/>
              </a:srgbClr>
            </a:outerShdw>
          </a:effectLst>
        </a:effectStyle>
      </a:effectStyleLst>
      <a:bgFillStyleLst>
        <a:solidFill>
          <a:schemeClr val="phClr"/>
        </a:solidFill>
        <a:solidFill>
          <a:schemeClr val="phClr">
            <a:tint val="95000"/>
            <a:satMod val="170000"/>
          </a:schemeClr>
        </a:solidFill>
        <a:gradFill rotWithShape="true">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false"/>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Análisis de empresa cotizada — plantilla</dc:title>
  <dc:creator>analisis-inversion</dc:creator>
  <cp:lastModifiedBy>Un-named</cp:lastModifiedBy>
  <cp:revision>1</cp:revision>
  <dcterms:created xsi:type="dcterms:W3CDTF">2026-10-14T17:04:42.347Z</dcterms:created>
  <dcterms:modified xsi:type="dcterms:W3CDTF">2026-10-14T17:04:42.347Z</dcterms:modified>
</cp:coreProperties>
</file>

<file path=docProps/custom.xml><?xml version="1.0" encoding="utf-8"?>
<Properties xmlns="http://schemas.openxmlformats.org/officeDocument/2006/custom-properties" xmlns:vt="http://schemas.openxmlformats.org/officeDocument/2006/docPropsVTypes"/>
</file>