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 (31,88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35,95 CHF (43,29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+35,8 % (base +29,3 %)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23,88 CHF (28,75 USD) · mercado 30,88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35,95 CHF (43,29 USD)</w:t>
      </w:r>
      <w:r>
        <w:t xml:space="preserve"> frente a 26,48 (31,88 USD) · Rentabilidad a 12 meses </w:t>
      </w:r>
      <w:r>
        <w:rPr>
          <w:b/>
          <w:bCs/>
        </w:rPr>
        <w:t xml:space="preserve">+35,8 % (base +29,3 %)</w:t>
      </w:r>
      <w:r>
        <w:t xml:space="preserve"> · Valor intrínseco 23,88 CHF (28,75 USD) · con la prima implícita del mercado: 30,88 (37,18 USD) (+16,6 %) · Alcista / bajista +25,2 % / -41,0 %</w:t>
      </w:r>
    </w:p>
    <w:p>
      <w:pPr>
        <w:spacing w:after="100"/>
      </w:pPr>
      <w:r>
        <w:rPr>
          <w:b/>
        </w:rPr>
        <w:t xml:space="preserve">La recomendación y por qué.</w:t>
      </w:r>
      <w:r>
        <w:t xml:space="preserve"> Mantener, con convicción baja: el recorte del caso base de esta versión baja el objetivo, no la señal. Con nuestro WACC del 10,01 %, el valor objetivo es de 23,88 CHF (28,75 USD), un 9,8 % bajo el precio de 26,48 CHF (31,88 USD), sin dividendo: la regla absoluta da Mantener, a 0,2 puntos de Vender. Con la prima del mercado (4,20 % [76]; WACC del 7,91 %), el objetivo es de 30,88 CHF (37,18 USD), +16,6 % con una asimetría de 2,94 veces: la relativa da Comprar, pero un Comprar solo relativo exige un 5 % con nuestro coste de capital, y la combinada da Mantener. La convicción es baja porque las reglas discrepan y las dos están en su umbral; la subiría una guía de 2027 «high-teens» a divisa constante con un margen bruto ≥ 65 %.</w:t>
      </w:r>
    </w:p>
    <w:p>
      <w:pPr>
        <w:spacing w:after="100"/>
      </w:pPr>
      <w:r>
        <w:rPr>
          <w:b/>
        </w:rPr>
        <w:t xml:space="preserve">El negocio.</w:t>
      </w:r>
      <w:r>
        <w:t xml:space="preserve"> On vende a precio completo: margen bruto del 64,8 % en el 1S26, frente al 42,9 % de Nike [6, 39]. El foso es solo la marca [1]. El ROIC (38,4 %) casi cuadruplica el WACC, pero la proyección solo reinvierte el 12 % del NOPAT, que al ROIC actual financia un 4,7 % anual; con los 3,6 puntos de precio del puente, el techo es un 8,3 %. Tras el recorte, su calidad sí sostiene el crecimiento proyectado (8,3 % medio, 11,3 % en la v4): cuota del 3,0 % del calzado deportivo en 2035, menos de 1,5 veces el 2,1 % actual [41], y capital nuevo al 55 %, 1,13 veces el histórico.</w:t>
      </w:r>
    </w:p>
    <w:p>
      <w:pPr>
        <w:spacing w:after="100"/>
      </w:pPr>
      <w:r>
        <w:rPr>
          <w:b/>
        </w:rPr>
        <w:t xml:space="preserve">Sector y ciclo.</w:t>
      </w:r>
      <w:r>
        <w:t xml:space="preserve"> En un mercado promocional, On recortó en el 2T26 las entregas a mayoristas (+4,8 % en CHF) y rebajó por primera vez la guía de ventas; la venta directa creció un 34,3 % a divisa constante [6, 43].</w:t>
      </w:r>
    </w:p>
    <w:p>
      <w:pPr>
        <w:spacing w:after="100"/>
      </w:pPr>
      <w:r>
        <w:rPr>
          <w:b/>
        </w:rPr>
        <w:t xml:space="preserve">Finanzas.</w:t>
      </w:r>
      <w:r>
        <w:t xml:space="preserve"> Las ventas crecieron un 47,9 % anual en 2020-2025, hasta 3.014 M CHF. El dólar débil restó 8,1 puntos al crecimiento del 2T26 [1, 6]. Sin deuda financiera, tiene 643 M CHF de caja neta tras arrendamientos [7].</w:t>
      </w:r>
    </w:p>
    <w:p>
      <w:pPr>
        <w:spacing w:after="100"/>
      </w:pPr>
      <w:r>
        <w:rPr>
          <w:b/>
        </w:rPr>
        <w:t xml:space="preserve">Equipo y gobierno.</w:t>
      </w:r>
      <w:r>
        <w:t xml:space="preserve"> Restan: en trece meses salieron los dos co-CEO no fundadores, y los fundadores, con el 54-57 % del voto y el 13 % del capital, presiden y dirigen [1, 26].</w:t>
      </w:r>
    </w:p>
    <w:p>
      <w:pPr>
        <w:spacing w:after="100"/>
      </w:pPr>
      <w:r>
        <w:rPr>
          <w:b/>
        </w:rPr>
        <w:t xml:space="preserve">Valoración.</w:t>
      </w:r>
      <w:r>
        <w:t xml:space="preserve"> El DCF (50 %) da 25,27 CHF; los escenarios (30 %), 24,82 CHF, y los comparables (20 %), 18,98 CHF. El caso base está en el límite de la prueba de sostenibilidad: crece un 16, 14 y 12 % en 2027-2029 (17, 16 y 15 % en la v4) y converge después al 2 % del terminal; las ventas de 2035 son 6.610 M CHF, no 8.720. El DCF inverso descuenta un 8,4 % anual en 2027-2035, frente al 7,4 % del caso base: el precio pide más crecimiento del que On puede financiar. Nuestras ventas quedan un 2,5-6,1 % bajo el consenso en 2027-2028 [69]. Con un terminal del 1,0 %, el objetivo relativo sería de 28,41 CHF (+7,3 %): seguiría en Mantener.</w:t>
      </w:r>
    </w:p>
    <w:p>
      <w:pPr>
        <w:spacing w:after="100"/>
      </w:pPr>
      <w:r>
        <w:rPr>
          <w:b/>
        </w:rPr>
        <w:t xml:space="preserve">Riesgos y catalizadores.</w:t>
      </w:r>
      <w:r>
        <w:t xml:space="preserve"> La marca: el bajista, una pérdida de atractivo como la de Lululemon, vale 15,61 CHF (−41,0 %) [39], frente a los 33,14 CHF (+25,2 %) del alcista. Con una prima implícita por encima del 4,26 % (WACC del 8,0 %), también la regla relativa daría Mantener. Catalizadores: el 3T26 a mediados de noviembre, la guía de 2027 en marzo y la recompra de hasta 1.000 M USD [21].</w:t>
      </w:r>
    </w:p>
    <w:p>
      <w:pPr>
        <w:spacing w:after="100"/>
      </w:pPr>
      <w:r>
        <w:rPr>
          <w:b/>
        </w:rPr>
        <w:t xml:space="preserve">Qué cambiaría la decisión.</w:t>
      </w:r>
      <w:r>
        <w:t xml:space="preserve"> Compraríamos por debajo de 22,73 CHF (27,37 USD), un 14,2 % bajo el precio, y venderíamos por encima de 34,32 CHF (41,32 USD). Devolveríamos al caso base parte del recorte de 2027-2029 si la guía de 2027 es «high-teens» a divisa constante con margen bruto ≥ 65 %: probaría que la marca gana cuota más deprisa de lo que su reinversión financia.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35,95 CHF (43,29 USD)</w:t>
      </w:r>
      <w:r>
        <w:t xml:space="preserve"> (rentabilidad +35,8 % (base +29,3 %)) · Valor intrínseco: 23,88 CHF (28,75 USD) (-9,8 % sobre 26,48) · con la prima implícita del mercado: 30,88 (37,18 USD) (+16,6 %)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8,4 % anual en 2027-2035, frente al 7,4 % de nuestro caso base, o un margen EBITDA final del 20,7 % en lugar del 20,0 %; dicho de otro modo, una rentabilidad del 9,6 % anual, algo menos que nuestro WACC. Cotiza a 11,2x EV/EBITDA de los próximos 12 meses, con prima sobre los comparables (8,0x) pero por debajo de cualquier cierre anual desde 2022: el mercado castiga la rebaja de la guía, el dólar débil y la cúpula nueva [6, 68].</w:t>
      </w:r>
    </w:p>
    <w:p>
      <w:pPr>
        <w:spacing w:after="100"/>
      </w:pPr>
      <w:r>
        <w:t xml:space="preserve">El mercado acierta en la dirección, y con la lectura prudente de la sostenibilidad ya no exagera la cuantía: el precio descuenta algo más de crecimiento del que On puede financiar. Con nuestro WACC del 10,01 %, el valor objetivo es de 23,88 CHF (−9,8 %) y la regla absoluta da Mantener; con la prima implícita del mercado (4,20 % [76]), de 30,88 CHF (+16,6 %), y la relativa da Comprar. Como un Comprar solo relativo exige al menos un 5 % con nuestro coste de capital, la recomendación es Mantener. Para comprar hay que creer que la marca gana cuota más deprisa de lo que su reinversión financia (más del 3,0 % del calzado deportivo en 2035, desde el 2,1 %) o esperar a un precio por debajo de 22,73 CHF. En dólares (0,8305 CHF por USD [45]): objetivo de 28,75 USD (37,18 USD con la prima del mercado), compra por debajo de 27,37 USD y venta por encima de 41,32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 CHF (43,29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1,27 = 20,19 · 19,9x × 1,72 = 34,23 · 26,9x × 2,05 = 55,14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 / 29,3 %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 (nuestro base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23,88 CHF (28,75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(USD al tipo de 0,8305 CHF por USD)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 CHF (31,88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 / -41,0 %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10,0 %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30,88 CHF (37,18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23,88 (28,75 USD)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23,88 y 39,94 (28,75 y 48,09 USD)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39,94 (48,09 USD)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22,73 CHF (27,37 USD) sin que empeoren las previsiones, pasaríamos a Comprar; por encima de 34,32 CHF (41,32 USD), a Vender.</w:t>
      </w:r>
    </w:p>
    <w:p>
      <w:pPr>
        <w:pStyle w:val="ListParagraph"/>
        <w:numPr>
          <w:ilvl w:val="0"/>
          <w:numId w:val="2"/>
        </w:numPr>
        <w:spacing w:after="60"/>
      </w:pPr>
      <w:r>
        <w:t xml:space="preserve">Si la prima implícita del mercado de Damodaran sube por encima del 4,26 % (WACC relativo del 8,0 %), también la regla relativa daría Mantener [76]: se perdería el único argumento a favor de comprar.</w:t>
      </w:r>
    </w:p>
    <w:p>
      <w:pPr>
        <w:pStyle w:val="ListParagraph"/>
        <w:numPr>
          <w:ilvl w:val="0"/>
          <w:numId w:val="2"/>
        </w:numPr>
        <w:spacing w:after="60"/>
      </w:pPr>
      <w:r>
        <w:t xml:space="preserve">Si la venta directa del 3T26 crece menos del 20 % a divisa constante, llevaríamos el caso base hacia el bajista (15,61 CHF) y pasaríamos a Vender.</w:t>
      </w:r>
    </w:p>
    <w:p>
      <w:pPr>
        <w:pStyle w:val="ListParagraph"/>
        <w:numPr>
          <w:ilvl w:val="0"/>
          <w:numId w:val="2"/>
        </w:numPr>
        <w:spacing w:after="60"/>
      </w:pPr>
      <w:r>
        <w:t xml:space="preserve">Si la guía de 2027 apunta a un crecimiento «high-teens» a divisa constante con margen bruto ≥ 65 %, devolveríamos al caso base parte del recorte de 2027-2029 y subiríamos la convicción a media; para Comprar haría falta además que la rentabilidad con nuestro WACC pasara del 5 %.</w:t>
      </w:r>
    </w:p>
    <w:p>
      <w:pPr>
        <w:pStyle w:val="ListParagraph"/>
        <w:numPr>
          <w:ilvl w:val="0"/>
          <w:numId w:val="2"/>
        </w:numPr>
        <w:spacing w:after="60"/>
      </w:pPr>
      <w:r>
        <w:t xml:space="preserve">Si el margen bruto de 2026 sin aranceles devueltos queda por debajo del 63 %, revisaríamos a la baja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keepNext/>
        <w:spacing w:after="100"/>
      </w:pPr>
      <w:r>
        <w:rPr>
          <w:b/>
          <w:bCs/>
        </w:rPr>
        <w:t xml:space="preserve">Lo que creemos nosotros.</w:t>
      </w:r>
    </w:p>
    <w:p>
      <w:pPr>
        <w:spacing w:after="100"/>
      </w:pPr>
      <w:r>
        <w:t xml:space="preserve">El negocio está mejor de lo que dice la cotización a corto plazo: el margen bruto sube (64,8 %), la venta directa crece al 34 % a divisa constante y Asia ya es el 20 % de las ventas [6]. A largo plazo, en cambio, el precio pide más de lo que On puede financiar: con el caso base en el límite de la prueba de sostenibilidad (8,3 % anual medio y un 3,0 % del calzado deportivo en 2035), el DCF da 25,27 CHF con nuestro WACC del 10,01 %, un 4,6 % bajo el precio, y 34,11 CHF con el 7,91 % que resulta de la prima del mercado. La diferencia con el precio es de tasa y, desde esta versión, también de cifras.</w:t>
      </w:r>
    </w:p>
    <w:p>
      <w:pPr>
        <w:keepNext/>
        <w:spacing w:after="100"/>
      </w:pPr>
      <w:r>
        <w:rPr>
          <w:b/>
          <w:bCs/>
        </w:rPr>
        <w:t xml:space="preserve">Por qué podemos tener razón.</w:t>
      </w:r>
    </w:p>
    <w:p>
      <w:pPr>
        <w:spacing w:after="100"/>
      </w:pPr>
      <w:r>
        <w:t xml:space="preserve">La diferencia entre el crecimiento a divisa constante (+21,6 %) y en CHF (+13,5 %) del 2T26 es de 8 puntos, y el mercado la trata como pérdida de demanda [6]: ahí el mercado exagera. Donde somos más prudentes que él es después de 2029: el DCF inverso (8,4 % anual en 2027-2035) supone que On sigue ganando cuota a un ritmo que su reinversión no financia. No tengo una visión muy distinta del mercado a doce meses; a tres o cinco años soy algo más prudente que él y que el consenso.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ListParagraph"/>
        <w:numPr>
          <w:ilvl w:val="0"/>
          <w:numId w:val="2"/>
        </w:numPr>
        <w:spacing w:after="60"/>
      </w:pPr>
      <w:r>
        <w:rPr>
          <w:b/>
        </w:rPr>
        <w:t xml:space="preserve">El precio pide más de lo financiable</w:t>
      </w:r>
      <w:r>
        <w:t xml:space="preserve">: el DCF inverso descuenta un 8,4 % anual en 2027-2035, frente al 7,4 % del caso base, que la prueba de sostenibilidad deja en el límite de lo que On puede financiar.</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(15,61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Diez años, porque On sigue lejos de su madurez. 2026 queda fijo en el +16,6 % del consenso (3.514 M CHF, dentro de la guía de 3.470-3.560 M CHF), con dos trimestres publicados [6, 69]. Después, el 16 % en 2027, el 14 % en 2028 y el 12 % en 2029, por debajo del «high-teens» a divisa constante del plan [21]: unos dos puntos por el franco y el resto por la prueba de sostenibilidad (v5), porque al ROIC actual la reinversión solo financia un 4,7 % anual y el precio aporta unos 3,6 puntos. Las ventas de 2029 (5.205 M CHF) quedan un 7 % bajo el objetivo de 5.600 M CHF. Desde 2030 el crecimiento baja del 8 % al 2 % de 2035, el del terminal, para que la cuota de 2035 no pase de 1,5 veces la actual (3,0 % frente al 2,1 %) [41]. Frente al consenso, ventas un 2,5 % menores en 2027 y un 6,1 % en 2028 [69].</w:t>
      </w:r>
    </w:p>
    <w:p>
      <w:pPr>
        <w:keepNext/>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en línea en 2027 (+0,2 %) y un 4,5 % por debajo en 2028, por las ventas.</w:t>
      </w:r>
    </w:p>
    <w:p>
      <w:pPr>
        <w:keepNext/>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keepNext/>
        <w:spacing w:after="100"/>
      </w:pPr>
      <w:r>
        <w:rPr>
          <w:b/>
          <w:bCs/>
        </w:rPr>
        <w:t xml:space="preserve">Coste del capital.</w:t>
      </w:r>
    </w:p>
    <w:p>
      <w:pPr>
        <w:spacing w:after="100"/>
      </w:pPr>
      <w:r>
        <w:t xml:space="preserve">Todo en CHF. Tasa libre: bono de la Confederación a 10 años, 0,51 % el 6-oct-2026 [75]. Beta: 2,08 en datos mensuales desde la OPV frente al S&amp;P 500, ajustada a 1,72 con la fórmula de Blume [68, 71]. Prima de mercado del 5,5 % más 0,5 puntos por el riesgo de marca, la fabricación en Vietnam y el control de los fundadores. Coste de los fondos propios: 10,47 %; deuda: solo arrendamientos (6 %), al 3,5 %. WACC: 10,01 %. Con la prima implícita del mercado (4,20 % [76]), el coste de los fondos propios sería del 8,23 % y el WACC del 7,91 %: es la referencia de la regla relativa, no la tasa del caso base.</w:t>
      </w:r>
    </w:p>
    <w:p>
      <w:pPr>
        <w:keepNext/>
        <w:spacing w:after="100"/>
      </w:pPr>
      <w:r>
        <w:rPr>
          <w:b/>
          <w:bCs/>
        </w:rPr>
        <w:t xml:space="preserve">Valor terminal.</w:t>
      </w:r>
    </w:p>
    <w:p>
      <w:pPr>
        <w:spacing w:after="100"/>
      </w:pPr>
      <w:r>
        <w:t xml:space="preserve">Gordon con un crecimiento a perpetuidad del 2,0 % en CHF: On vende en todo el mundo y el mercado de calzado deportivo crece un 5 % anual [41]. La regla del prompt (entre la inflación esperada y la tasa libre menos medio punto) no tiene solución en francos: con el bono al 0,51 % [75], el techo sería un 0,0 %. Mantenemos el 2,0 %, al que ya converge el crecimiento de 2035, con su sensibilidad: con un 1,0 %, el DCF baja a 23,76 CHF y el objetivo con la prima del mercado a 28,41 CHF (+7,3 %); la regla relativa pasaría a Mantener y la combinada seguiría en Mantener. El Gordon implica 7,7x el EBITDA de 2035, bajo la mediana de los comparables (8,0x NTM).</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(hoy: 2,1 %)</w:t>
            </w:r>
          </w:p>
        </w:tc>
      </w:tr>
    </w:tbl>
    <w:p>
      <w:pPr>
        <w:spacing w:after="160" w:before="0"/>
      </w:pPr>
    </w:p>
    <w:p>
      <w:pPr>
        <w:spacing w:after="100"/>
      </w:pPr>
      <w:r>
        <w:t xml:space="preserve">La proyección apenas necesita inversión neta de la amortización (reinversión acumulada de 849 M, el 12 % del NOPAT, con un capex bruto medio del 4,8 % de las ventas). En un negocio de activos ligeros, el crecimiento medio del 8,3 % tiene que salir de subir precios y de ganar volumen sin capital nuevo, y la prueba es el poder de precios y la cuota (3,0 % del mercado en 2035e, frente al 2,1 %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«low-20%» a divisa constante, reiterada el 22-sep, con dos trimestres publicados (+24,0 % en el 1S26) [6, 21]. Precio: subidas selectivas sin cifras publicadas [40] y venta a precio completo; volumen: venta directa (+34,3 % en el 2T26), Asia-Pacífico y ropa. Otros: la divisa, que restó 8,1 puntos en el 2T26 y menos en el 2S26 [6].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2029: crecimiento «high-teens» a divisa constante [21]; lo dejamos 2-3 puntos por debajo en volumen porque el recorte de los mayoristas del 2T26 aún no ha tocado fondo [6]. Volumen: tiendas propias (67 a finales de 2025), Asia-Pacífico (20,5 % de las ventas en el 1S26) y ropa (8,1 %) [1, 6]; precio: el margen bruto subió del 56,0 % al 64,8 % en 2022-1S26 con subidas selectivas [1, 6, 40]. Otros: un franco algo más fuerte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del plan a 2029 [21] y del consenso (+18,4 % en 2028e en CHF [69]): el volumen se frena a medida que el caso base se acerca al límite de cuota de la prueba de sostenibilidad (1,5 veces la actual en 2035e). El precio sigue con las subidas selectivas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del plan: ventas de 5.205 M CHF, un 7 % por debajo del objetivo de 5.600 M CHF [21] (2 % por la divisa y 5 % de volumen que la prueba de sostenibilidad no da por seguro).</w:t>
            </w:r>
          </w:p>
        </w:tc>
      </w:tr>
    </w:tbl>
    <w:p>
      <w:pPr>
        <w:spacing w:after="160" w:before="0"/>
      </w:pPr>
    </w:p>
    <w:p>
      <w:pPr>
        <w:spacing w:after="100"/>
      </w:pPr>
      <w:r>
        <w:t xml:space="preserve">Sí, después del recorte de esta versión (v5). On ha demostrado poder de precios: el margen bruto subió del 56,0 % al 64,8 % en 2022-1S26 pese al arancel sobre Vietnam, sin rebajas [1, 6]; pero el foso es solo la marca y su crecimiento no ha pasado por un ciclo [6]. Con el caso base de la v4 (11,3 % anual) fallaban dos pruebas: financiable del 6,0 % y cuota del 2,1 % al 4,0 %. Ahora el caso base queda en el límite: 8,3 % anual frente a un financiable del 4,7 % (ROIC del 38,4 % por una reinversión del 12 % del NOPAT; cálculo propio, porque el motor no lo imprime por debajo del 15 %) más 3,6 puntos de precio del puente; capital nuevo al ≈ 55 % (1,13 veces el 48,6 % histórico) y cuota del 3,0 % en 2035 (≈ 2,8 % solo en calzado) [41].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10,0 %)</w:t>
            </w:r>
          </w:p>
        </w:tc>
      </w:tr>
    </w:tbl>
    <w:p>
      <w:pPr>
        <w:spacing w:after="160" w:before="0"/>
      </w:pPr>
    </w:p>
    <w:p>
      <w:pPr>
        <w:spacing w:after="100"/>
      </w:pPr>
      <w:r>
        <w:t xml:space="preserve">El DCF da 25,27 CHF por acción (30,43 USD), un 4,6 % por debajo del precio de 26,48 CHF. El rango con el WACC y el crecimiento terminal ± 0,5 puntos va de 23,14 a 27,99 CHF, y el valor terminal pesa el 54 %. Con la prima implícita del mercado (4,20 % [76]), el WACC baja al 7,91 % y el DCF sube a 34,11 CHF (31,48-37,24 CHF): la beta de 1,72 convierte 1,3 puntos menos de prima en 2,2 puntos menos de coste de capital. El DCF inverso es lo importante. Al precio actual el mercado descuenta un crecimiento medio de las ventas del 8,4 % anual en 2027-2035, frente al 7,4 % de nuestro caso base, que está en el límite de lo que la empresa puede financiar, o, con nuestro crecimiento, un margen EBITDA final del 20,7 % en lugar del 20,0 %. La rentabilidad implícita es del 9,6 % anual en CHF, algo por debajo de nuestro WACC (10,01 %) y por encima del 7,9 % que hoy pide el mercado a una acción de esta beta. Es algo exigente: el precio ya no descuenta solo el plan de 2029, sino que On siga ganando cuota después.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el crecimiento cae a un dígito desde 2028 y las ventas dejan de crecer en 2031.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el plan de 2029 solo en parte: el franco fuerte y unos mayoristas más lentos dejan las ventas de 2029 un 7 % por debajo del objetivo de 5.600 M CHF, y después crece cada vez menos, hasta el 2 % de 2035, con un 3,0 % del calzado deportivo mundial.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24,82 CHF (-6,3 %).</w:t>
      </w:r>
    </w:p>
    <w:p>
      <w:pPr>
        <w:spacing w:after="100"/>
      </w:pPr>
      <w:r>
        <w:t xml:space="preserve">Con nuestro WACC la asimetría es desfavorable: el alcista vale 33,14 CHF (+25,2 %) y el bajista 15,61 CHF (−41,0 %), una relación de 0,61 veces; el valor ponderado es de 24,82 CHF (−6,3 %). Con la prima del mercado, la relación es de 2,94 veces. El bajista no es cosmético: es lo que han vivido Lululemon (margen operativo del 23,7 % al 19,9 % en un año) y Nike (ventas planas dos años) [39]; sobre el caso base recortado supone ventas que caen desde 2032. A doce meses no compensa con nuestro coste de capital: el precio depende de que el 3T y la guía de 2027 demuestren que On crece por encima de lo que hoy damos por financiable.</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23,88 CHF (-9,8 % sobre 26,48).</w:t>
      </w:r>
    </w:p>
    <w:p>
      <w:pPr>
        <w:spacing w:after="100"/>
      </w:pPr>
      <w:r>
        <w:t xml:space="preserve">El DCF pesa el 50 % porque On es un crecedor con un plan explícito a 2029 y diez años de proyección captan mejor su valor que un múltiplo de un año. Los escenarios, el 30 %, para incorporar la asimetría; los comparables, solo el 20 %: ningún par combina el crecimiento, el margen bruto y la caja neta de On, y la regresión no explica los múltiplos (R² de 0,02). Sin transacciones verificadas ni suma de partes. La dispersión es grande: comparables 18,98 CHF (−28,3 %) y DCF 25,27 CHF (−4,6 %). El valor objetivo es de 23,88 CHF (28,75 USD), un 9,8 % bajo el precio; con la prima implícita del mercado (4,20 % [76]), 30,88 CHF (37,18 USD), un 16,6 % por encima. El puente usa el balance a 30-jun-2026 (caja 1.205,6 M CHF, arrendamientos 562,5 M CHF, pensiones 8,1 M CHF) [7]; no incluye los aranceles a devolver (hasta 53 M CHF, 0,16 CHF por acción) [21].</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(18.1x) × 1.1 (tope: la mediana de 5 años, 63.4x,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+108,3 %</w:t>
            </w:r>
          </w:p>
        </w:tc>
      </w:tr>
    </w:tbl>
    <w:p>
      <w:pPr>
        <w:spacing w:after="160" w:before="0"/>
      </w:pPr>
    </w:p>
    <w:p>
      <w:pPr>
        <w:spacing w:after="100"/>
      </w:pPr>
      <w:r>
        <w:rPr>
          <w:b/>
          <w:bCs/>
        </w:rPr>
        <w:t xml:space="preserve">Objetivo a 12 meses (ponderado):</w:t>
      </w:r>
      <w:r>
        <w:t xml:space="preserve"> 35,95 CHF (43,29 USD) · rentabilidad +35,8 % (base +29,3 %) · señal Mantener.</w:t>
      </w:r>
    </w:p>
    <w:p>
      <w:pPr>
        <w:spacing w:after="100"/>
      </w:pPr>
      <w:r>
        <w:t xml:space="preserve">Para comparar, con la regla v2 (historia al cierre, mismo precio): 15,4x / 18,1x / 18,1x, 12,3 % Mantener; con el tope anterior del base (×1,3, 14-oct mediodía): 60,4 % Mantener. Decide la regla vigente (v3 con tope ×1,1; METODO-VIGENTE.md).</w:t>
      </w:r>
    </w:p>
    <w:p>
      <w:pPr>
        <w:keepNext/>
        <w:spacing w:after="100"/>
      </w:pPr>
      <w:r>
        <w:rPr>
          <w:b/>
          <w:bCs/>
        </w:rPr>
        <w:t xml:space="preserve">Frente al consenso (solo contraste).</w:t>
      </w:r>
    </w:p>
    <w:p>
      <w:pPr>
        <w:spacing w:after="100"/>
      </w:pPr>
      <w:r>
        <w:t xml:space="preserve">Nuestro BPA base de 2028e (1,72) se separa un -10,4 % del consenso (1,92) y nuestro precio base (31,13) un -13,8 % del objetivo medio de los analistas (36,11).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23,88 (-9,8 %) frente al objetivo a 12 meses ponderado 29,73 (+12,3 % con dividendo; base +17,6 %).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Fuentes: 76 (62 primarias); citas distintas en el texto: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3,0 % en 2035e frente al 2,1 %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84,3 %</w:t>
      </w:r>
      <w:r>
        <w:t xml:space="preserve"> · Secciones con menos del 60 % de campos cubiertos: </w:t>
      </w:r>
      <w:r>
        <w:rPr>
          <w:b/>
          <w:bCs/>
        </w:rPr>
        <w:t xml:space="preserve">transacciones, sentimiento</w:t>
      </w:r>
      <w:r>
        <w:t xml:space="preserve"> · Generado el 14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4077</c:v>
                </c:pt>
                <c:pt idx="8">
                  <c:v>4647</c:v>
                </c:pt>
                <c:pt idx="9">
                  <c:v>5205</c:v>
                </c:pt>
                <c:pt idx="10">
                  <c:v>5621</c:v>
                </c:pt>
                <c:pt idx="11">
                  <c:v>5902</c:v>
                </c:pt>
                <c:pt idx="12">
                  <c:v>6139</c:v>
                </c:pt>
                <c:pt idx="13">
                  <c:v>6323</c:v>
                </c:pt>
                <c:pt idx="14">
                  <c:v>6481</c:v>
                </c:pt>
                <c:pt idx="15">
                  <c:v>6610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775</c:v>
                </c:pt>
                <c:pt idx="8">
                  <c:v>906</c:v>
                </c:pt>
                <c:pt idx="9">
                  <c:v>1041</c:v>
                </c:pt>
                <c:pt idx="10">
                  <c:v>1124</c:v>
                </c:pt>
                <c:pt idx="11">
                  <c:v>1180</c:v>
                </c:pt>
                <c:pt idx="12">
                  <c:v>1228</c:v>
                </c:pt>
                <c:pt idx="13">
                  <c:v>1265</c:v>
                </c:pt>
                <c:pt idx="14">
                  <c:v>1296</c:v>
                </c:pt>
                <c:pt idx="15">
                  <c:v>1322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32.8</c:v>
                </c:pt>
                <c:pt idx="1">
                  <c:v>32.8</c:v>
                </c:pt>
                <c:pt idx="2">
                  <c:v>32.8</c:v>
                </c:pt>
                <c:pt idx="3">
                  <c:v>32.8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356</c:v>
                </c:pt>
                <c:pt idx="2">
                  <c:v>448</c:v>
                </c:pt>
                <c:pt idx="3">
                  <c:v>544</c:v>
                </c:pt>
                <c:pt idx="4">
                  <c:v>625</c:v>
                </c:pt>
                <c:pt idx="5">
                  <c:v>692</c:v>
                </c:pt>
                <c:pt idx="6">
                  <c:v>732</c:v>
                </c:pt>
                <c:pt idx="7">
                  <c:v>752</c:v>
                </c:pt>
                <c:pt idx="8">
                  <c:v>783</c:v>
                </c:pt>
                <c:pt idx="9">
                  <c:v>804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3620</c:v>
                </c:pt>
                <c:pt idx="1">
                  <c:v>4239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15.61</c:v>
                </c:pt>
                <c:pt idx="1">
                  <c:v>25.27</c:v>
                </c:pt>
                <c:pt idx="2">
                  <c:v>33.14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Hoja1!$B$2:$B$9</c:f>
              <c:numCache>
                <c:formatCode>#,##0.0</c:formatCode>
                <c:ptCount val="8"/>
                <c:pt idx="0">
                  <c:v>21.89</c:v>
                </c:pt>
                <c:pt idx="1">
                  <c:v>16.58</c:v>
                </c:pt>
                <c:pt idx="2">
                  <c:v>17.87</c:v>
                </c:pt>
                <c:pt idx="3">
                  <c:v>16.29</c:v>
                </c:pt>
                <c:pt idx="4">
                  <c:v>23.14</c:v>
                </c:pt>
                <c:pt idx="5">
                  <c:v>15.61</c:v>
                </c:pt>
                <c:pt idx="6">
                  <c:v>31.48</c:v>
                </c:pt>
                <c:pt idx="7">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(21,89 – 42,42)</c:v>
                </c:pt>
                <c:pt idx="1">
                  <c:v>Precio objetivo de los analistas (16,58 – 59,37)</c:v>
                </c:pt>
                <c:pt idx="2">
                  <c:v>Comparables: EV/EBITDA NTM (17,87 – 24,93)</c:v>
                </c:pt>
                <c:pt idx="3">
                  <c:v>Comparables: PER NTM (16,29 – 28,15)</c:v>
                </c:pt>
                <c:pt idx="4">
                  <c:v>DCF (WACC y g ± 0,5) (23,14 – 27,99)</c:v>
                </c:pt>
                <c:pt idx="5">
                  <c:v>Escenarios (bajista – alcista) (15,61 – 33,14)</c:v>
                </c:pt>
                <c:pt idx="6">
                  <c:v>DCF con la prima implícita del mercado (4,2 %)</c:v>
                </c:pt>
                <c:pt idx="7">
                  <c:v>Precio actual (26,48)</c:v>
                </c:pt>
              </c:strCache>
            </c:strRef>
          </c:cat>
          <c:val>
            <c:numRef>
              <c:f>Hoja1!$C$2:$C$9</c:f>
              <c:numCache>
                <c:formatCode>#,##0.0</c:formatCode>
                <c:ptCount val="8"/>
                <c:pt idx="0">
                  <c:v>20.53</c:v>
                </c:pt>
                <c:pt idx="1">
                  <c:v>42.79</c:v>
                </c:pt>
                <c:pt idx="2">
                  <c:v>7.059999999999999</c:v>
                </c:pt>
                <c:pt idx="3">
                  <c:v>11.86</c:v>
                </c:pt>
                <c:pt idx="4">
                  <c:v>4.849999999999998</c:v>
                </c:pt>
                <c:pt idx="5">
                  <c:v>17.53</c:v>
                </c:pt>
                <c:pt idx="6">
                  <c:v>5.760000000000002</c:v>
                </c:pt>
                <c:pt idx="7">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