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Partners Group Holding AG</w:t>
      </w:r>
    </w:p>
    <w:p>
      <w:pPr>
        <w:spacing w:after="60"/>
        <w:rPr>
          <w:color w:val="52514E"/>
          <w:sz w:val="22"/>
          <w:szCs w:val="22"/>
        </w:rPr>
      </w:pPr>
      <w:r>
        <w:rPr>
          <w:color w:val="52514E"/>
          <w:sz w:val="22"/>
          <w:szCs w:val="22"/>
        </w:rPr>
        <w:t xml:space="preserve">PGHN · SIX Swiss Exchange · ISIN CH0024608827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594,60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736,11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+31,5 % (base +27,2 %)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851,06 CHF · mercado 1.058,52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15.341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Partners Group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PGHN / CH0024608827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Gestión de activos (mercados privados)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Baar-Zug (Suiza) · 1996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www.partnersgroup.com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594,60 (9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15.341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15.283 M CHF</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736,11 CHF</w:t>
      </w:r>
      <w:r>
        <w:t xml:space="preserve"> frente a 594,60 · Rentabilidad a 12 meses </w:t>
      </w:r>
      <w:r>
        <w:rPr>
          <w:b/>
          <w:bCs/>
        </w:rPr>
        <w:t xml:space="preserve">+31,5 % (base +27,2 %)</w:t>
      </w:r>
      <w:r>
        <w:t xml:space="preserve"> · Valor intrínseco 851,06 CHF · con la prima implícita del mercado: 1.058,52 (+78,0 %) · Alcista / bajista +68,4 % / +3,7 %</w:t>
      </w:r>
    </w:p>
    <w:p>
      <w:pPr>
        <w:spacing w:after="100"/>
      </w:pPr>
      <w:r>
        <w:rPr>
          <w:b/>
        </w:rPr>
        <w:t xml:space="preserve">La recomendación y por qué.</w:t>
      </w:r>
      <w:r>
        <w:t xml:space="preserve"> Mantener, con convicción baja. Con nuestro BPA y la regla de múltiplos v3, el objetivo a 12 meses es de 871,63 CHF frente a 594,60 CHF del último cierre fechado (9-oct-2026): +54,3 % ponderado y +49,2 % en el base, con el dividendo de 46 CHF incluido, en línea con el objetivo medio de los analistas (856,07) [28, 31]. El valor intrínseco es de 851,06 CHF (+43,1 %). La regla dice Comprar, pero no la seguimos: el precio y el balance no salen de fuente primaria y la tesis depende de un riesgo binario, los reembolsos de los evergreen. La convicción subiría si las peticiones de reembolso del 4T26 quedan por debajo del 5 % y se confirma el precio por debajo de 791,87 CHF; bajaría con un nuevo límite de reembolsos.</w:t>
      </w:r>
    </w:p>
    <w:p>
      <w:pPr>
        <w:spacing w:after="100"/>
      </w:pPr>
      <w:r>
        <w:rPr>
          <w:b/>
        </w:rPr>
        <w:t xml:space="preserve">El negocio.</w:t>
      </w:r>
      <w:r>
        <w:t xml:space="preserve"> Partners Group gestiona 186.000 M USD en mercados privados y cobra comisiones de gestión recurrentes (68 % de los ingresos en 2025) y de rendimiento al vender las inversiones [1, 2]. Con un margen EBITDA del 63 % y apenas capital invertido, el ROIC es del 50,8 % frente a un WACC del 8,35 %. Sostenibilidad del crecimiento: «En parte»; las pruebas de capital pasan con holgura, pero el 5,9 % anual que proyectamos depende de que la captación institucional (16.000 M USD en el 1S26, +31 %) compense la salida de los evergreen [1].</w:t>
      </w:r>
    </w:p>
    <w:p>
      <w:pPr>
        <w:spacing w:after="100"/>
      </w:pPr>
      <w:r>
        <w:rPr>
          <w:b/>
        </w:rPr>
        <w:t xml:space="preserve">Sector y ciclo.</w:t>
      </w:r>
      <w:r>
        <w:t xml:space="preserve"> Las gestoras alternativas cotizadas han caído más de un 25 % en 2026 por el miedo a la deuda privada y a los reembolsos de los fondos semilíquidos, con el mercado de salidas todavía cerrado [22, 23]. A Partners Group le pesa más que a nadie: el informe de Grizzly (abril) y el límite del 5 % a los reembolsos del Global Value SICAV (junio) la sitúan en el centro de la desconfianza [5].</w:t>
      </w:r>
    </w:p>
    <w:p>
      <w:pPr>
        <w:spacing w:after="100"/>
      </w:pPr>
      <w:r>
        <w:rPr>
          <w:b/>
        </w:rPr>
        <w:t xml:space="preserve">Finanzas.</w:t>
      </w:r>
      <w:r>
        <w:t xml:space="preserve"> 2026 es un año de retroceso: el 1S26 dio un beneficio de 502 M CHF (−13 %) con las comisiones de rendimiento en el 19 % de los ingresos, y la guía del año bajó al 20-25 % [1]. La deuda neta ajustada es de 1.088 M, baja frente a 1.543 M de EBITDA, pero el dividendo y las recompras superan al flujo operativo desde hace años y se financian en parte con bonos [10].</w:t>
      </w:r>
    </w:p>
    <w:p>
      <w:pPr>
        <w:spacing w:after="100"/>
      </w:pPr>
      <w:r>
        <w:rPr>
          <w:b/>
        </w:rPr>
        <w:t xml:space="preserve">Equipo y gobierno.</w:t>
      </w:r>
      <w:r>
        <w:t xml:space="preserve"> Sin accionista de control y con los fundadores en el consejo. El relevo del consejero delegado (Cagnati y Jenkner desde enero) llega en plena crisis; a favor, consejeros y directivos han comprado acciones por casi 39 M CHF desde septiembre [24, 26].</w:t>
      </w:r>
    </w:p>
    <w:p>
      <w:pPr>
        <w:spacing w:after="100"/>
      </w:pPr>
      <w:r>
        <w:rPr>
          <w:b/>
        </w:rPr>
        <w:t xml:space="preserve">Valoración.</w:t>
      </w:r>
      <w:r>
        <w:t xml:space="preserve"> El precio descuenta un crecimiento del 0,3 % anual en 2027-2035, frente al 5,9 % de nuestro caso base y al 8,8 % anual de las comisiones de gestión en 2020-2025: el mercado da por hecho que los activos dejan de crecer. La acción cotiza a 12,4 veces nuestro BPA de 2027e, frente a una mediana de 24,4 veces en 2022-2025; la regla lleva el base a 16,1 veces (el tope), y con eso basta. No tenemos comparables fechados y no pesan en la síntesis.</w:t>
      </w:r>
    </w:p>
    <w:p>
      <w:pPr>
        <w:spacing w:after="100"/>
      </w:pPr>
      <w:r>
        <w:rPr>
          <w:b/>
        </w:rPr>
        <w:t xml:space="preserve">Riesgos y catalizadores.</w:t>
      </w:r>
      <w:r>
        <w:t xml:space="preserve"> El riesgo principal es una crisis de liquidez de los evergreen (bajista del DCF −28 % frente al base) y, detrás, que las salidas se hagan con descuento sobre las valoraciones. El segundo, un recorte del dividendo en marzo de 2027. Los catalizadores: la actualización de activos de enero de 2027, las ventanas de reembolso trimestrales y los resultados de marzo. Los foros dudan del dividendo mientras los directivos compran.</w:t>
      </w:r>
    </w:p>
    <w:p>
      <w:pPr>
        <w:spacing w:after="100"/>
      </w:pPr>
      <w:r>
        <w:rPr>
          <w:b/>
        </w:rPr>
        <w:t xml:space="preserve">Qué cambiaría la decisión.</w:t>
      </w:r>
      <w:r>
        <w:t xml:space="preserve"> Compraríamos por debajo de 791,87 CHF con los datos confirmados en fuente primaria y reembolsos del 3T26 y 4T26 por debajo del 5 %; venderíamos por encima de 1.019,58 CHF. Un nuevo límite de reembolsos en otro fondo o un recorte del dividendo nos llevarían a revisar el bajista.</w:t>
      </w:r>
    </w:p>
    <w:p>
      <w:r>
        <w:br w:type="page"/>
      </w:r>
    </w:p>
    <w:p>
      <w:pPr>
        <w:pStyle w:val="Heading1"/>
      </w:pPr>
      <w:r>
        <w:t xml:space="preserve">Resumen ejecutivo</w:t>
      </w:r>
    </w:p>
    <w:p>
      <w:pPr>
        <w:pStyle w:val="Confianza"/>
        <w:spacing w:after="100"/>
      </w:pPr>
      <w:r>
        <w:t xml:space="preserve">Confianza: Baja</w:t>
      </w:r>
    </w:p>
    <w:p>
      <w:pPr>
        <w:pStyle w:val="Aviso"/>
        <w:spacing w:after="100"/>
      </w:pPr>
      <w:r>
        <w:t xml:space="preserve">Aviso: este informe no incluye «18. Comparables cotizados», porque no se encontró información verificable tras tres búsquedas. Ver el anexo «Información no disponible».</w:t>
      </w:r>
    </w:p>
    <w:p>
      <w:pPr>
        <w:spacing w:after="100"/>
      </w:pPr>
      <w:r>
        <w:rPr>
          <w:b/>
          <w:bCs/>
        </w:rPr>
        <w:t xml:space="preserve">Recomendación: Mantener</w:t>
      </w:r>
      <w:r>
        <w:t xml:space="preserve"> · Convicción: Baja · Horizonte: 12 meses · Objetivo a 12 meses: </w:t>
      </w:r>
      <w:r>
        <w:rPr>
          <w:b/>
          <w:bCs/>
        </w:rPr>
        <w:t xml:space="preserve">736,11 CHF</w:t>
      </w:r>
      <w:r>
        <w:t xml:space="preserve"> (rentabilidad +31,5 % (base +27,2 %)) · Valor intrínseco: 851,06 CHF (+43,1 % sobre 594,60) · con la prima implícita del mercado: 1.058,52 (+78,0 %)</w:t>
      </w:r>
    </w:p>
    <w:p>
      <w:pPr>
        <w:spacing w:after="100"/>
      </w:pPr>
      <w:r>
        <w:t xml:space="preserve">Partners Group es una de las grandes gestoras europeas de mercados privados: 186.000 M USD de activos, 2.563 M CHF de ingresos en 2025 y 1.261 M de beneficio, con un margen EBITDA del 63 % y apenas capital invertido [1, 2]. Dos tercios de los ingresos son comisiones de gestión ligadas a compromisos de 10-12 años; el resto, comisiones de rendimiento que dependen de las salidas.</w:t>
      </w:r>
    </w:p>
    <w:p>
      <w:pPr>
        <w:spacing w:after="100"/>
      </w:pPr>
      <w:r>
        <w:t xml:space="preserve">El precio (594,60 CHF) descuenta que el negocio deja de crecer: el DCF inverso pide un crecimiento del 0,3 % anual, y la acción cotiza a 12,4 veces nuestro BPA de 2027e, la mitad de su mediana histórica medida igual, con una rentabilidad por dividendo del 7,7 % [28].</w:t>
      </w:r>
    </w:p>
    <w:p>
      <w:pPr>
        <w:spacing w:after="100"/>
      </w:pPr>
      <w:r>
        <w:t xml:space="preserve">El mercado acierta en que 2026 es malo (beneficio −13 % en el semestre) y en que los evergreen tienen un problema de liquidez [1, 5]. Creemos que se equivoca en la duración: la captación institucional es récord, las comisiones de gestión siguen creciendo con los activos y una vuelta de las comisiones de rendimiento a la parte baja de su rango basta para un BPA de 52 CHF en 2028e. Hay que creer que los reembolsos se normalizan y que las valoraciones de los fondos aguantan las salidas.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46,75 = 509,58 · 13,6x × 52,23 = 710,33 · 18,4x × 55,12 = 1.014,21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 / 27,2 %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856,07 (nuestro base -17,0 %)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851,06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 /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frente a 8,3 %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1.058,52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675,29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675,29 y 869,01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869,01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+54,3 %, base +49,2 % y valor intrínseco de 851,06 CHF por encima del precio de 594,60), y la calidad pasa con holgura (ROIC del 50,8 % frente a un WACC del 8,35 %). Nos apartamos por dos razones que la valoración no recoge. Primera, la confianza de los datos de núcleo es baja: el precio es del 9-oct (tres sesiones antes del corte), las acciones son estimación propia y el balance sale de agregadores sin desglose, no del informe semestral (decisión del usuario: confianza baja no compra). Segunda, hay un riesgo binario sin fecha que las cifras no capturan: una nueva oleada de reembolsos en los evergreen o salidas con descuento que den la razón al informe de Grizzly. Pasaría a Comprar si se confirma con fuente primaria un cierre por debajo de 791,87 CHF, el balance de junio y las peticiones de reembolso del 3T26 por debajo del 5 %.</w:t>
      </w:r>
    </w:p>
    <w:p>
      <w:pPr>
        <w:pStyle w:val="Heading2"/>
      </w:pPr>
      <w:r>
        <w:t xml:space="preserve">Qué cambiaría la recomendación</w:t>
      </w:r>
    </w:p>
    <w:p>
      <w:pPr>
        <w:pStyle w:val="ListParagraph"/>
        <w:numPr>
          <w:ilvl w:val="0"/>
          <w:numId w:val="2"/>
        </w:numPr>
        <w:spacing w:after="60"/>
      </w:pPr>
      <w:r>
        <w:t xml:space="preserve">Confirmación con fuente primaria de un cierre por debajo de 791,87 CHF, del balance de junio y de reembolsos del 3T26 por debajo del 5 %: pasaríamos a Comprar.</w:t>
      </w:r>
    </w:p>
    <w:p>
      <w:pPr>
        <w:pStyle w:val="ListParagraph"/>
        <w:numPr>
          <w:ilvl w:val="0"/>
          <w:numId w:val="2"/>
        </w:numPr>
        <w:spacing w:after="60"/>
      </w:pPr>
      <w:r>
        <w:t xml:space="preserve">Un nuevo límite de reembolsos en otro evergreen (Master Fund o fondos de EE. UU.): revisaríamos el bajista a la baja.</w:t>
      </w:r>
    </w:p>
    <w:p>
      <w:pPr>
        <w:pStyle w:val="ListParagraph"/>
        <w:numPr>
          <w:ilvl w:val="0"/>
          <w:numId w:val="2"/>
        </w:numPr>
        <w:spacing w:after="60"/>
      </w:pPr>
      <w:r>
        <w:t xml:space="preserve">Un recorte del dividendo de 46 CHF en marzo de 2027: revisaríamos el múltiplo base.</w:t>
      </w:r>
    </w:p>
    <w:p>
      <w:pPr>
        <w:pStyle w:val="ListParagraph"/>
        <w:numPr>
          <w:ilvl w:val="0"/>
          <w:numId w:val="2"/>
        </w:numPr>
        <w:spacing w:after="60"/>
      </w:pPr>
      <w:r>
        <w:t xml:space="preserve">Precio por encima de 1.019,58 CHF: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los evergreen es estructural: activos estancados, comisiones de rendimiento bajas durante años y probablemente un recorte del dividendo. Lo dice el DCF inverso (0,3 % de crecimiento) y el PER de 12,4 veces el beneficio de 2027e.</w:t>
      </w:r>
    </w:p>
    <w:p>
      <w:pPr>
        <w:keepNext/>
        <w:spacing w:after="100"/>
      </w:pPr>
      <w:r>
        <w:rPr>
          <w:b/>
          <w:bCs/>
        </w:rPr>
        <w:t xml:space="preserve">Lo que creemos nosotros.</w:t>
      </w:r>
    </w:p>
    <w:p>
      <w:pPr>
        <w:spacing w:after="100"/>
      </w:pPr>
      <w:r>
        <w:t xml:space="preserve">Que es un problema de un canal (clientes privados en fondos con liquidez trimestral) en un negocio que sigue captando a ritmo récord con institucionales; las comisiones de gestión crecen un 5-6 % y las de rendimiento vuelven al 25 % en 2027-2028.</w:t>
      </w:r>
    </w:p>
    <w:p>
      <w:pPr>
        <w:keepNext/>
        <w:spacing w:after="100"/>
      </w:pPr>
      <w:r>
        <w:rPr>
          <w:b/>
          <w:bCs/>
        </w:rPr>
        <w:t xml:space="preserve">Por qué podemos tener razón.</w:t>
      </w:r>
    </w:p>
    <w:p>
      <w:pPr>
        <w:spacing w:after="100"/>
      </w:pPr>
      <w:r>
        <w:t xml:space="preserve">La captación del 1S26 (+31 %) y la guía de 26.000-32.000 M USD se han mantenido pese a la crisis, y los directivos han comprado 39 M CHF de acciones; en 2022 las comisiones de rendimiento se hundieron y se recuperaron en dos años [1, 13, 26].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en mínimos</w:t>
      </w:r>
      <w:r>
        <w:t xml:space="preserve">: 12,4 veces nuestro BPA de 2027e frente a una mediana de 24,4 veces en 2022-2025.</w:t>
      </w:r>
    </w:p>
    <w:p>
      <w:pPr>
        <w:pStyle w:val="ListParagraph"/>
        <w:numPr>
          <w:ilvl w:val="0"/>
          <w:numId w:val="2"/>
        </w:numPr>
        <w:spacing w:after="60"/>
      </w:pPr>
      <w:r>
        <w:rPr>
          <w:b/>
        </w:rPr>
        <w:t xml:space="preserve">Captación récord</w:t>
      </w:r>
      <w:r>
        <w:t xml:space="preserve">: 16.000 M USD en el 1S26 (+31 %) y guía anual de 26.000-32.000 M mantenida.</w:t>
      </w:r>
    </w:p>
    <w:p>
      <w:pPr>
        <w:pStyle w:val="ListParagraph"/>
        <w:numPr>
          <w:ilvl w:val="0"/>
          <w:numId w:val="2"/>
        </w:numPr>
        <w:spacing w:after="60"/>
      </w:pPr>
      <w:r>
        <w:rPr>
          <w:b/>
        </w:rPr>
        <w:t xml:space="preserve">Calidad del negocio</w:t>
      </w:r>
      <w:r>
        <w:t xml:space="preserve">: ROIC del 50,8 % y margen EBITDA del 63 %.</w:t>
      </w:r>
    </w:p>
    <w:p>
      <w:pPr>
        <w:pStyle w:val="ListParagraph"/>
        <w:numPr>
          <w:ilvl w:val="0"/>
          <w:numId w:val="2"/>
        </w:numPr>
        <w:spacing w:after="60"/>
      </w:pPr>
      <w:r>
        <w:rPr>
          <w:b/>
        </w:rPr>
        <w:t xml:space="preserve">Dividendo del 7,7 %</w:t>
      </w:r>
      <w:r>
        <w:t xml:space="preserve">: 46 CHF por acción, 17 años de subidas seguidas.</w:t>
      </w:r>
    </w:p>
    <w:p>
      <w:pPr>
        <w:pStyle w:val="ListParagraph"/>
        <w:numPr>
          <w:ilvl w:val="0"/>
          <w:numId w:val="2"/>
        </w:numPr>
        <w:spacing w:after="60"/>
      </w:pPr>
      <w:r>
        <w:rPr>
          <w:b/>
        </w:rPr>
        <w:t xml:space="preserve">Directivos comprando</w:t>
      </w:r>
      <w:r>
        <w:t xml:space="preserve">: casi 39 M CHF desde septiembre.</w:t>
      </w:r>
    </w:p>
    <w:p>
      <w:pPr>
        <w:pStyle w:val="Heading2"/>
      </w:pPr>
      <w:r>
        <w:t xml:space="preserve">En contra</w:t>
      </w:r>
    </w:p>
    <w:p>
      <w:pPr>
        <w:pStyle w:val="ListParagraph"/>
        <w:numPr>
          <w:ilvl w:val="0"/>
          <w:numId w:val="2"/>
        </w:numPr>
        <w:spacing w:after="60"/>
      </w:pPr>
      <w:r>
        <w:rPr>
          <w:b/>
        </w:rPr>
        <w:t xml:space="preserve">Riesgo de liquidez en los evergreen</w:t>
      </w:r>
      <w:r>
        <w:t xml:space="preserve">: peticiones del 9,8 % frente a un límite del 5 % en el 2T26.</w:t>
      </w:r>
    </w:p>
    <w:p>
      <w:pPr>
        <w:pStyle w:val="ListParagraph"/>
        <w:numPr>
          <w:ilvl w:val="0"/>
          <w:numId w:val="2"/>
        </w:numPr>
        <w:spacing w:after="60"/>
      </w:pPr>
      <w:r>
        <w:rPr>
          <w:b/>
        </w:rPr>
        <w:t xml:space="preserve">Acusación de valoraciones infladas</w:t>
      </w:r>
      <w:r>
        <w:t xml:space="preserve"> (Grizzly, hasta un 40 % de las inversiones de los evergreen).</w:t>
      </w:r>
    </w:p>
    <w:p>
      <w:pPr>
        <w:pStyle w:val="ListParagraph"/>
        <w:numPr>
          <w:ilvl w:val="0"/>
          <w:numId w:val="2"/>
        </w:numPr>
        <w:spacing w:after="60"/>
      </w:pPr>
      <w:r>
        <w:rPr>
          <w:b/>
        </w:rPr>
        <w:t xml:space="preserve">Beneficio a la baja en 2026</w:t>
      </w:r>
      <w:r>
        <w:t xml:space="preserve">: −13 % en el 1S26 y comisiones de rendimiento al 19 % de los ingresos.</w:t>
      </w:r>
    </w:p>
    <w:p>
      <w:pPr>
        <w:pStyle w:val="ListParagraph"/>
        <w:numPr>
          <w:ilvl w:val="0"/>
          <w:numId w:val="2"/>
        </w:numPr>
        <w:spacing w:after="60"/>
      </w:pPr>
      <w:r>
        <w:rPr>
          <w:b/>
        </w:rPr>
        <w:t xml:space="preserve">Dividendo tenso</w:t>
      </w:r>
      <w:r>
        <w:t xml:space="preserve">: 95 % del beneficio de 12 meses, con dividendos y recompras por encima del flujo operativo.</w:t>
      </w:r>
    </w:p>
    <w:p>
      <w:pPr>
        <w:pStyle w:val="ListParagraph"/>
        <w:numPr>
          <w:ilvl w:val="0"/>
          <w:numId w:val="2"/>
        </w:numPr>
        <w:spacing w:after="60"/>
      </w:pPr>
      <w:r>
        <w:rPr>
          <w:b/>
        </w:rPr>
        <w:t xml:space="preserve">Datos de este informe poco fiables</w:t>
      </w:r>
      <w:r>
        <w:t xml:space="preserve">: precio del 9-oct, acciones estimadas y balance de agregadores.</w:t>
      </w:r>
    </w:p>
    <w:p>
      <w:pPr>
        <w:pStyle w:val="Heading2"/>
      </w:pPr>
      <w:r>
        <w:t xml:space="preserve">Qué tiene que pasar para que la tesis funcione</w:t>
      </w:r>
    </w:p>
    <w:p>
      <w:pPr>
        <w:spacing w:after="100"/>
      </w:pPr>
      <w:r>
        <w:t xml:space="preserve">La tesis depende de que los reembolsos de los evergreen vuelvan por debajo del 5 % trimestral y de que la captación institucional siga compensando. La señal de que no se cumple: un nuevo límite de reembolsos en otro fondo, una actualización de activos de enero de 2027 con activos netos estancados o salidas hechas con descuento sobre el valor contable de los fondos.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Peticiones de reembolso de los evergreen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en el 2T26 (Global Value SICAV)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crisis de confianza del canal privado.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 M USD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26.000 M USD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comisiones de gestión.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rendimiento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2026 o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frente a menos comisiones.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acción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Recorte en marzo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Ancla de la valoración para el inversor de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Partners Group nació en 1996 en Zug, fundada por Marcel Erni, Alfred Gantner y Urs Wietlisbach, tres antiguos banqueros de Goldman Sachs, como gestora de fondos de fondos de capital privado [18]. Salió a bolsa en la SIX en 2006 y pasó de seleccionar gestores a invertir directamente en empresas, infraestructuras, inmobiliario y deuda privada, con un modelo de «inversión temática» y gestión activa de las participadas [19]. Fue pionera en los fondos perpetuos (evergreen) para clientes privados, que hoy son una parte relevante de sus activos y el origen de la crisis de 2026: el informe bajista de Grizzly (abril) y la limitación de reembolsos del Global Value SICAV (junio) [5]. Ha alternado consejeros delegados únicos y conjuntos: volverá a la dirección conjunta en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Zug por Erni, Gantner y Wietlisbach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comisiones de rendimiento (1.197 M CHF, 46 % de los ingresos) y beneficio de 1.464 M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29 % de los ingresos al normalizarse las comisiones de rendimiento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de 1.261 M CHF y dividendo de 46 CHF; cambio de la medida de rentabilidad de EBIT a EBITDA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bajista de Grizzly (abril), límite del 5 % a los reembolsos del Global Value SICAV (junio), guía de comisiones rebajada y relevo del consejero delegado anunciado (septiembre) [1, 5,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Partners Group gestiona 186.000 M USD de activos en mercados privados (capital privado, deuda privada, infraestructuras e inmobiliario) para unos clientes institucionales (fondos de pensiones, aseguradoras, fondos soberanos) y, cada vez más, privados a través de bancos y gestoras patrimoniales [1]. Invierte sobre todo de forma directa, con mandatos a medida, programas cerrados y fondos perpetuos (evergreen) que admiten suscripciones y reembolsos periódicos [5]. Tiene sede en Baar-Zug y oficinas en una veintena de países [19].</w:t>
      </w:r>
    </w:p>
    <w:p>
      <w:pPr>
        <w:pStyle w:val="Heading2"/>
      </w:pPr>
      <w:r>
        <w:t xml:space="preserve">Cómo gana dinero</w:t>
      </w:r>
    </w:p>
    <w:p>
      <w:pPr>
        <w:spacing w:after="100"/>
      </w:pPr>
      <w:r>
        <w:t xml:space="preserve">Cobra dos tipos de ingresos. Las comisiones de gestión (1.744 M CHF en 2025, el 68 % de los ingresos) son recurrentes y crecen con los activos medios en CHF; dependen de captar más de lo que sale por vencimiento de los programas antiguos (tail-down de 10.000-13.000 M USD en 2026) [1, 2]. Las comisiones de rendimiento (819 M, el 32 %) son una parte de las plusvalías que se cobra al vender las inversiones: oscilan entre el 19 % y el 46 % de los ingresos según el calendario de salidas [1, 2, 3]. Con costes casi todos de personal y un margen EBITDA del 63 %, el apalancamiento operativo es alto; las comisiones de rendimiento llevan además una parte del variable de los empleados, lo que amortigua su efecto en el margen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gestión (management fees)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rendimiento (performance fees)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gestión (management fees)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rendimiento (performance fees)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r>
    </w:tbl>
    <w:p>
      <w:pPr>
        <w:spacing w:after="160" w:before="0"/>
      </w:pPr>
    </w:p>
    <w:p>
      <w:pPr>
        <w:pStyle w:val="Heading2"/>
      </w:pPr>
      <w:r>
        <w:t xml:space="preserve">Clientes, recurrencia y poder de precios</w:t>
      </w:r>
    </w:p>
    <w:p>
      <w:pPr>
        <w:spacing w:after="100"/>
      </w:pPr>
      <w:r>
        <w:t xml:space="preserve">La base de clientes es amplia y sin concentración publicada; los institucionales comprometen capital a 10-12 años en los programas cerrados, lo que da visibilidad a las comisiones de gestión [19]. Los privados entran por los evergreen, que dan más margen pero tienen liquidez periódica: en el 2T26 las peticiones de reembolso del Global Value SICAV llegaron al 9,8 % de su valor frente a un límite del 5 % trimestral, y la empresa aplicó ese límite [5]. La captación de 2026 (16.000 M USD en el semestre, +31 %) muestra que los institucionales siguen comprometiendo capital [1]. El poder de precio se ve en un margen de ingresos estable; no hay datos públicos de rebajas de comisiones.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gestionados (AuM)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≈174.000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186.000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USD; en CHF menos por la divisa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bruta (nuevos compromisos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16.000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guía de 2026: 26.000-32.000 M USD con salidas (tail-down) de 10.000-13.000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comisiones de rendimiento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rebajada al 20-25 %; objetivo a medio plazo 25-40 %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64,0 %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63,0 %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al 60 % a lo largo del ciclo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gestión (management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1S25: ≈854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 905 M CHF</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en CHF (+12 % sin divisa)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Crecen con los activos medios en CHF, según la guía [1].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gestión de activos alternativos en mercados privados (capital privado, deuda privada, infraestructuras e inmobiliario), en el que las gestoras cobran comisiones sobre los activos y sobre las plusvalías. Preqin lo mide como activos gestionados en alternativos, incluidos los fondos de cobertura y los recursos naturales, y prevé 32 billones USD en 2030 [21]. Usamos esa cifra como orden de magnitud; no tenemos una segunda fuente independiente con la misma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 billones USD de activos alternativos en 2030 según Preqin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asignaciones de los mercados cotizados a los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 prevé casi duplicar los activos alternativos hasta 2030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del cliente privado (evergreen y semilíquidos)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la captación, pero los reembolsos de 2026 (9,8 % del Global Value SICAV en un trimestre) muestran el desajuste de liquidez [5,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salidas (OPV y compraventas)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atasco bajó las comisiones de rendimiento de Partners Group al 19 % de los ingresos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Miedo a la deuda privada y a las valoraciones de los fondos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mayoría de las gestoras alternativas cayeron más del 25 % en el 1S26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capital con las grandes plataformas de EE. UU. (Blackstone, KKR, Apollo) y Europa (EQT, CVC)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institucionales negocian comisiones; los privados pueden pedir reembolsos en los evergreen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talento inversor es el insumo clave y se lleva una parte de las comisiones de rendimiento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historial de rentabilidades y distribución global; las gestoras nuevas no captan a gran escala.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fondos cotizados de bajo coste y la deuda pública con tipos más altos compiten por la misma asignación [23].</w:t>
            </w:r>
          </w:p>
        </w:tc>
      </w:tr>
    </w:tbl>
    <w:p>
      <w:pPr>
        <w:spacing w:after="160" w:before="0"/>
      </w:pPr>
    </w:p>
    <w:p>
      <w:pPr>
        <w:pStyle w:val="Heading2"/>
      </w:pPr>
      <w:r>
        <w:t xml:space="preserve">Ciclo</w:t>
      </w:r>
    </w:p>
    <w:p>
      <w:pPr>
        <w:spacing w:after="100"/>
      </w:pPr>
      <w:r>
        <w:t xml:space="preserve">Las salidas siguen atascadas y las gestoras cotizadas cotizan con fuertes caídas en 2026 por el miedo a la deuda privada y a los reembolsos [22, 23]. En 2022 Partners Group perdió un 29 % de ingresos y un 46 % en bolsa al hundirse las comisiones de rendimiento, y se recuperó en 2023-2025 [13]; en 2020 las comisiones cayeron al 19 % de los ingresos y se recuperaron en el segundo semestre [15]. La captación, en cambio, crece: el ciclo pesa en las comisiones de rendimiento, no en las de gestión.</w:t>
      </w:r>
    </w:p>
    <w:p>
      <w:pPr>
        <w:pStyle w:val="Heading2"/>
      </w:pPr>
      <w:r>
        <w:t xml:space="preserve">Regulación</w:t>
      </w:r>
    </w:p>
    <w:p>
      <w:pPr>
        <w:spacing w:after="100"/>
      </w:pPr>
      <w:r>
        <w:t xml:space="preserve">Los fondos para clientes privados en Europa (ELTIF 2.0 y fondos UCI Parte II luxemburgueses) y la apertura de los planes de pensiones de EE. UU. a los activos privados amplían el mercado, pero los supervisores vigilan la liquidez y las valoraciones de los semilíquidos tras los reembolsos de 2026 [22]. Los cambios de Partners Group en la cúpula necesitan la aprobación de la FINMA [20].</w:t>
      </w:r>
    </w:p>
    <w:p>
      <w:pPr>
        <w:pStyle w:val="Heading2"/>
      </w:pPr>
      <w:r>
        <w:t xml:space="preserve">Tendencias y disrupción</w:t>
      </w:r>
    </w:p>
    <w:p>
      <w:pPr>
        <w:spacing w:after="100"/>
      </w:pPr>
      <w:r>
        <w:t xml:space="preserve">La industria se desplaza hacia el cliente privado, la deuda privada y las infraestructuras, y hacia plataformas grandes que ofrecen todas las clases de activos. Partners Group gana con su historial en evergreen y su presencia en Europa y Asia, pero pierde frente a las plataformas de EE. UU. en escala de deuda privada y es la más expuesta al deterioro de confianza en los evergreen tras el informe de Grizzly [5, 23].</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grandes gestoras europeas de mercados privados, con 186.000 M USD de activos, por detrás de EQT y CVC en capital privado europeo y lejos de Blackstone, KKR o Apollo en tamaño [1,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Blackstone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plataforma de activos alternativos; también vende fondos semilíquidos a clientes privados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KKR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infraestructuras y seguros (Global Atlantic)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Apollo Global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Sesgada a deuda privada y seguros; también golpeada por los reembolsos en 2026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gran rival europeo en capital privado e infraestructuras; cotiza con más múltiplo que Partners Group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CVC Capital Partners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privado europeo; cotiza por debajo de Partners Group según la prensa alemana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activos dan más acceso a operaciones, pero no hay efecto de red propiamente dicho.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programas cerrados atan el capital 10-12 años; los evergreen, en cambio, permiten salir cada trimestre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rentabilidades de casi 30 años; la marca ha sufrido con Grizzly y el límite de reembolsos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63 %, alto para el sector, pero conseguido sobre todo con escala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186.000 M USD de activos y presencia global; la escala atrae a los grandes institucionales [8].</w:t>
            </w:r>
          </w:p>
        </w:tc>
      </w:tr>
    </w:tbl>
    <w:p>
      <w:pPr>
        <w:spacing w:after="160" w:before="0"/>
      </w:pPr>
    </w:p>
    <w:p>
      <w:pPr>
        <w:pStyle w:val="Heading2"/>
      </w:pPr>
      <w:r>
        <w:t xml:space="preserve">Amenazas</w:t>
      </w:r>
    </w:p>
    <w:p>
      <w:pPr>
        <w:spacing w:after="100"/>
      </w:pPr>
      <w:r>
        <w:t xml:space="preserve">La amenaza principal es de confianza: si los reembolsos de los evergreen siguen por encima del 5 % trimestral, los bancos que los distribuyen pueden frenar la venta y la captación privada caería; la empresa ya prevé que los evergreen resten 1-2 puntos al crecimiento de los activos en el 2S26 y en 2027 [1]. La segunda es de rentabilidades: si las salidas se hacen con descuento sobre las valoraciones, bajan las comisiones de rendimiento y se resiente el historial con el que se capta. Probabilidad media en 12-24 meses.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2020-2025: ingresos </w:t>
      </w:r>
      <w:r>
        <w:rPr>
          <w:b/>
          <w:bCs/>
        </w:rPr>
        <w:t xml:space="preserve">12,7 %</w:t>
      </w:r>
      <w:r>
        <w:t xml:space="preserve">, EBITDA </w:t>
      </w:r>
      <w:r>
        <w:rPr>
          <w:b/>
          <w:bCs/>
        </w:rPr>
        <w:t xml:space="preserve">n.d.</w:t>
      </w:r>
      <w:r>
        <w:t xml:space="preserve">, BPA </w:t>
      </w:r>
      <w:r>
        <w:rPr>
          <w:b/>
          <w:bCs/>
        </w:rPr>
        <w:t xml:space="preserve">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1.412 M CHF en 2020 a 2.563 M en 2025, pero con un pico en 2021 (2.629 M) y una caída del 29 % en 2022 [2, 3, 13, 15]. Las comisiones de gestión, que dependen de los activos, crecieron de 1.146 a 1.744 M (+8,8 % anual); las de rendimiento oscilaron entre 266 y 1.197 M según las salidas [2, 3, 15]. El margen EBITDA se mantiene en el 63-64 % (62,9 % en 2025) porque una parte del variable del personal va ligada a las comisiones de rendimiento [2, 14]. 2026 será un año de retroceso: el 1S26 dio 1.121 M de ingresos (−4,1 %) y 502 M de beneficio (−13 %) con las comisiones de rendimiento en el 19 % de los ingresos [1]. Todo el crecimiento es orgánico: la empresa no compra negocios.</w:t>
      </w:r>
    </w:p>
    <w:p>
      <w:pPr>
        <w:pStyle w:val="Heading2"/>
      </w:pPr>
      <w:r>
        <w:t xml:space="preserve">Ajustes y partidas no recurrentes</w:t>
      </w:r>
    </w:p>
    <w:p>
      <w:pPr>
        <w:spacing w:after="100"/>
      </w:pPr>
      <w:r>
        <w:t xml:space="preserve">Usamos las cifras publicadas. Desde 2025 la empresa mide la rentabilidad con el EBITDA y no con el EBIT [2]. No hay partidas no recurrentes relevantes en la cuenta; la variabilidad viene de las comisiones de rendimiento y del resultado financiero (+61 M en 2024, −10 M en 2025 y negativo en el 1S26 por la valoración de las inversiones propias) [1, 2]. El BPA es el diluido publicado (MarketScreener y TipRanks); el de 2020 es el básico [16, 17]. Los ingresos de gestión de 2022 y 2024 son ingresos totales menos comisiones de rendimiento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1S26 (1-sep-2026) la dirección puso el acento en la captación récord (16.000 M USD, +31 %) y en que los ingresos de gestión crecen con los activos (+12 % sin divisa), y rebajó la guía de comisiones de rendimiento de 2026 al 20-25 % de los ingresos (antes, la parte baja del 25-40 %) por el retraso de las salidas y menores ingresos de inversión [1, 4]. Avisó de que la plataforma evergreen frenará el crecimiento neto de los activos en 1-2 puntos en el 2S26 y algo parecido en 2027, tras limitar al 5 % trimestral los reembolsos del Global Value SICAV en junio [1, 5]. Anunció además el relevo en la cúpula: David Layton deja de ser consejero delegado el 1-ene-2027 para ser director de inversiones, y Roberto Cagnati y Juri Jenkner serán consejeros delegados conjuntos [1, 6]. El beneficio por acción (19,48 CHF) quedó por debajo de lo esperado y la acción cayó un 8 % en la apertura [6, 7]. La conferencia de julio (avance de captación) ya había confirmado la guía de captación; entre una y otra, el discurso pasó de «comisiones en la parte baja del rango» a «por debajo del rango»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patrimonio bajó de 2.898 M en 2021 a 2.187 M en 2025 mientras el pasivo subía de 1.934 a 4.201 M: la empresa reparte más que su flujo operativo (dividendos y recompras de 1.426 M en 2025) y lo cubre con deuda [8, 9, 10]. La deuda neta del puente es de 400 M y, con el dividendo de mayo descontado, la ajustada de 1.088 M, todavía baja frente a un EBITDA de 1.543 M en los últimos 12 meses. No es un problema de solvencia, pero limita el margen para mantener a la vez el dividendo y las recompras si las comisiones de rendimiento no se recuperan.</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4.463</w:t>
      </w:r>
      <w:r>
        <w:t xml:space="preserve">, conversión </w:t>
      </w:r>
      <w:r>
        <w:rPr>
          <w:b/>
          <w:bCs/>
        </w:rPr>
        <w:t xml:space="preserve">76 %</w:t>
      </w:r>
      <w:r>
        <w:t xml:space="preserve"> del beneficio neto; adquisiciones 0, dividendos 4.655, recompras 1.855.</w:t>
      </w:r>
    </w:p>
    <w:p>
      <w:pPr>
        <w:spacing w:after="100"/>
      </w:pPr>
      <w:r>
        <w:t xml:space="preserve">El flujo operativo es irregular (643-1.515 M en 2021-2025) porque las comisiones de rendimiento se devengan antes de cobrarse y la empresa adelanta caja a sus programas; en cinco años suma 4.858 M frente a 5.861 M de beneficio, una conversión del 83 % [10, 11]. El capex (56-141 M, sobre todo oficinas y sistemas) es pequeño frente a la caja generada; en 2025 los agregadores discrepan (8,5 M de inmovilizado material en Stock Analysis, sin la parte de intangibles) y se deja sin dato [10, 11]. Dividendos (4.655 M) y recompras (1.855 M) en 2021-2025 suman más que el flujo operativo: la diferencia se ha financiado con bonos, que llevaron la deuda bruta a 2.386 M en 2025 [8, 10].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Partners Group reconoce las comisiones de rendimiento cuando es muy probable que no haya que devolverlas, lo que concentra el beneficio en los años de muchas salidas (2021: 46 % de los ingresos) [3]. El punto débil contable no está en la gestora sino en los fondos: el informe bajista de Grizzly Research (abril de 2026) sostuvo que hasta un 40 % de las inversiones de los evergreen podría estar sobrevalorado; la empresa lo calificó de «frívolo y difamatorio» y dice que terceros validan las valoraciones [5]. Si las valoraciones de los fondos estuvieran infladas, el riesgo para la gestora sería de reembolsos y de comisiones de rendimiento futuras, no de su balance. El motor no puede calcular Altman, Piotroski ni Beneish con el balance incompleto de los agregadores.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Acusación de valoraciones infladas en los fondos evergreen (Grizzly Research)</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pruebas públicas de error; la limitación de reembolsos de junio dio munición al argumento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 por encima del flujo operativo, financiados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1.426 M en 2025 frente a 1.515 M de flujo operativo y 1.261 M de beneficio [2, 10].</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8,3 %.</w:t>
      </w:r>
    </w:p>
    <w:p>
      <w:pPr>
        <w:spacing w:after="100"/>
      </w:pPr>
      <w:r>
        <w:t xml:space="preserve">Partners Group crea mucho valor por unidad de capital: un ROIC del 50,8 % en 2025 frente a un WACC del 8,35 %, porque el capital invertido (≈2.500 M) es pequeño frente a un NOPAT de 1.270 M. Lo mueve el margen (beneficio neto del 49 % de los ingresos), no la rotación (0,42 veces). Con el balance incompleto de los agregadores, el capital invertido incluye las inversiones propias en los programas y los préstamos puente, así que el ROIC del negocio de gestión sería aún mayor; el de 2021 (85 %) refleja el pico de comisiones de rendimiento. El ROIC incremental histórico (24,6 %) confirma que el crecimiento apenas necesita capital [2, 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329 M CHF e inversiones a corto plazo (préstamos puente a los propios programas y liquidez gestionada) de 1.657 M a 31-dic-25: 1.986 M en total [8,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bruta de 2.386 M CHF a cierre de 2025 (bonos en francos, 1.056 M a corto plazo) se ha usado para financiar préstamos puente a los propios programas y las recompras [8]. Frente a ella hay 1.986 M de caja e inversiones a corto plazo y 1.146 M de inversiones propias en los programas (compromisos de en torno al 1 %), que en un mercado de salidas cerrado son menos líquidas de lo que parecen [8, 9]. No tenemos el detalle de vencimientos, rating ni compromisos pendientes de desembolso.</w:t>
      </w:r>
    </w:p>
    <w:p>
      <w:pPr>
        <w:pStyle w:val="Heading1"/>
      </w:pPr>
      <w:r>
        <w:t xml:space="preserve">12. Asignación de capital</w:t>
      </w:r>
    </w:p>
    <w:p>
      <w:pPr>
        <w:pStyle w:val="Confianza"/>
        <w:spacing w:after="100"/>
      </w:pPr>
      <w:r>
        <w:t xml:space="preserve">Confianza: Media</w:t>
      </w:r>
    </w:p>
    <w:p>
      <w:pPr>
        <w:spacing w:after="100"/>
      </w:pPr>
      <w:r>
        <w:t xml:space="preserve">Dividendo creciente durante 17 años seguidos con un reparto en torno al 80-95 % del beneficio: 46,00 CHF por acción por 2025 (+10 %), aprobado en la junta del 20-may-2026 [2, 12]. Recompras de 334-569 M al año en 2021-2025, salvo 2023 (67 M) [10]. La empresa no tiene adquisiciones relevantes: crece de forma orgánica y usa su balance para comprometer capital propio en sus programas (en torno al 1 %) y para préstamos puente a esos programas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La asignación de capital ha sido de devolver casi todo: en 2021-2025 el flujo operativo acumulado fue de 4.858 M y los dividendos y recompras sumaron 6.510 M [10, 11]. El ROIC incremental histórico es del 24,6 % y el ROIC de 2025 del 50,8 %: crecer apenas consume capital, así que devolverlo es razonable [2]. Pero recomprar en 2024 a precios de 1.100-1.300 CHF y endeudarse para pagar el dividendo ha dejado menos colchón justo cuando las comisiones de rendimiento caen. Los directivos, en cambio, compran ahora con su dinero (39 M desde septiembre) [26].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Meister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Reelegido presidente ejecutivo en la junta del 20-may-2026 [12]. Socio histórico de la firma.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Layton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(hasta el 31-dic-2026; después, director de inversiones)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2019, primero conjunto y luego único; bajo su mandato los activos pasaron de ≈94.000 M a 186.000 M USD. Deja la dirección ejecutiva para presidir el comité global de inversiones [1,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Cagnati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conjunto designado (desde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responsable de Portfolio Solutions y director de riesgos. Nombramiento pendiente de la FINMA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Juri Jenkner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conjunto designado (desde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presidente y responsable de desarrollo de negocio (captación)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los tres fundadores tenían en torno al 10 % cada uno en 2019 (dato antiguo, sin actualizar)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rendimiento en la parte baja del 25-40 % de los ingresos (marzo)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al 20-25 % en septiembre; 19 %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de 26.000-32.000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16.000 M USD en el 1S26; guía reiterada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rendimiento dentro del 25-40 % de los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(819 M CHF)</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rendimiento dentro de la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269 M CHF; la empresa las declaró «en línea con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de la casa: los dos consejeros delegados designados llevan 22 años en la empresa y el saliente no se va, pasa a dirigir las inversiones [24]. Pero el relevo llega en plena crisis de confianza y el mercado lo recibió con una caída del 8 % [25]. La credibilidad de la guía ha sufrido en 2026: la de comisiones de rendimiento se rebajó dos veces en cinco meses [1, 4]. A favor, consejeros y directivos han comprado acciones por casi 39 M CHF desde septiembre, unos 21 M entre el 6 y el 8 de octubre [26].</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Meister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Gaëlle Olivier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Zhao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la comisión de nombramientos y retribuciones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Alfred Gantner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Marcel Erni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Urs Wietlisbach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Alfred Gantner, Marcel Erni, Urs Wietlisbach</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39,00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Fundadores (Gantner, Erni y Wietlisbach), conjuntamente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10 % cada uno en 2019 (dato antiguo)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334 M CHF en 2025 [10]</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y directivos (varios, anónimos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 (septiembre, acumulado)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20-may-2026 aprobó en votación consultiva el informe de remuneraciones de 2025 y los presupuestos del consejo y de la dirección; no encontramos los porcentajes de voto [12]. Una parte del variable de los empleados está ligada a las comisiones de rendimiento, que es lo que mantiene el margen EBITDA en torno al 60 % en los años de pocas salidas [2].</w:t>
      </w:r>
    </w:p>
    <w:p>
      <w:pPr>
        <w:pStyle w:val="Heading2"/>
      </w:pPr>
      <w:r>
        <w:t xml:space="preserve">Operaciones vinculadas, estructura de control y defensas</w:t>
      </w:r>
    </w:p>
    <w:p>
      <w:pPr>
        <w:spacing w:after="100"/>
      </w:pPr>
      <w:r>
        <w:t xml:space="preserve">No hay accionista de control: los tres fundadores, que siguen en el consejo, tenían en conjunto en torno a un tercio del capital en 2019, un bloque que pesa en la junta pero no la controla [18]. Una sola clase de acciones. El presidente es ejecutivo (Steffen Meister), contrapesado por una consejera independiente coordinadora (Gaëlle Olivier) [12]. Los consejeros se reeligen cada año, como exige la ley suiza.</w:t>
      </w:r>
    </w:p>
    <w:p>
      <w:pPr>
        <w:pStyle w:val="Heading2"/>
      </w:pPr>
      <w:r>
        <w:t xml:space="preserve">Señales de alerta</w:t>
      </w:r>
    </w:p>
    <w:p>
      <w:pPr>
        <w:pStyle w:val="ListParagraph"/>
        <w:numPr>
          <w:ilvl w:val="0"/>
          <w:numId w:val="2"/>
        </w:numPr>
        <w:spacing w:after="60"/>
      </w:pPr>
      <w:r>
        <w:t xml:space="preserve">Rebaja de la guía de comisiones de rendimiento dos veces en 2026 y relevo del consejero delegado anunciado en plena caída de la acción [1, 4, 24].</w:t>
      </w:r>
    </w:p>
    <w:p>
      <w:pPr>
        <w:pStyle w:val="ListParagraph"/>
        <w:numPr>
          <w:ilvl w:val="0"/>
          <w:numId w:val="2"/>
        </w:numPr>
        <w:spacing w:after="60"/>
      </w:pPr>
      <w:r>
        <w:t xml:space="preserve">Limitación de reembolsos del Global Value SICAV e informe bajista sobre las valoraciones de los evergreen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(1-sep-2026): captación de 26.000-32.000 M USD, con salidas por vencimiento de 10.000-13.000 M; ingresos de gestión en CHF en línea con los activos medios en CHF; comisiones de rendimiento del 20-25 % de los ingresos (antes, la parte baja del 25-40 %), según el calendario de salidas; objetivo a medio plazo del 25-40 % sin cambios; margen EBITDA en torno al 60 % a lo largo del ciclo. La plataforma evergreen restará 1-2 puntos al crecimiento neto de los activos en el 2S26 y algo parecido en 2027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media de 17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(probablemente anterior a los recortes de julio)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(probablemente anterior a los recortes de julio)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680,00 – 1.050,00</w:t>
            </w:r>
          </w:p>
        </w:tc>
      </w:tr>
    </w:tbl>
    <w:p>
      <w:pPr>
        <w:spacing w:after="160" w:before="0"/>
      </w:pPr>
    </w:p>
    <w:p>
      <w:pPr>
        <w:pStyle w:val="Heading2"/>
      </w:pPr>
      <w:r>
        <w:t xml:space="preserve">Revisiones de estimaciones</w:t>
      </w:r>
    </w:p>
    <w:p>
      <w:pPr>
        <w:spacing w:after="100"/>
      </w:pPr>
      <w:r>
        <w:t xml:space="preserve">Las estimaciones van a la baja: el 16-jul-2026, tras el avance de captación que anticipó menos comisiones de rendimiento, varias casas recortaron sus beneficios estimados entre un 10 % y un 22 % [30]. Tras el 1S26 (beneficio por debajo de lo esperado y guía de comisiones rebajada al 20-25 %), el objetivo medio de AWP bajó de 899 CHF (agosto) a 856 CHF (septiembre) [26, 31]; Webull da un consenso de 809 CHF, sin cambios tras los resultados, con un rango de 680-1.050 [32]. UBS bajó a Neutral con 705 CHF y Barclays a 940 CHF; la ZKB mantiene Sobreponderar con 1.050 [33, 34]. Solo hay una fuente con estimaciones de 2027-2028 (MarketScreener), que parece anterior a los recortes: se toma como contraste.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60" w:before="0"/>
      </w:pPr>
    </w:p>
    <w:p>
      <w:pPr>
        <w:spacing w:after="100"/>
      </w:pPr>
      <w:r>
        <w:t xml:space="preserve">La acción ha perdido un 39,5 % en 2026 (de 982,40 CHF al cierre de 2025 a 594,60 CHF el 9-oct) y en torno a un 55 % desde la primavera de 2025 [26, 28, 35]. La caída tiene tres escalones: el informe bajista de Grizzly Research (abril), la limitación de reembolsos del Global Value SICAV (3-jun) y el 1S26 por debajo de lo esperado con la guía de comisiones rebajada (1-sep; −9,2 % en la semana, a 681,20 CHF) [31, 36]. Desde entonces ha seguido cayendo con el resto de gestoras de activos privados, castigadas por el miedo a la deuda privada y a los reembolsos de los fondos semilíquidos [22]. Entre el 6 y el 8 de octubre consejeros y directivos compraron acciones por unos 21 M CHF (casi 39 M desde septiembre)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nuestro BPA, Partners Group cotiza a 12,4 veces el beneficio de 2027e, frente a una mediana de 24,4 veces en los cierres de 2022-2025 medidos igual (precio ÷ BPA del año siguiente, sin 2021). Es el múltiplo más bajo de la serie, por debajo incluso del cierre de 2022 (21,2 veces), cuando las comisiones de rendimiento se hundieron. El descuento no viene del beneficio, que cae un 13 % en 2026 pero se recuperaría en 2027, sino de la confianza: el informe de Grizzly, el límite a los reembolsos del Global Value SICAV y la caída de todas las gestoras alternativas por el miedo a la deuda privada [1, 16, 22, 36].</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de −7,5 % en 2026e (comisiones de gestión +5 % y de rendimiento al 22 % de los ingresos, en la guía del 20-25 %) y +9 % en 2027e y 2028e (comisiones de gestión +5-6 % con los activos y las de rendimiento volviendo al 25-27 %, la parte baja del objetivo a medio plazo) [1]. Después, del 8 % al 2 % en 2035e. La media de 2027-2035 (5,9 %) queda por debajo de lo que crecieron las comisiones de gestión en 2020-2025 (8,8 % anual) porque los evergreen restarán 1-2 puntos y el franco fuerte resta crecimiento en CHF [1, 2].</w:t>
      </w:r>
    </w:p>
    <w:p>
      <w:pPr>
        <w:keepNext/>
        <w:spacing w:after="100"/>
      </w:pPr>
      <w:r>
        <w:rPr>
          <w:b/>
          <w:bCs/>
        </w:rPr>
        <w:t xml:space="preserve">Márgenes.</w:t>
      </w:r>
    </w:p>
    <w:p>
      <w:pPr>
        <w:spacing w:after="100"/>
      </w:pPr>
      <w:r>
        <w:t xml:space="preserve">Margen EBITDA del 61,5 % en 2026-2028e, que baja al 60 % al final, el nivel que la empresa da como objetivo a lo largo del ciclo; en 2023-2025 fue del 62,9-63,5 % y en el 1S26 del 63,0 % [1, 2]. La rigidez del margen viene de que el variable del personal se mueve con las comisiones de rendimiento.</w:t>
      </w:r>
    </w:p>
    <w:p>
      <w:pPr>
        <w:keepNext/>
        <w:spacing w:after="100"/>
      </w:pPr>
      <w:r>
        <w:rPr>
          <w:b/>
          <w:bCs/>
        </w:rPr>
        <w:t xml:space="preserve">Inversión y circulante.</w:t>
      </w:r>
    </w:p>
    <w:p>
      <w:pPr>
        <w:spacing w:after="100"/>
      </w:pPr>
      <w:r>
        <w:t xml:space="preserve">Amortización del 2,8 % de los ingresos (69 M en 2025 = 2,7 %) y capex del 4 % en 2026-2028e que baja al 3 %, en línea con 2021-2024 (2,1-6,6 %) [2, 11]. Circulante nulo: el motor no tiene clientes ni proveedores en el balance de los agregadores y el negocio cobra las comisiones de gestión por adelantado o trimestralmente. Tipo impositivo del 17,5 %, el efectivo de 2024-2025 [2].</w:t>
      </w:r>
    </w:p>
    <w:p>
      <w:pPr>
        <w:keepNext/>
        <w:spacing w:after="100"/>
      </w:pPr>
      <w:r>
        <w:rPr>
          <w:b/>
          <w:bCs/>
        </w:rPr>
        <w:t xml:space="preserve">Coste del capital.</w:t>
      </w:r>
    </w:p>
    <w:p>
      <w:pPr>
        <w:spacing w:after="100"/>
      </w:pPr>
      <w:r>
        <w:t xml:space="preserve">Tasa libre del 0,54 % (bono suizo a 10 años, 8-oct-2026) [37], beta de 1,25 (estimación propia, sin bolsa.mjs: gestora cíclica y muy ligada a los mercados de salidas), prima de mercado del 5,5 % y prima adicional de 2 puntos por el riesgo específico de 2026 (reembolsos de los evergreen, acusaciones sobre valoraciones y comisiones de rendimiento volátiles). Coste de la deuda del 1,5 % (bonos en francos) y peso de la deuda del 13 % a valor de mercado. WACC del 8,35 %.</w:t>
      </w:r>
    </w:p>
    <w:p>
      <w:pPr>
        <w:keepNext/>
        <w:spacing w:after="100"/>
      </w:pPr>
      <w:r>
        <w:rPr>
          <w:b/>
          <w:bCs/>
        </w:rPr>
        <w:t xml:space="preserve">Valor terminal.</w:t>
      </w:r>
    </w:p>
    <w:p>
      <w:pPr>
        <w:spacing w:after="100"/>
      </w:pPr>
      <w:r>
        <w:t xml:space="preserve">Crecimiento a perpetuidad del 1 %, algo por encima de la inflación suiza esperada (≈1 % en septiembre de 2026) porque los ingresos están en USD y EUR, pero por debajo del crecimiento nominal de los mercados privados; con el bono suizo al 0,54 %, más sería incoherente con la tasa libre [37]. Gordon implica unas 12 veces el NOPAT final, la mitad del PER histórico medio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1.018,17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M (1 % del NOPAT)</w:t>
            </w:r>
          </w:p>
        </w:tc>
      </w:tr>
    </w:tbl>
    <w:p>
      <w:pPr>
        <w:spacing w:after="160" w:before="0"/>
      </w:pPr>
    </w:p>
    <w:p>
      <w:pPr>
        <w:spacing w:after="100"/>
      </w:pPr>
      <w:r>
        <w:t xml:space="preserve">La proyección apenas necesita inversión neta de la amortización (reinversión acumulada de 211 M, el 1 % del NOPAT, con un capex bruto medio del 3,5 %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+5 % (68 % de los ingresos) con los activos medios; otros: comisiones de rendimiento del 32 % al 22 % de los ingresos (guía del 20-25 %)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+5 % (captación de 26.000-32.000 M USD menos 10.000-13.000 M de salidas y 1-2 puntos de los evergreen); otros: rendimiento al 25 %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+6 %; otros: rendimiento al 27 %, la parte baja del 25-40 % a medio plazo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gestión al ritmo de los activos; el peso del rendimiento se estabiliza.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casi todo de volumen (activos); sin subidas de comisiones.</w:t>
            </w:r>
          </w:p>
        </w:tc>
      </w:tr>
    </w:tbl>
    <w:p>
      <w:pPr>
        <w:spacing w:after="160" w:before="0"/>
      </w:pPr>
    </w:p>
    <w:p>
      <w:pPr>
        <w:spacing w:after="100"/>
      </w:pPr>
      <w:r>
        <w:t xml:space="preserve">Las pruebas cuantitativas pasan: la proyección apenas necesita inversión neta (reinversión del 1 % del NOPAT), el ROIC (50,8 %) y el incremental (24,6 %) muestran que crecer cuesta poco capital, y no hay mercado final con el mismo perímetro para la prueba de cuota (Preqin prevé que los activos alternativos casi se dupliquen hasta 2030, lo que da holgura al 5,9 % medio) [21]. La prueba que queda es la captación y el poder de precio: la captación institucional es récord (16.000 M USD en el 1S26) pero el canal privado de los evergreen está en duda tras los reembolsos, y las comisiones de rendimiento dependen de un mercado de salidas que no se ha reabierto [1, 5]. No hay prueba fallida, así que el caso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 (base: 60,0 %)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(WACC: 8,3 %)</w:t>
            </w:r>
          </w:p>
        </w:tc>
      </w:tr>
    </w:tbl>
    <w:p>
      <w:pPr>
        <w:spacing w:after="160" w:before="0"/>
      </w:pPr>
    </w:p>
    <w:p>
      <w:pPr>
        <w:spacing w:after="100"/>
      </w:pPr>
      <w:r>
        <w:t xml:space="preserve">El DCF da 861,62 CHF por acción, un 44,9 % por encima del precio, con un WACC del 8,35 % y el valor terminal en el 55 % del total. El DCF inverso dice que el precio descuenta un crecimiento del 0,3 % anual en 2027-2035 con nuestros márgenes, frente al 5,9 % de nuestro caso base: el mercado da por hecho que los activos dejan de crecer y que las comisiones de rendimiento no vuelven. La rentabilidad implícita en el precio es del 11,6 %, más de tres puntos por encima de nuestro WACC. Es una lectura muy conservadora frente a la historia (comisiones de gestión +8,8 % anual en 2020-2025) y frente a la captación récord de 2026. Lo que la justificaría es una pérdida duradera de confianza que vacíe los evergreen y lleve las comisiones de rendimiento al 15-20 % de forma permanente. Con un WACC un punto mayor o con el bajista (616,53 CHF), el valor sigue por encima del precio.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reembolsos de los evergreen siguen por encima del 5 % trimestral en 2027, la captación privada se frena y las comisiones de rendimiento se quedan en el 20 % de los ingresos: crecimiento 4 puntos menor y margen 2 puntos más bajo. Le pasó a Partners Group en 2022 (−29 % de ingresos).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captación institucional compensa la salida de los evergreen, las comisiones de gestión crecen un 5-6 % y las de rendimiento vuelven al 25-27 % en 2027-2028 con la reapertura gradual de las salidas.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salidas se reabren en 2027 (OPV y compraventas), las comisiones de rendimiento vuelven al 30 % y los evergreen recuperan suscripciones netas: 2 puntos más de crecimiento y 1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835,22 CHF (+40,5 %).</w:t>
      </w:r>
    </w:p>
    <w:p>
      <w:pPr>
        <w:spacing w:after="100"/>
      </w:pPr>
      <w:r>
        <w:t xml:space="preserve">En el DCF la asimetría es favorable: el bajista (616,53 CHF) queda un 3,7 % por encima del precio y el alcista (1.001,11) un 68,4 %. A 12 meses, el bajista (603,08 CHF con 12,9 veces el BPA de 2028e) deja la acción casi donde está, y con el dividendo de 46 CHF la rentabilidad sería del +9,2 %; el base (840,90) da +49,2 %. El riesgo no está en las cifras de los escenarios sino en que el bajista sea demasiado suave: un recorte del dividendo o un nuevo límite de reembolsos podrían llevar el múltiplo por debajo de 12 veces.</w:t>
      </w:r>
    </w:p>
    <w:p>
      <w:pPr>
        <w:pStyle w:val="Heading1"/>
      </w:pPr>
      <w:r>
        <w:t xml:space="preserve">22. Suma de partes</w:t>
      </w:r>
    </w:p>
    <w:p>
      <w:pPr>
        <w:pStyle w:val="Confianza"/>
        <w:spacing w:after="100"/>
      </w:pPr>
      <w:r>
        <w:t xml:space="preserve">Confianza: Baja</w:t>
      </w:r>
    </w:p>
    <w:p>
      <w:pPr>
        <w:spacing w:after="100"/>
      </w:pPr>
      <w:r>
        <w:t xml:space="preserve">No aplica: las comisiones de gestión y las de rendimiento salen del mismo negocio y de los mismos fondos; no hay divisiones con perfiles distintos.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851,06 CHF (+43,1 % sobre 594,60).</w:t>
      </w:r>
    </w:p>
    <w:p>
      <w:pPr>
        <w:spacing w:after="100"/>
      </w:pPr>
      <w:r>
        <w:t xml:space="preserve">Pesamos el DCF un 60 % y los escenarios un 40 %; los comparables y las transacciones, nada, porque no conseguimos múltiplos fechados y coherentes de las gestoras comparables. El valor objetivo de la síntesis es de 851,06 CHF (+43,1 %). La dispersión es moderada: el DCF con WACC y crecimiento ±0,5 puntos va de 777,95 a 970,78, los escenarios de 616,53 a 1.001,11 y, con la prima implícita del mercado (4,2 %), el DCF sube a 1.072,94. El objetivo medio de los analistas (856,07) cae en el centro. Todo el rango queda por encima del precio salvo el bajista, que lo iguala.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(12.4x) × 1.1 (tope: la mediana de 5 años, 24.4x,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w:t>
            </w:r>
          </w:p>
        </w:tc>
      </w:tr>
    </w:tbl>
    <w:p>
      <w:pPr>
        <w:spacing w:after="160" w:before="0"/>
      </w:pPr>
    </w:p>
    <w:p>
      <w:pPr>
        <w:spacing w:after="100"/>
      </w:pPr>
      <w:r>
        <w:rPr>
          <w:b/>
          <w:bCs/>
        </w:rPr>
        <w:t xml:space="preserve">Objetivo a 12 meses (ponderado):</w:t>
      </w:r>
      <w:r>
        <w:t xml:space="preserve"> 736,11 CHF · rentabilidad +31,5 % (base +27,2 %) · señal Mantener.</w:t>
      </w:r>
    </w:p>
    <w:p>
      <w:pPr>
        <w:spacing w:after="100"/>
      </w:pPr>
      <w:r>
        <w:t xml:space="preserve">Para comparar, con el tope anterior del base (×1,3, 14-oct mediodía): 54,3 % Mantener. Decide la regla vigente (v3 con tope ×1,1; METODO-VIGENTE.md).</w:t>
      </w:r>
    </w:p>
    <w:p>
      <w:pPr>
        <w:keepNext/>
        <w:spacing w:after="100"/>
      </w:pPr>
      <w:r>
        <w:rPr>
          <w:b/>
          <w:bCs/>
        </w:rPr>
        <w:t xml:space="preserve">Frente al consenso (solo contraste).</w:t>
      </w:r>
    </w:p>
    <w:p>
      <w:pPr>
        <w:spacing w:after="100"/>
      </w:pPr>
      <w:r>
        <w:t xml:space="preserve">Nuestro BPA de 2026e (41,94 CHF) queda un 10 % por debajo del consenso de aktien.guide (46,41), que probablemente no recoge del todo el 1S26 (19,48 CHF) ni la guía rebajada [1, 29]. En 2027e nuestro BPA (47,87) está un 18 % por debajo del de MarketScreener (58,34), una serie que parece anterior a los recortes de julio [16, 30]: suponemos que las comisiones de rendimiento solo vuelven a la parte baja del rango (25 %). Aun así, nuestro precio base a 12 meses (840,90 CHF) queda un 1,8 % por debajo del objetivo medio de los analistas (856,07; rango 680-1.050), porque el múltiplo sube desde mínimos.</w:t>
      </w:r>
    </w:p>
    <w:p>
      <w:pPr>
        <w:keepNext/>
        <w:spacing w:after="100"/>
      </w:pPr>
      <w:r>
        <w:rPr>
          <w:b/>
          <w:bCs/>
        </w:rPr>
        <w:t xml:space="preserve">Del valor intrínseco al objetivo a 12 meses.</w:t>
      </w:r>
    </w:p>
    <w:p>
      <w:pPr>
        <w:spacing w:after="100"/>
      </w:pPr>
      <w:r>
        <w:t xml:space="preserve">El objetivo a 12 meses (871,63 CHF ponderado) y el valor intrínseco (851,06) casi coinciden: los dos dicen que la acción vale unos 850 CHF. La rentabilidad a 12 meses sale sobre todo del múltiplo (de 12,4 a 16,1 veces, el tope de la regla) y del dividendo (7,7 %), no del crecimiento del BPA. Para que se cierre la distancia hace falta que se recupere la confianza: reembolsos de los evergreen por debajo del 5 % en el 4T26 y el 1T27, la actualización de activos de enero de 2027 sin sorpresas y señales de reapertura de las salidas. Sin eso, la tesis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activos y captación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la guía de 26.000-32.000 M USD y el efecto real de los evergreen en los activos netos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Ventanas trimestrales de reembolso del Global Value SICAV y del Master Fund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Peticiones por debajo del 5 % devolverían la confianza; un nuevo límite la hundiría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los consejeros delegados conjuntos (Cagnati y Jenkner), pendiente de la FINMA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un mensaje nuevo sobre capital y evergreen podría pesar en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los 46 CHF sería una señal de confianza; un recorte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las salidas (OPV y compraventas de participadas)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Devolvería las comisiones de rendimiento al 25-40 %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directivos (39 M CHF desde 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suelo si continúan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Crisis de liquidez de los evergreen: reembolsos por encima del 5 % trimestral en más fondos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(bajista del DCF: 616,53 frente a 861,62)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Límites contractuales del 5 % y captación institucional récord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Peticiones de reembolso trimestrales y comunicados de la empresa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Valoraciones de los fondos infladas (tesis de Grizzly) y salidas con descuento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o más (comisiones de rendimiento y captación)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externa de las valoraciones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las salidas frente al último valor contable de los fondos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salidas cerrado más tiempo: comisiones de rendimiento por debajo del 20 %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gestión (68 % de los ingresos) recurrentes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comisiones de rendimiento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(reparto del 95 % del beneficio de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baja (1.088 M ajustada)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ingresos en USD y EUR, costes en parte en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apreciación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personal repartidos por el mundo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y USD/CHF</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en plena crisis de confianza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delegados de la casa y saliente que sigue como director de inversiones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socios sénior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núcleo poco fiables en este informe (precio, acciones, balance de agregadores)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clave cotejadas con los comunicados de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2026 completo</w:t>
            </w:r>
          </w:p>
        </w:tc>
      </w:tr>
    </w:tbl>
    <w:p>
      <w:pPr>
        <w:spacing w:after="160" w:before="0"/>
      </w:pPr>
    </w:p>
    <w:p>
      <w:pPr>
        <w:pStyle w:val="Heading2"/>
      </w:pPr>
      <w:r>
        <w:t xml:space="preserve">Pre-mortem</w:t>
      </w:r>
    </w:p>
    <w:p>
      <w:pPr>
        <w:spacing w:after="100"/>
      </w:pPr>
      <w:r>
        <w:t xml:space="preserve">Octubre de 2029: la acción ha perdido un 40 % desde 594,60 CHF. Lo más probable es que la crisis de los evergreen no fuera pasajera. En 2027 las peticiones de reembolso siguieron por encima del 5 % trimestral, los bancos privados dejaron de vender los fondos y la captación privada cayó a la mitad; las salidas forzadas para atender reembolsos se hicieron con descuento sobre las valoraciones, lo que dio crédito al informe de Grizzly y cortó las comisiones de rendimiento al 15 % de los ingresos. Con el beneficio estancado en unos 40 CHF por acción, la empresa recortó el dividendo en 2028 para no endeudarse más, y el mercado, que la valoraba como acción de dividendo, la llevó a 9-10 veces. Los indicadores que lo habrían anticipado: las peticiones de reembolso del 4T26 y el 1T27, la caída de las suscripciones netas de los evergreen en la actualización de enero de 2027 y los descuentos de las primeras salidas frente al valor contable.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el gobierno de las valoraciones de los fondos y la gestión de la liquidez de los evergreen, que determinan reembolsos y comisiones futuras [5]. La empresa publica informes de sostenibilidad y aplica criterios ESG en la gestión de las participadas, pero no encontramos calificaciones con fecha.</w:t>
      </w:r>
    </w:p>
    <w:p>
      <w:pPr>
        <w:pStyle w:val="Heading2"/>
      </w:pPr>
      <w:r>
        <w:t xml:space="preserve">Controversias</w:t>
      </w:r>
    </w:p>
    <w:p>
      <w:pPr>
        <w:spacing w:after="100"/>
      </w:pPr>
      <w:r>
        <w:t xml:space="preserve">Informe bajista de Grizzly Research (abril de 2026) que acusa a los evergreen de valoraciones infladas, rechazado por la empresa como «frívolo, difamatorio y muy engañoso»; limitación de reembolsos del Global Value SICAV en junio de 2026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Evergreen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los activos de los evergreen tiene liquidez trimestral y cuáles fueron las peticiones de reembolso del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 (bajista −28 %).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descuento o prima sobre el último valor contable se han hecho las salidas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Responde de forma objetiva al informe de Grizzly.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de 46 CHF si las comisiones de rendimiento quedan en 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es del 95 % del beneficio y ya se financia en parte con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las inversiones a corto plazo (1.657 M) son préstamos puente a los programas y cuándo se devuelven?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deuda neta real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captación de 2026 viene de institucionales y qué parte de clientes privados?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dependencia del canal en dudas.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 en la estrategia de capital y de evergreen con los consejeros delegados conjuntos?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relevo coincide con la crisis de confianza.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recortan su valor razonable (de unos 968 a unos 858 CHF) por la menor dinámica de beneficios y el riesgo de nuevas limitaciones de reembolsos en evergreen maduros; la pregunta central es si la captación sostiene el crecimiento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discuten si la rentabilidad por dividendo cercana al 7-8 % compensa el riesgo de recorte y si la caída es una oportunidad; predominan los que mantienen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(comentarios y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debate si la acción, en mínimos desde 2020, es ya un valor de dividendo; las compras de directivos (39 M CHF desde septiembre) se leen como señal de suelo, frente a quienes temen más reembolsos [26,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VZ VermögensZentrum (análisis comentado)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Partners Group tendrá que recortar el dividendo, con un reparto cercano al 100 % del beneficio previsto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Describe una «prueba de fuerza entre institucionales y particulares»: los primeros siguen comprometiendo capital y los segundos piden reembolsos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 de los evergreen y valoraciones (Grizzly)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la empresa prevé que los evergreen resten 1-2 puntos al crecimiento de los activos en el 2S26 y en 2027; no hay prueba pública de valoraciones erróneas [1,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de 46 CHF es el 95 % del beneficio de los últimos 12 meses y en 2025 dividendos y recompras superaron al flujo operativo; un recorte es posible si 2027 no recupera las comisiones de rendimiento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directivos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(39 M CHF) son reales y relevantes, pero los directivos ya tienen gran parte de su patrimonio en la empresa; no cambian las cifras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unas 12,5 veces nuestro beneficio de 2027e frente a una mediana adelantada de 24,5 veces.</w:t>
            </w:r>
          </w:p>
        </w:tc>
      </w:tr>
    </w:tbl>
    <w:p>
      <w:pPr>
        <w:spacing w:after="160" w:before="0"/>
      </w:pPr>
    </w:p>
    <w:p>
      <w:pPr>
        <w:spacing w:after="100"/>
      </w:pPr>
      <w:r>
        <w:t xml:space="preserve">El sentimiento es de capitulación parcial: los particulares dudan del dividendo y temen nuevos límites de reembolso, mientras los analistas mantienen mayoría de Comprar y objetivos muy por encima del precio, y los directivos compran. Esa divergencia es típica de los suelos, pero el riesgo que señalan los foros (reembolsos y valoraciones de los evergreen) es real y es el que puede hacer que el múltiplo no se recupere en 12 meses. No aporta un riesgo que el análisis no recogiera; refuerza que la tesis depende de que los reembolsos se normalicen.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20 controles correctos y 5 explicados. Fuentes: 44 (7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 comparables. Explicación: No se pudieron obtener múltiplos fechados y coherentes de EQT, Blackstone, KKR, Apollo, Ares ni CVC (las búsquedas daban PER sin fecha entre 20 y 37 veces para la misma empresa). Los comparables pesan 0 en la síntesis y el objetivo a 12 meses usa solo la historia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con confianza baja no se compra. Hay que confirmar con fuente primaria el cierre (por debajo de 791,87 CHF), las acciones y el balance de 30-jun-2026, y las peticiones de reembolso del 3T26.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 Explicación: El último cierre fechado es el del 9-oct (594,60 CHF); cash.ch habla de «poco más de 600 CHF» el 13-oct. Con este precio y la confianza baja de los datos no se cierra un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Ver el control de comparables: tres intentos registrados en los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Explicación: Solo la búsqueda web funcionaba: los comunicados de la empresa alcanzables son 7; el resto son agregadores y prensa.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Comparables cotizados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de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de 2020-2023 (solo dan EBIT y beneficio en los extractos); 2) Stock Analysis y TipRanks (otra definición de ingresos); 3) derivar: solo 2023 tiene EBITDA y EBIT en el comunicado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balance (circulante, clientes, deuda por años, vencimientos,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solo búsqueda web); 2) Stock Analysis y Fintel (solo totales); 3) TipRanks (totales de activo y pasivo)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anual 2025; 2) Stock Analysis (8,5 M sin intangibles); 3) Stockopedia (sin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Semestres 1S24 y 2S24 completos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1S24; 2) comunicado anual 2024;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tamaño del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Preqin (solo la previsión de 2030 en los extractos); 2) Morningstar y Bloomberg Intelligence (sin serie);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EBIT de los competidores; cuota de Partners Group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abren); 2) agregadores (cifras sin fecha); 3) prensa (solo cotizaciones)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la junta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(sin porcentajes); 2) informe de remuneraciones 2025 (no abre); 3) prensa suiza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actuales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la SIX (no accesible); 2) informe anual 2025; 3) prensa (solo el dato de 2019)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de comparables (EQT, Blackstone, KKR, Apollo, Ares, CVC, ICG, Hamilton Lane)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y MarketScreener por empresa (no abren; la búsqueda da múltiplos sin fecha y contradictorios: Blackstone entre 20 y 37 veces); 2) informes del sector de Morningstar y Bloomberg (sin múltiplos a octubre); 3) prensa (solo caídas de precio, sin beneficios estimados)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 gestoras de activos privados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 gestoras 2020-2026; 2) prensa sectorial; 3) presupuesto de búsquedas agotado para esta sección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máximos y mínimos, rentabilidad del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en la nube); 2) Digrin y companiesmarketcap (series mensuales o en USD); 3) Yahoo vía búsqueda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 o 14-oct-2026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FuW (último dato: 594,60 CHF el 9-oct); 2) cash.ch (13-oct: «poco más de 600 CHF», sin cifra exacta); 3) Digrin (598,80 CHF en octubre, sin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9-oct y se avisa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suizos (cash.ch, finanzen.net)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y Stocktwits (sin hilos); 2) foros de cash.ch y finanzen.net (no aparecen); 3) Seeking Alpha (solo la página de cotización)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comunidades y prensa con comentarios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de 30-jun-2026 para 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(no abre); 2) Stock Analysis y Fintel (solo cierre de 2025); 3) estimación: balance de 2025 ajustado por el dividendo pagado en mayo menos el beneficio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reports H1 results as management income rises in line with AuM; announces rotations to the Executive Team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https://mailing-ircockpit.eqs.com/crm-mailing/5bc764eb-ea7c-11e8-902f-2c44fd856d8c/20e8ee82-530f-4063-b478-3a4726de6c3c/00da6b2d-10f8-492f-8510-8e5468d133dc/20260901_PGHN+Interim+Results+2026.pdf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https://mailing-ircockpit.eqs.com/crm-mailing/5bc764eb-ea7c-11e8-902f-2c44fd856d8c/1bda015e-a3fb-4d4a-b131-5a99c284ccdd/fa15585e-baf7-468f-88e2-7e1ebcd9ca99/PGHN+Annual+Results+2025_Press+Release.pdf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reports strong 2021 financials driven by exceptionally high performance fees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https://www.partnersgroup.com/en/shareholders/ad-hoc-announcements-art-53-lr/detail/partners-group-reports-strong-2021-financials-driven-by-exceptionally-high-performance-fees-and-continued-aum-growth/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provides business update and reports record fundraising in H1; reconfirms full-year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https://content-astro-web.finanzen.net/nachricht/aktien/partners-group-provides-business-update-and-reports-record-fundraising-in-h1-reconfirms-full-year-guidance-15800053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Caps Evergreen Fund Redemptions as Requests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vía Swissinfo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https://www.swissinfo.ch/eng/partners-caps-evergreen-fund-redemptions-as-requests-rise/91517861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Reaches $186 Billion In AUM And Names Roberto Cagnati And Juri Jenkner Co-CEOs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https://pulse2.com/partners-group-reaches-186-billion-in-aum-and-names-roberto-cagnati-and-juri-jenkner-co-ceos/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Earnings Decline In H1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https://nasdaq.com/articles/partners-group-earnings-decline-h1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(SWX:PGHN)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https://stockanalysis.com/quote/swx/PGHN/financials/balance-sheet/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https://fintel.io/bs/gb/0qoq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(SWX:PGHN)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https://stockanalysis.com/quote/swx/PGHN/financials/cash-flow-statement/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PGHN — Partners Holding AG Cashflow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https://stockopedia.com/share-prices/partners-holding-ag-SWX:PGHN/cashflow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announces results of the 2026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https://mailing-ircockpit.eqs.com/crm-mailing/5bc764eb-ea7c-11e8-902f-2c44fd856d8c/20e8ee82-530f-4063-b478-3a4726de6c3c/db6c20b5-c7dd-45e9-8ca2-f73c69be13a7/20260520+PGHN+AGM+Results_Press+Release_vF.pdf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reports continued management fee growth, performance fees in line with guidance; dividend up 12% to CHF 37.00 per share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https://www.partnersgroup.com/en/news-views/press-releases/corporate-news/detail/partners-group-reports-continued-management-fee-growth-performance-fees-in-line-with-guidance-dividend-up-12-to-chf-3700-per-share/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Group's profit increases 12% to CHF 1.13 billion; proposed dividend up 8% to CHF 42.00 per share (resultados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https://finanzen.ch/nachrichten/aktien/partners-group-s-profit-increases-12-to-chf-1-13-billion-supported-by-stronger-performance-fees-in-h2-proposed-dividend-up-8-to-chf-42-00-per-share-1034462003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resultados de 2020 (ingresos 1.412 M, beneficio 805 M, dividendo 27,50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Marktpuls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https://www.marktpuls.ch/artikel/permalink/408113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beneficio por acción y dividendo (serie 2021-2028e)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https://de.marketscreener.com/kurs/aktie/PARTNERS-GROUP-HOLDING-AG-175123/bewertung-dividende/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income statement (BPA básico y diluido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https://www.tipranks.com/stocks/gb:0qoq/financials/income-statement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25,000 applied for 150 jobs at Partners Group, new co-CEO discloses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Zug4you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https://www.zug4you.ch/en/news/news-articles/a/25,000-applied-for-150-jobs-at-partners-group,-new-co-ceo-discloses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perfil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https://seekingalpha.com/symbol/PGPHF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Finanzinvestor Partners Group baut die Führungsspitze 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https://www.boersen-zeitung.de/personen/finanzinvestor-partners-group-baut-die-fuehrungsspitze-um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Releases Private Markets in 2030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https://www.businesswire.com/news/home/20251016075672/en/Preqin-Releases-Private-Markets-in-2030-Report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Apollo Global, Blue Owl and Blackstone Shares Slide Even as Private Credit Fears Fade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https://www.benzinga.com/markets/equities/26/09/62012444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Alternative Asset Manager Report: Selective Opportunity as Private Credit Fears Reset Valuations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https://www.morningstar.com/business/insights/research/alternative-asset-manager-report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announces co-CEO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https://irei.com/news/partners-group-announces-co-ceo-succession/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bekommt neue Doppelspitze – Gewinn sinkt im Halbjahr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https://www.cash.ch/news/top-news/partners-group-bekommt-neue-doppelspitze-gewinn-sinkt-im-halbjahr-964946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Management kauft kräftig Aktien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https://www.cash.ch/news/top-news/das-management-von-partners-group-schlagt-zu-und-kauft-erneut-kraftig-aktien-976323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Gates Evergreen Fund as Redemptions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vía Swissinfo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https://www.swissinfo.ch/eng/partners-group-gates-evergreen-fund-as-redemptions-rise/91517861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(Valor 2460882):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 und Wirtschaft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https://www.fuw.ch/boerse/aktien/partners-group/valor-2460882/4/1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Kursziel und Gewinnschätzungen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https://aktien.guide/kursziel/Partners-Group-CH0024608827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Analysten kürzen Gewinne um bis zu 22 Prozent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https://www.boerse-express.com/news/articles/partners-group-aktie-analysten-kuerzen-gewinne-um-bis-zu-22-prozent-933262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Warum Partners Group die schlechteste SMI-Aktie der Woche ist und doch wieder steigen kann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https://www.cash.ch/news/top-news/warum-partners-group-die-schlechteste-smi-aktie-der-woche-ist-und-doch-wieder-steigen-kann-966112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consensus price target after H1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https://www.webull.com/news/15514457983738880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UBS senkt auf 705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https://www.boerse-express.com/news/articles/partners-group-aktie-ubs-senkt-auf-705-franken-931920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Barclays senkt Ziel auf 940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https://www.boerse-express.com/news/articles/partners-group-aktie-barclays-senkt-ziel-auf-940-franken-930018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(PGHN.SW) - Price History (cierres de diciembre de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https://www.digrin.com/stocks/detail/PGHN.SW/price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 von Partners Group brechen nach Begrenzung von Fondsrücknahmen 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https://www.cash.ch/news/top-news/aktien-von-partners-group-brechen-nach-begrenzung-von-fondsrucknahmen-ein-942252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(0,54 %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https://simplywall.st/community/narratives/ch/diversified-financials/vtx-pghn/partners-group-holding-shares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Softer Half Year Earnings Change The Bull Case For Partners Group (SWX:PGHN)?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https://www.webull.com/news/15547676897174529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comunidad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https://app.getquin.com/de/aktie/CH0024608827/partners-group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Steigt die Aktie von Partners Group innerhalb eines Jahres wieder über 1000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https://www.cash.ch/news/top-news/steigt-die-aktie-von-partners-group-innerhalb-eines-jahres-wieder-uber-1000-franken-963557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Muss Partners Group nun die Dividende kürzen?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https://www.vermoegenszentrum.ch/boersen-und-maerkte/vz-analysen/muss-partners-group-nun-die-dividende-kuerzen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Zerreißprobe zwischen Institutionellen und Privatanlegern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https://www.boerse-express.com/news/articles/partners-group-aktie-zerreissprobe-zwischen-institutionellen-und-privatanlegern-933522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71,9 %</w:t>
      </w:r>
      <w:r>
        <w:t xml:space="preserve"> · Secciones con menos del 60 % de campos cubiertos: </w:t>
      </w:r>
      <w:r>
        <w:rPr>
          <w:b/>
          <w:bCs/>
        </w:rPr>
        <w:t xml:space="preserve">capital, comparables, transacciones, balance, gobierno, bolsa</w:t>
      </w:r>
      <w:r>
        <w:t xml:space="preserve"> · Generado el 14 oct 2026.</w:t>
      </w:r>
    </w:p>
    <w:p>
      <w:pPr>
        <w:pStyle w:val="Nota"/>
        <w:spacing w:after="100"/>
      </w:pPr>
      <w:r>
        <w:t xml:space="preserve">Análisis hecho desde la nube con la red limitada a la búsqueda web: la web de la empresa, la SIX y los proveedores de datos no se pudieron abrir, y descargar.mjs y bolsa.mjs no funcionan aquí. Las cifras salen de los extractos de búsqueda de los comunicados de resultados (EQS) y de agregadores (MarketScreener, Stock Analysis, Fintel, Stockopedia, TipRanks), con la URL como fuente; lo que no cuadró está en null y en los huecos. La confianza de los datos de núcleo es baja. Cuentas en CHF con NIIF; ejercicio natural; la empresa publica semestres. El precio es el último dato fechado encontrado (594,60 CHF, 9-oct-2026, Finanz und Wirtschaft) [28]; cash.ch lo situaba el 13-oct en «poco más de 600» [26]. Las acciones (25,8 M) son estimación propia: beneficio del 1S26 ÷ BPA del 1S26 (502 ÷ 19,48). El balance es el de 31-dic-2025 de agregadores (solo totales); «caja» suma la caja (329 M) y las inversiones a corto plazo (1.657 M, préstamos puente a los programas y liquidez gestionada), y «asociadas», las inversiones propias a largo plazo en los programas (1.146 M). El EBITDA, la amortización, el resultado financiero y los impuestos solo están para 2023-2025; de 2020-2022 se tienen ingresos, EBIT y beneficio. No hay tabla de comparables ni de transacciones.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Partners Group Holding AG (PGHN)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594,60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Hoja1!$B$2:$B$6</c:f>
              <c:numCache>
                <c:formatCode>#,##0</c:formatCode>
                <c:ptCount val="5"/>
                <c:pt idx="0">
                  <c:v>680</c:v>
                </c:pt>
                <c:pt idx="1">
                  <c:v>777.95</c:v>
                </c:pt>
                <c:pt idx="2">
                  <c:v>616.53</c:v>
                </c:pt>
                <c:pt idx="3">
                  <c:v>987.45</c:v>
                </c:pt>
                <c:pt idx="4">
                  <c:v>591.63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Hoja1!$C$2:$C$6</c:f>
              <c:numCache>
                <c:formatCode>#,##0</c:formatCode>
                <c:ptCount val="5"/>
                <c:pt idx="0">
                  <c:v>370</c:v>
                </c:pt>
                <c:pt idx="1">
                  <c:v>192.82999999999993</c:v>
                </c:pt>
                <c:pt idx="2">
                  <c:v>384.58000000000004</c:v>
                </c:pt>
                <c:pt idx="3">
                  <c:v>186.89999999999986</c:v>
                </c:pt>
                <c:pt idx="4">
                  <c:v>5.940000000000055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Comisiones de gestión (management fees)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1146</c:v>
                </c:pt>
                <c:pt idx="1">
                  <c:v>1432</c:v>
                </c:pt>
                <c:pt idx="2">
                  <c:v>1603</c:v>
                </c:pt>
                <c:pt idx="3">
                  <c:v>1575</c:v>
                </c:pt>
                <c:pt idx="4">
                  <c:v>1625</c:v>
                </c:pt>
                <c:pt idx="5">
                  <c:v>1744</c:v>
                </c:pt>
              </c:numCache>
            </c:numRef>
          </c:val>
        </c:ser>
        <c:ser>
          <c:idx val="1"/>
          <c:order val="1"/>
          <c:tx>
            <c:strRef>
              <c:f>Hoja1!$C$1</c:f>
              <c:strCache>
                <c:ptCount val="1"/>
                <c:pt idx="0">
                  <c:v>Comisiones de rendimiento (performance fees)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266</c:v>
                </c:pt>
                <c:pt idx="1">
                  <c:v>1197</c:v>
                </c:pt>
                <c:pt idx="2">
                  <c:v>269</c:v>
                </c:pt>
                <c:pt idx="3">
                  <c:v>369</c:v>
                </c:pt>
                <c:pt idx="4">
                  <c:v>511</c:v>
                </c:pt>
                <c:pt idx="5">
                  <c:v>819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Comisiones de gestión (management fees)</c:v>
                </c:pt>
                <c:pt idx="1">
                  <c:v>Comisiones de rendimiento (performance fees)</c:v>
                </c:pt>
              </c:strCache>
            </c:strRef>
          </c:cat>
          <c:val>
            <c:numRef>
              <c:f>Hoja1!$B$2:$B$3</c:f>
              <c:numCache>
                <c:formatCode>General</c:formatCode>
                <c:ptCount val="2"/>
                <c:pt idx="0">
                  <c:v>68</c:v>
                </c:pt>
                <c:pt idx="1">
                  <c:v>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Partners Group</c:v>
                </c:pt>
                <c:pt idx="1">
                  <c:v>Blackstone</c:v>
                </c:pt>
                <c:pt idx="2">
                  <c:v>KKR</c:v>
                </c:pt>
                <c:pt idx="3">
                  <c:v>Apollo Global Management</c:v>
                </c:pt>
                <c:pt idx="4">
                  <c:v>EQT</c:v>
                </c:pt>
                <c:pt idx="5">
                  <c:v>CVC Capital Partners</c:v>
                </c:pt>
              </c:strCache>
            </c:strRef>
          </c:cat>
          <c:val>
            <c:numRef>
              <c:f>Hoja1!$B$2:$B$7</c:f>
              <c:numCache>
                <c:formatCode>0.0"%"</c:formatCode>
                <c:ptCount val="6"/>
                <c:pt idx="0">
                  <c:v>60.2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1412</c:v>
                </c:pt>
                <c:pt idx="1">
                  <c:v>2629</c:v>
                </c:pt>
                <c:pt idx="2">
                  <c:v>1872</c:v>
                </c:pt>
                <c:pt idx="3">
                  <c:v>1945</c:v>
                </c:pt>
                <c:pt idx="4">
                  <c:v>2136</c:v>
                </c:pt>
                <c:pt idx="5">
                  <c:v>2563</c:v>
                </c:pt>
                <c:pt idx="6">
                  <c:v>2371</c:v>
                </c:pt>
                <c:pt idx="7">
                  <c:v>2584</c:v>
                </c:pt>
                <c:pt idx="8">
                  <c:v>2817</c:v>
                </c:pt>
                <c:pt idx="9">
                  <c:v>3042</c:v>
                </c:pt>
                <c:pt idx="10">
                  <c:v>3255</c:v>
                </c:pt>
                <c:pt idx="11">
                  <c:v>3450</c:v>
                </c:pt>
                <c:pt idx="12">
                  <c:v>3623</c:v>
                </c:pt>
                <c:pt idx="13">
                  <c:v>3768</c:v>
                </c:pt>
                <c:pt idx="14">
                  <c:v>3881</c:v>
                </c:pt>
                <c:pt idx="15">
                  <c:v>3958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3">
                  <c:v>1234</c:v>
                </c:pt>
                <c:pt idx="4">
                  <c:v>1357</c:v>
                </c:pt>
                <c:pt idx="5">
                  <c:v>1611</c:v>
                </c:pt>
                <c:pt idx="6">
                  <c:v>1458</c:v>
                </c:pt>
                <c:pt idx="7">
                  <c:v>1589</c:v>
                </c:pt>
                <c:pt idx="8">
                  <c:v>1732</c:v>
                </c:pt>
                <c:pt idx="9">
                  <c:v>1856</c:v>
                </c:pt>
                <c:pt idx="10">
                  <c:v>1986</c:v>
                </c:pt>
                <c:pt idx="11">
                  <c:v>2087</c:v>
                </c:pt>
                <c:pt idx="12">
                  <c:v>2192</c:v>
                </c:pt>
                <c:pt idx="13">
                  <c:v>2261</c:v>
                </c:pt>
                <c:pt idx="14">
                  <c:v>2328</c:v>
                </c:pt>
                <c:pt idx="15">
                  <c:v>2375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3">
                  <c:v>63.4</c:v>
                </c:pt>
                <c:pt idx="4">
                  <c:v>63.5</c:v>
                </c:pt>
                <c:pt idx="5">
                  <c:v>62.9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62</c:v>
                </c:pt>
                <c:pt idx="1">
                  <c:v>62.8</c:v>
                </c:pt>
                <c:pt idx="2">
                  <c:v>60.5</c:v>
                </c:pt>
                <c:pt idx="3">
                  <c:v>61.3</c:v>
                </c:pt>
                <c:pt idx="4">
                  <c:v>61.2</c:v>
                </c:pt>
                <c:pt idx="5">
                  <c:v>60.2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55.7</c:v>
                </c:pt>
                <c:pt idx="2">
                  <c:v>53.7</c:v>
                </c:pt>
                <c:pt idx="3">
                  <c:v>51.6</c:v>
                </c:pt>
                <c:pt idx="4">
                  <c:v>52.8</c:v>
                </c:pt>
                <c:pt idx="5">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646</c:v>
                </c:pt>
                <c:pt idx="1">
                  <c:v>975</c:v>
                </c:pt>
                <c:pt idx="2">
                  <c:v>534</c:v>
                </c:pt>
                <c:pt idx="3">
                  <c:v>793</c:v>
                </c:pt>
                <c:pt idx="4">
                  <c:v>1515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1464</c:v>
                </c:pt>
                <c:pt idx="1">
                  <c:v>1005</c:v>
                </c:pt>
                <c:pt idx="2">
                  <c:v>1003</c:v>
                </c:pt>
                <c:pt idx="3">
                  <c:v>1128</c:v>
                </c:pt>
                <c:pt idx="4">
                  <c:v>1261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1">
                  <c:v>85.4</c:v>
                </c:pt>
                <c:pt idx="2">
                  <c:v>32</c:v>
                </c:pt>
                <c:pt idx="3">
                  <c:v>37</c:v>
                </c:pt>
                <c:pt idx="4">
                  <c:v>44.5</c:v>
                </c:pt>
                <c:pt idx="5">
                  <c:v>50.8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8.4</c:v>
                </c:pt>
                <c:pt idx="1">
                  <c:v>8.4</c:v>
                </c:pt>
                <c:pt idx="2">
                  <c:v>8.4</c:v>
                </c:pt>
                <c:pt idx="3">
                  <c:v>8.4</c:v>
                </c:pt>
                <c:pt idx="4">
                  <c:v>8.4</c:v>
                </c:pt>
                <c:pt idx="5">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1">
                  <c:v>101</c:v>
                </c:pt>
                <c:pt idx="2">
                  <c:v>37.8</c:v>
                </c:pt>
                <c:pt idx="3">
                  <c:v>41.4</c:v>
                </c:pt>
                <c:pt idx="4">
                  <c:v>46.6</c:v>
                </c:pt>
                <c:pt idx="5">
                  <c:v>54.8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3">
                  <c:v>0</c:v>
                </c:pt>
                <c:pt idx="4">
                  <c:v>0</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725</c:v>
                </c:pt>
                <c:pt idx="1">
                  <c:v>861</c:v>
                </c:pt>
                <c:pt idx="2">
                  <c:v>959</c:v>
                </c:pt>
                <c:pt idx="3">
                  <c:v>1018</c:v>
                </c:pt>
                <c:pt idx="4">
                  <c:v>1092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386</c:v>
                </c:pt>
                <c:pt idx="1">
                  <c:v>569</c:v>
                </c:pt>
                <c:pt idx="2">
                  <c:v>67</c:v>
                </c:pt>
                <c:pt idx="3">
                  <c:v>499</c:v>
                </c:pt>
                <c:pt idx="4">
                  <c:v>334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-46</c:v>
                </c:pt>
                <c:pt idx="1">
                  <c:v>48.5</c:v>
                </c:pt>
                <c:pt idx="2">
                  <c:v>1.4</c:v>
                </c:pt>
                <c:pt idx="3">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25.6</c:v>
                </c:pt>
                <c:pt idx="3">
                  <c:v>23.7</c:v>
                </c:pt>
                <c:pt idx="4">
                  <c:v>16.1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23.7</c:v>
                </c:pt>
                <c:pt idx="1">
                  <c:v>23.7</c:v>
                </c:pt>
                <c:pt idx="2">
                  <c:v>23.7</c:v>
                </c:pt>
                <c:pt idx="3">
                  <c:v>23.7</c:v>
                </c:pt>
                <c:pt idx="4">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1120</c:v>
                </c:pt>
                <c:pt idx="1">
                  <c:v>1220</c:v>
                </c:pt>
                <c:pt idx="2">
                  <c:v>1330</c:v>
                </c:pt>
                <c:pt idx="3">
                  <c:v>1439</c:v>
                </c:pt>
                <c:pt idx="4">
                  <c:v>1540</c:v>
                </c:pt>
                <c:pt idx="5">
                  <c:v>1618</c:v>
                </c:pt>
                <c:pt idx="6">
                  <c:v>1699</c:v>
                </c:pt>
                <c:pt idx="7">
                  <c:v>1770</c:v>
                </c:pt>
                <c:pt idx="8">
                  <c:v>1824</c:v>
                </c:pt>
                <c:pt idx="9">
                  <c:v>1860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9968</c:v>
                </c:pt>
                <c:pt idx="1">
                  <c:v>12204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594,60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616.53</c:v>
                </c:pt>
                <c:pt idx="1">
                  <c:v>861.62</c:v>
                </c:pt>
                <c:pt idx="2">
                  <c:v>1001.11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594,60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Hoja1!$B$2:$B$6</c:f>
              <c:numCache>
                <c:formatCode>#,##0</c:formatCode>
                <c:ptCount val="5"/>
                <c:pt idx="0">
                  <c:v>680</c:v>
                </c:pt>
                <c:pt idx="1">
                  <c:v>777.95</c:v>
                </c:pt>
                <c:pt idx="2">
                  <c:v>616.53</c:v>
                </c:pt>
                <c:pt idx="3">
                  <c:v>987.45</c:v>
                </c:pt>
                <c:pt idx="4">
                  <c:v>591.63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Hoja1!$C$2:$C$6</c:f>
              <c:numCache>
                <c:formatCode>#,##0</c:formatCode>
                <c:ptCount val="5"/>
                <c:pt idx="0">
                  <c:v>370</c:v>
                </c:pt>
                <c:pt idx="1">
                  <c:v>192.82999999999993</c:v>
                </c:pt>
                <c:pt idx="2">
                  <c:v>384.58000000000004</c:v>
                </c:pt>
                <c:pt idx="3">
                  <c:v>186.89999999999986</c:v>
                </c:pt>
                <c:pt idx="4">
                  <c:v>5.940000000000055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