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Default Extension="xlsx" ContentType="application/vnd.openxmlformats-officedocument.spreadsheetml.sheet"/>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chart9.xml" ContentType="application/vnd.openxmlformats-officedocument.drawingml.chart+xml"/>
  <Override PartName="/word/charts/chart10.xml" ContentType="application/vnd.openxmlformats-officedocument.drawingml.chart+xml"/>
  <Override PartName="/word/charts/chart11.xml" ContentType="application/vnd.openxmlformats-officedocument.drawingml.chart+xml"/>
  <Override PartName="/word/charts/chart12.xml" ContentType="application/vnd.openxmlformats-officedocument.drawingml.chart+xml"/>
  <Override PartName="/word/charts/chart13.xml" ContentType="application/vnd.openxmlformats-officedocument.drawingml.chart+xml"/>
  <Override PartName="/word/charts/chart14.xml" ContentType="application/vnd.openxmlformats-officedocument.drawingml.chart+xml"/>
  <Override PartName="/word/charts/chart15.xml" ContentType="application/vnd.openxmlformats-officedocument.drawingml.chart+xml"/>
  <Override PartName="/word/charts/chart16.xml" ContentType="application/vnd.openxmlformats-officedocument.drawingml.chart+xml"/>
  <Override PartName="/word/charts/chart17.xml" ContentType="application/vnd.openxmlformats-officedocument.drawingml.chart+xml"/>
  <Override PartName="/word/charts/chart18.xml" ContentType="application/vnd.openxmlformats-officedocument.drawingml.chart+xml"/>
  <Override PartName="/word/charts/chart19.xml" ContentType="application/vnd.openxmlformats-officedocument.drawingml.chart+xml"/>
  <Override PartName="/word/charts/chart20.xml" ContentType="application/vnd.openxmlformats-officedocument.drawingml.chart+xml"/>
  <Override PartName="/word/charts/chart21.xml" ContentType="application/vnd.openxmlformats-officedocument.drawingml.chart+xml"/>
  <Override PartName="/word/charts/chart22.xml" ContentType="application/vnd.openxmlformats-officedocument.drawingml.chart+xml"/>
  <Override PartName="/word/charts/chart23.xml" ContentType="application/vnd.openxmlformats-officedocument.drawingml.chart+xml"/>
  <Override PartName="/word/charts/chart24.xml" ContentType="application/vnd.openxmlformats-officedocument.drawingml.chart+xml"/>
  <Override PartName="/word/charts/chart25.xml" ContentType="application/vnd.openxmlformats-officedocument.drawingml.chart+xml"/>
  <Override PartName="/word/charts/chart26.xml" ContentType="application/vnd.openxmlformats-officedocument.drawingml.chart+xml"/>
  <Override PartName="/word/charts/chart27.xml" ContentType="application/vnd.openxmlformats-officedocument.drawingml.chart+xml"/>
  <Override PartName="/word/charts/chart28.xml" ContentType="application/vnd.openxmlformats-officedocument.drawingml.chart+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pPr>
      <w:r>
        <w:rPr>
          <w:rFonts w:ascii="Calibri" w:cs="Calibri" w:eastAsia="Calibri" w:hAnsi="Calibri"/>
          <w:b/>
          <w:bCs/>
          <w:color w:val="2A78D6"/>
          <w:spacing w:val="40"/>
          <w:sz w:val="18"/>
          <w:szCs w:val="18"/>
        </w:rPr>
        <w:t xml:space="preserve">ANÁLISIS DE EMPRESA COTIZADA</w:t>
      </w:r>
    </w:p>
    <w:p>
      <w:pPr>
        <w:pStyle w:val="Title"/>
      </w:pPr>
      <w:r>
        <w:t xml:space="preserve">Paychex, Inc.</w:t>
      </w:r>
    </w:p>
    <w:p>
      <w:pPr>
        <w:spacing w:after="60"/>
        <w:rPr>
          <w:color w:val="52514E"/>
          <w:sz w:val="22"/>
          <w:szCs w:val="22"/>
        </w:rPr>
      </w:pPr>
      <w:r>
        <w:rPr>
          <w:color w:val="52514E"/>
          <w:sz w:val="22"/>
          <w:szCs w:val="22"/>
        </w:rPr>
        <w:t xml:space="preserve">PAYX · NASDAQ Global Select Market · ISIN US7043261079 · Industria (GICS)</w:t>
      </w:r>
    </w:p>
    <w:p>
      <w:pPr>
        <w:spacing w:after="360"/>
        <w:rPr>
          <w:color w:val="52514E"/>
          <w:sz w:val="18"/>
          <w:szCs w:val="18"/>
        </w:rPr>
      </w:pPr>
      <w:r>
        <w:rPr>
          <w:color w:val="52514E"/>
          <w:sz w:val="18"/>
          <w:szCs w:val="18"/>
        </w:rPr>
        <w:t xml:space="preserve">Fecha de corte de los datos: </w:t>
      </w:r>
      <w:r>
        <w:rPr>
          <w:b/>
          <w:bCs/>
          <w:color w:val="52514E"/>
          <w:sz w:val="18"/>
          <w:szCs w:val="18"/>
        </w:rPr>
        <w:t xml:space="preserve">12 oct 2026</w:t>
      </w:r>
      <w:r>
        <w:rPr>
          <w:color w:val="52514E"/>
          <w:sz w:val="18"/>
          <w:szCs w:val="18"/>
        </w:rPr>
        <w:t xml:space="preserve"> · Divisa: </w:t>
      </w:r>
      <w:r>
        <w:rPr>
          <w:b/>
          <w:bCs/>
          <w:color w:val="52514E"/>
          <w:sz w:val="18"/>
          <w:szCs w:val="18"/>
        </w:rPr>
        <w:t xml:space="preserve">USD</w:t>
      </w:r>
      <w:r>
        <w:rPr>
          <w:color w:val="52514E"/>
          <w:sz w:val="18"/>
          <w:szCs w:val="18"/>
        </w:rPr>
        <w:t xml:space="preserve"> · Cifras en </w:t>
      </w:r>
      <w:r>
        <w:rPr>
          <w:b/>
          <w:bCs/>
          <w:color w:val="52514E"/>
          <w:sz w:val="18"/>
          <w:szCs w:val="18"/>
        </w:rPr>
        <w:t xml:space="preserve">millones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Recomendación</w:t>
            </w:r>
          </w:p>
          <w:p>
            <w:pPr>
              <w:spacing w:after="0"/>
            </w:pPr>
            <w:r>
              <w:rPr>
                <w:rFonts w:ascii="Calibri" w:cs="Calibri" w:eastAsia="Calibri" w:hAnsi="Calibri"/>
                <w:b/>
                <w:bCs/>
                <w:color w:val="1F2A3C"/>
                <w:sz w:val="26"/>
                <w:szCs w:val="26"/>
              </w:rPr>
              <w:t xml:space="preserve">Mantener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Precio</w:t>
            </w:r>
          </w:p>
          <w:p>
            <w:pPr>
              <w:spacing w:after="0"/>
            </w:pPr>
            <w:r>
              <w:rPr>
                <w:rFonts w:ascii="Calibri" w:cs="Calibri" w:eastAsia="Calibri" w:hAnsi="Calibri"/>
                <w:b/>
                <w:bCs/>
                <w:color w:val="1F2A3C"/>
                <w:sz w:val="26"/>
                <w:szCs w:val="26"/>
              </w:rPr>
              <w:t xml:space="preserve">103,98 USD</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Objetivo 12 m</w:t>
            </w:r>
          </w:p>
          <w:p>
            <w:pPr>
              <w:spacing w:after="0"/>
            </w:pPr>
            <w:r>
              <w:rPr>
                <w:rFonts w:ascii="Calibri" w:cs="Calibri" w:eastAsia="Calibri" w:hAnsi="Calibri"/>
                <w:b/>
                <w:bCs/>
                <w:color w:val="1F2A3C"/>
                <w:sz w:val="26"/>
                <w:szCs w:val="26"/>
              </w:rPr>
              <w:t xml:space="preserve">124,89 USD</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Rentabilidad 12 m</w:t>
            </w:r>
          </w:p>
          <w:p>
            <w:pPr>
              <w:spacing w:after="0"/>
            </w:pPr>
            <w:r>
              <w:rPr>
                <w:rFonts w:ascii="Calibri" w:cs="Calibri" w:eastAsia="Calibri" w:hAnsi="Calibri"/>
                <w:b/>
                <w:bCs/>
                <w:color w:val="1F2A3C"/>
                <w:sz w:val="26"/>
                <w:szCs w:val="26"/>
              </w:rPr>
              <w:t xml:space="preserve">+24,5 % (base +24,2 %)</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Valor intrínseco</w:t>
            </w:r>
          </w:p>
          <w:p>
            <w:pPr>
              <w:spacing w:after="0"/>
            </w:pPr>
            <w:r>
              <w:rPr>
                <w:rFonts w:ascii="Calibri" w:cs="Calibri" w:eastAsia="Calibri" w:hAnsi="Calibri"/>
                <w:b/>
                <w:bCs/>
                <w:color w:val="1F2A3C"/>
                <w:sz w:val="26"/>
                <w:szCs w:val="26"/>
              </w:rPr>
              <w:t xml:space="preserve">97,19 USD · mercado 111,76</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Convicción</w:t>
            </w:r>
          </w:p>
          <w:p>
            <w:pPr>
              <w:spacing w:after="0"/>
            </w:pPr>
            <w:r>
              <w:rPr>
                <w:rFonts w:ascii="Calibri" w:cs="Calibri" w:eastAsia="Calibri" w:hAnsi="Calibri"/>
                <w:b/>
                <w:bCs/>
                <w:color w:val="1F2A3C"/>
                <w:sz w:val="26"/>
                <w:szCs w:val="26"/>
              </w:rPr>
              <w:t xml:space="preserve">Baja</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Capitalización</w:t>
            </w:r>
          </w:p>
          <w:p>
            <w:pPr>
              <w:spacing w:after="0"/>
            </w:pPr>
            <w:r>
              <w:rPr>
                <w:rFonts w:ascii="Calibri" w:cs="Calibri" w:eastAsia="Calibri" w:hAnsi="Calibri"/>
                <w:b/>
                <w:bCs/>
                <w:color w:val="1F2A3C"/>
                <w:sz w:val="26"/>
                <w:szCs w:val="26"/>
              </w:rPr>
              <w:t xml:space="preserve">37.100 M</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EV/EBITDA próx. 12 m</w:t>
            </w:r>
          </w:p>
          <w:p>
            <w:pPr>
              <w:spacing w:after="0"/>
            </w:pPr>
            <w:r>
              <w:rPr>
                <w:rFonts w:ascii="Calibri" w:cs="Calibri" w:eastAsia="Calibri" w:hAnsi="Calibri"/>
                <w:b/>
                <w:bCs/>
                <w:color w:val="1F2A3C"/>
                <w:sz w:val="26"/>
                <w:szCs w:val="26"/>
              </w:rPr>
              <w:t xml:space="preserve">12,3x</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Deuda neta aj. / EBITDA</w:t>
            </w:r>
          </w:p>
          <w:p>
            <w:pPr>
              <w:spacing w:after="0"/>
            </w:pPr>
            <w:r>
              <w:rPr>
                <w:rFonts w:ascii="Calibri" w:cs="Calibri" w:eastAsia="Calibri" w:hAnsi="Calibri"/>
                <w:b/>
                <w:bCs/>
                <w:color w:val="1F2A3C"/>
                <w:sz w:val="26"/>
                <w:szCs w:val="26"/>
              </w:rPr>
              <w:t xml:space="preserve">1,2x</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r>
    </w:tbl>
    <w:p>
      <w:pPr>
        <w:spacing w:after="20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Nombre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Paychex, Inc.</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Ticker / ISIN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PAYX / US7043261079</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NASDAQ Global Select Market</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Índice de referencia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S&amp;P 500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Sector / industria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Industria (GICS) / Servicios profesionales: proceso de nóminas y RR. HH.</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Sede · fundación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Rochester (Nueva York) · 1971</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Empleados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17.600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Web</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https://www.paychex.com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(fecha)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103,98 (9 oct 2026)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52 semanas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85,45 – 129,24</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Acciones diluidas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356,8</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Free float</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89,8 %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Capitalización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37.100 M USD</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empresa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40.724 M USD</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Volumen medio diario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341 M USD/día (≈ 3,0 M de acciones; 3 meses)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Próximos resultados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18 dic 2026</w:t>
            </w:r>
          </w:p>
        </w:tc>
      </w:tr>
    </w:tbl>
    <w:p>
      <w:pPr>
        <w:spacing w:after="160" w:before="0"/>
      </w:pPr>
    </w:p>
    <w:p>
      <w:pPr>
        <w:pStyle w:val="Heading2"/>
      </w:pPr>
      <w:r>
        <w:t xml:space="preserve">Contenido</w:t>
      </w:r>
    </w:p>
    <w:p>
      <w:pPr>
        <w:pStyle w:val="ListParagraph"/>
        <w:numPr>
          <w:ilvl w:val="0"/>
          <w:numId w:val="2"/>
        </w:numPr>
        <w:spacing w:after="40"/>
      </w:pPr>
      <w:r>
        <w:rPr>
          <w:sz w:val="18"/>
          <w:szCs w:val="18"/>
        </w:rPr>
        <w:t xml:space="preserve">Síntesis y recomendación (una página)</w:t>
      </w:r>
    </w:p>
    <w:p>
      <w:pPr>
        <w:pStyle w:val="ListParagraph"/>
        <w:numPr>
          <w:ilvl w:val="0"/>
          <w:numId w:val="2"/>
        </w:numPr>
        <w:spacing w:after="40"/>
      </w:pPr>
      <w:r>
        <w:rPr>
          <w:sz w:val="18"/>
          <w:szCs w:val="18"/>
        </w:rPr>
        <w:t xml:space="preserve">Resumen ejecutivo</w:t>
      </w:r>
    </w:p>
    <w:p>
      <w:pPr>
        <w:pStyle w:val="ListParagraph"/>
        <w:numPr>
          <w:ilvl w:val="0"/>
          <w:numId w:val="2"/>
        </w:numPr>
        <w:spacing w:after="40"/>
      </w:pPr>
      <w:r>
        <w:rPr>
          <w:sz w:val="18"/>
          <w:szCs w:val="18"/>
        </w:rPr>
        <w:t xml:space="preserve">Parte I — Negocio y sector: 1. Historia · 2. Modelo de negocio · 3. Sector y mercado · 4. Posición competitiva</w:t>
      </w:r>
    </w:p>
    <w:p>
      <w:pPr>
        <w:pStyle w:val="ListParagraph"/>
        <w:numPr>
          <w:ilvl w:val="0"/>
          <w:numId w:val="2"/>
        </w:numPr>
        <w:spacing w:after="40"/>
      </w:pPr>
      <w:r>
        <w:rPr>
          <w:sz w:val="18"/>
          <w:szCs w:val="18"/>
        </w:rPr>
        <w:t xml:space="preserve">Parte II — Finanzas: 5. Cuenta de resultados · 6. Resultados recientes · 7. Balance y circulante · 8. Flujos de caja · 9. Calidad contable · 10. Rentabilidad · 11. Deuda y solvencia · 12. Asignación de capital</w:t>
      </w:r>
    </w:p>
    <w:p>
      <w:pPr>
        <w:pStyle w:val="ListParagraph"/>
        <w:numPr>
          <w:ilvl w:val="0"/>
          <w:numId w:val="2"/>
        </w:numPr>
        <w:spacing w:after="40"/>
      </w:pPr>
      <w:r>
        <w:rPr>
          <w:sz w:val="18"/>
          <w:szCs w:val="18"/>
        </w:rPr>
        <w:t xml:space="preserve">Parte III — Equipo y gobierno: 13. Equipo directivo · 14. Gobierno corporativo</w:t>
      </w:r>
    </w:p>
    <w:p>
      <w:pPr>
        <w:pStyle w:val="ListParagraph"/>
        <w:numPr>
          <w:ilvl w:val="0"/>
          <w:numId w:val="2"/>
        </w:numPr>
        <w:spacing w:after="40"/>
      </w:pPr>
      <w:r>
        <w:rPr>
          <w:sz w:val="18"/>
          <w:szCs w:val="18"/>
        </w:rPr>
        <w:t xml:space="preserve">Parte IV — Mercado y valoración: 15. Consenso · 16. Bolsa · 17. Múltiplos históricos · 18. Comparables · 19. Transacciones · 20. DCF · 21. Escenarios · 22. Suma de partes · 23. Síntesis</w:t>
      </w:r>
    </w:p>
    <w:p>
      <w:pPr>
        <w:pStyle w:val="ListParagraph"/>
        <w:numPr>
          <w:ilvl w:val="0"/>
          <w:numId w:val="2"/>
        </w:numPr>
        <w:spacing w:after="40"/>
      </w:pPr>
      <w:r>
        <w:rPr>
          <w:sz w:val="18"/>
          <w:szCs w:val="18"/>
        </w:rPr>
        <w:t xml:space="preserve">Parte V — Tesis, riesgos y seguimiento: 24. Catalizadores · 25. Riesgos y pre-mortem · 26. ESG · 27. Preguntas abiertas · 28. Sentimiento en foros y comentarios</w:t>
      </w:r>
    </w:p>
    <w:p>
      <w:pPr>
        <w:pStyle w:val="ListParagraph"/>
        <w:numPr>
          <w:ilvl w:val="0"/>
          <w:numId w:val="2"/>
        </w:numPr>
        <w:spacing w:after="40"/>
      </w:pPr>
      <w:r>
        <w:rPr>
          <w:sz w:val="18"/>
          <w:szCs w:val="18"/>
        </w:rPr>
        <w:t xml:space="preserve">Anexos: controles de calidad, información no disponible y fuentes</w:t>
      </w:r>
    </w:p>
    <w:p>
      <w:pPr>
        <w:pStyle w:val="ListParagraph"/>
        <w:numPr>
          <w:ilvl w:val="0"/>
          <w:numId w:val="2"/>
        </w:numPr>
        <w:spacing w:after="40"/>
      </w:pPr>
      <w:r>
        <w:rPr>
          <w:sz w:val="18"/>
          <w:szCs w:val="18"/>
        </w:rPr>
        <w:t xml:space="preserve">Las secciones sin información verificable no se imprimen; quedan listadas en el anexo «Información no disponible».</w:t>
      </w:r>
    </w:p>
    <w:p>
      <w:r>
        <w:br w:type="page"/>
      </w:r>
    </w:p>
    <w:p>
      <w:pPr>
        <w:pStyle w:val="Heading1"/>
      </w:pPr>
      <w:r>
        <w:t xml:space="preserve">Síntesis y recomendación</w:t>
      </w:r>
    </w:p>
    <w:p>
      <w:pPr>
        <w:spacing w:after="100"/>
      </w:pPr>
      <w:r>
        <w:rPr>
          <w:b/>
          <w:bCs/>
        </w:rPr>
        <w:t xml:space="preserve">Mantener</w:t>
      </w:r>
      <w:r>
        <w:t xml:space="preserve"> · Convicción Baja · Objetivo a 12 meses </w:t>
      </w:r>
      <w:r>
        <w:rPr>
          <w:b/>
          <w:bCs/>
        </w:rPr>
        <w:t xml:space="preserve">124,89 USD</w:t>
      </w:r>
      <w:r>
        <w:t xml:space="preserve"> frente a 103,98 · Rentabilidad a 12 meses </w:t>
      </w:r>
      <w:r>
        <w:rPr>
          <w:b/>
          <w:bCs/>
        </w:rPr>
        <w:t xml:space="preserve">+24,5 % (base +24,2 %)</w:t>
      </w:r>
      <w:r>
        <w:t xml:space="preserve"> · Valor intrínseco 97,19 USD · con la prima implícita del mercado: 111,76 (+7,5 %) · Alcista / bajista +9,4 % / -35,5 %</w:t>
      </w:r>
    </w:p>
    <w:p>
      <w:pPr>
        <w:spacing w:after="100"/>
      </w:pPr>
      <w:r>
        <w:rPr>
          <w:b/>
        </w:rPr>
        <w:t xml:space="preserve">La recomendación y por qué.</w:t>
      </w:r>
      <w:r>
        <w:t xml:space="preserve"> Mantener con convicción baja. El valor objetivo es de 97,19 USD frente a un precio de 103,98 USD (−6,5 %); con el dividendo del 4,4 %, la rentabilidad total esperada a 12 meses es del −2,2 %, con un alcista del 9,4 % y un bajista del −35,5 % (asimetría de 0,26x). Con la prima de riesgo que hoy pide el mercado (4,20 %), el objetivo sube a 111,76 USD y la rentabilidad total al 11,8 %, por debajo del 15 % que exige Comprar. La convicción es baja porque las dos reglas discrepan (Vender con nuestro WACC, Mantener con el del mercado) y porque la diferencia es de tasa, no de cifras: nuestra proyección coincide con el consenso. Subiría por debajo de 96,80 USD o si la guía de FY2028 vuelve a un crecimiento del 6 %.</w:t>
      </w:r>
    </w:p>
    <w:p>
      <w:pPr>
        <w:spacing w:after="100"/>
      </w:pPr>
      <w:r>
        <w:rPr>
          <w:b/>
        </w:rPr>
        <w:t xml:space="preserve">El negocio.</w:t>
      </w:r>
      <w:r>
        <w:t xml:space="preserve"> Paychex es el segundo proveedor de nóminas y RR. HH. para pymes de EE. UU., paga a 1 de cada 11 trabajadores privados y tiene un margen operativo del 38,6 % frente al 26,1 % de ADP y el 27,6 % de Paycom [1, 22, 24]. El ROIC del 26,8 % casi triplica el WACC del 9,50 %, aunque la compra de Paycor lo bajó desde el 58,0 % de FY2024. La calidad sostiene el crecimiento que proyectamos (veredicto: Sí): el 4,5 % anual es menos que el orgánico de FY2026 y del 1T27 y apenas pide capital; el límite está en una base de clientes que no crece y en una retención del 82-83 % [1].</w:t>
      </w:r>
    </w:p>
    <w:p>
      <w:pPr>
        <w:spacing w:after="100"/>
      </w:pPr>
      <w:r>
        <w:rPr>
          <w:b/>
        </w:rPr>
        <w:t xml:space="preserve">Finanzas.</w:t>
      </w:r>
      <w:r>
        <w:t xml:space="preserve"> Los ingresos de FY2026 crecieron un 16,9 %, pero sin Paycor solo un 4,9 % (estimación propia) [1]. El 1T27 creció un 5,9 %, con Management Solutions al +4 % y la PEO al +12 %, y la empresa anticipa un +4 % en el 2T [3, 11]. Deuda neta de 3.624 M USD (1,2 veces el EBITDA). Los 4.348,4 M USD de fondos de clientes no son caja libre: se anulan con sus obligaciones [2]. El flujo de FY2026 está inflado por 240 M USD de impuestos no pagados que ya se revierten [1, 3].</w:t>
      </w:r>
    </w:p>
    <w:p>
      <w:pPr>
        <w:spacing w:after="100"/>
      </w:pPr>
      <w:r>
        <w:rPr>
          <w:b/>
        </w:rPr>
        <w:t xml:space="preserve">Equipo y gobierno.</w:t>
      </w:r>
      <w:r>
        <w:t xml:space="preserve"> Suma poco y no resta: consejo con un 82 % de independientes, presidente no ejecutivo, say-on-pay del 94-96 % y guía de BPA cumplida todos los años de FY2021 a FY2026 [32, 34]. Los directivos vendieron 3,78 M USD en 12 meses y compraron 0,20 M USD [42].</w:t>
      </w:r>
    </w:p>
    <w:p>
      <w:pPr>
        <w:spacing w:after="100"/>
      </w:pPr>
      <w:r>
        <w:rPr>
          <w:b/>
        </w:rPr>
        <w:t xml:space="preserve">Valoración.</w:t>
      </w:r>
      <w:r>
        <w:t xml:space="preserve"> El DCF da 93,54 USD; los comparables, 112,32 USD; los escenarios, 90,97 USD. El precio descuenta un crecimiento del 6,2 % anual (nuestro caso base: 4,5 %) o una rentabilidad del 8,9 %, por debajo de nuestro WACC. A 12,3x el EBITDA de los próximos 12 meses está en línea con sus comparables y en el percentil 10 de su propia historia, pero con el bono al 5,22 % lo barato frente al pasado no es barato frente al coste de capital.</w:t>
      </w:r>
    </w:p>
    <w:p>
      <w:pPr>
        <w:spacing w:after="100"/>
      </w:pPr>
      <w:r>
        <w:rPr>
          <w:b/>
        </w:rPr>
        <w:t xml:space="preserve">Riesgos y catalizadores.</w:t>
      </w:r>
      <w:r>
        <w:t xml:space="preserve"> El mayor riesgo es que la IA y los rivales en la nube aprieten el precio de las nóminas de las pymes (el bajista: −35,5 %); después, un ciclo de empleo como el de FY2010 (ingresos −3,9 %) [9]. Los foros están divididos y empeoran desde los resultados de septiembre, con la IA y la desaceleración como temas, igual que los analistas [76, 86]. Catalizadores: resultados del 2T hacia el 18 de diciembre y guía de FY2028 a finales de junio de 2027.</w:t>
      </w:r>
    </w:p>
    <w:p>
      <w:pPr>
        <w:spacing w:after="100"/>
      </w:pPr>
      <w:r>
        <w:rPr>
          <w:b/>
        </w:rPr>
        <w:t xml:space="preserve">Qué cambiaría la decisión.</w:t>
      </w:r>
      <w:r>
        <w:t xml:space="preserve"> Compraríamos por debajo de 96,80 USD y venderíamos por encima de 119,74 USD. Pasaríamos a Comprar si Management Solutions vuelve al +5 % durante dos trimestres con retención estable, y a Vender si la guía de FY2028 baja del +4 % o la retención cae por debajo del 80 %.</w:t>
      </w:r>
    </w:p>
    <w:p>
      <w:r>
        <w:br w:type="page"/>
      </w:r>
    </w:p>
    <w:p>
      <w:pPr>
        <w:pStyle w:val="Heading1"/>
      </w:pPr>
      <w:r>
        <w:t xml:space="preserve">Resumen ejecutivo</w:t>
      </w:r>
    </w:p>
    <w:p>
      <w:pPr>
        <w:pStyle w:val="Confianza"/>
        <w:spacing w:after="100"/>
      </w:pPr>
      <w:r>
        <w:t xml:space="preserve">Confianza: Media</w:t>
      </w:r>
    </w:p>
    <w:p>
      <w:pPr>
        <w:spacing w:after="100"/>
      </w:pPr>
      <w:r>
        <w:rPr>
          <w:b/>
          <w:bCs/>
        </w:rPr>
        <w:t xml:space="preserve">Recomendación: Mantener</w:t>
      </w:r>
      <w:r>
        <w:t xml:space="preserve"> · Convicción: Baja · Horizonte: 12 meses · Objetivo a 12 meses: </w:t>
      </w:r>
      <w:r>
        <w:rPr>
          <w:b/>
          <w:bCs/>
        </w:rPr>
        <w:t xml:space="preserve">124,89 USD</w:t>
      </w:r>
      <w:r>
        <w:t xml:space="preserve"> (rentabilidad +24,5 % (base +24,2 %)) · Valor intrínseco: 97,19 USD (-6,5 % sobre 103,98) · con la prima implícita del mercado: 111,76 (+7,5 %)</w:t>
      </w:r>
    </w:p>
    <w:p>
      <w:pPr>
        <w:spacing w:after="100"/>
      </w:pPr>
      <w:r>
        <w:t xml:space="preserve">Paychex procesa las nóminas de unos 800.000 clientes, paga a 1 de cada 11 trabajadores privados de EE. UU. y convierte en caja casi todo su beneficio: margen operativo del 38,6 %, ROIC del 26,8 % y un dividendo del 4,4 % que reparte el 91 % del beneficio [1]. La compra de Paycor (4.085,7 M USD) le dio la empresa mediana y deuda por primera vez en su historia [1].</w:t>
      </w:r>
    </w:p>
    <w:p>
      <w:pPr>
        <w:spacing w:after="100"/>
      </w:pPr>
      <w:r>
        <w:t xml:space="preserve">El precio, 103,98 USD, descuenta con nuestro WACC del 9,50 % un crecimiento del 6,2 % anual durante ocho años, o una rentabilidad del 8,9 % con nuestras cifras. Cotiza a 12,3x el EBITDA de los próximos 12 meses y 18,3x el BPA, en línea con sus comparables y un 24 % por debajo de su EV/EBITDA medio de diez años [59].</w:t>
      </w:r>
    </w:p>
    <w:p>
      <w:pPr>
        <w:spacing w:after="100"/>
      </w:pPr>
      <w:r>
        <w:t xml:space="preserve">El mercado acierta al pagar menos que antes: el crecimiento orgánico ha bajado al 5 %, Management Solutions creció solo un 4 % en el 1T27 y la IA amenaza el servicio por el que cobra [3]. Para invertir hay que creer que el poder de precios y la venta cruzada de Paycor devuelven el crecimiento al 6 % o que el coste de capital baja. Ninguna de las dos cosas tiene fecha.</w:t>
      </w:r>
    </w:p>
    <w:p>
      <w:pPr>
        <w:pStyle w:val="Heading2"/>
      </w:pPr>
      <w:r>
        <w:t xml:space="preserve">La decisión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425"/>
        <w:gridCol w:w="3213"/>
      </w:tblGrid>
      <w:tr>
        <w:trPr>
          <w:cantSplit/>
          <w:tblHeader/>
        </w:trPr>
        <w:tc>
          <w:tcPr>
            <w:tcW w:type="dxa" w:w="64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Elemento de la decisión</w:t>
            </w:r>
          </w:p>
        </w:tc>
        <w:tc>
          <w:tcPr>
            <w:tcW w:type="dxa" w:w="32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Objetivo a 12 meses (nuestro PER × nuestro BPA FY2028e, ponderado 25/55/20)</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124,89 USD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 / base / alcista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16,5x × 5,52 = 91,08 · 20,7x × 6,02 = 124,61 · 26,4x × 6,36 = 167,90</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 12 meses: ponderada / del base (con dividendo)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24,5 % / 24,2 %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de múltiplos aplicada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v3: base a mitad de camino hacia la mediana adelantada, sin alejarse del actual más de ×1,1; bajista mín. 5 a (adelantado) o base × 0,80; alcista techo base × 1,35</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Objetivo medio de los analistas (solo contraste)</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113,93 (nuestro base +9,4 %)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intrínseco (síntesis ponderada, largo plazo)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97,19 USD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Potencial sobre el precio actual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-6,5 %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por dividendo ordinario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4,4 %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 alcista /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9,4 % / -35,5 %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(ganancia alcista / pérdida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0,26x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anual implícita en el precio frente al WACC y al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8,9 % frente a 9,5 % y 8,4 %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objetivo con la prima implícita del mercado (4,2 %, WACC 8,4 %)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111,76 USD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11,8 %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1,45x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absoluta (frente a su coste de capital)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Vender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relativa (frente a lo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Mantener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calidad de la empresa sostiene el crecimiento previsto?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Sí (4,5 % anual proyectado; sin inversión neta)</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Señal del valor intrínseco (regla del DCF, referencia)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Mantener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según la regla a 12 meses (Comprar: ponderada ≥ 15 %, base ≥ 12 % y valor intrínseco ≥ precio; Vender: ponderada ≤ -10 %)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Mantener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Convicción según los criterios (las reglas discrepan (absoluta Vender, relativa Mantener))</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Baja</w:t>
            </w:r>
          </w:p>
        </w:tc>
      </w:tr>
    </w:tbl>
    <w:p>
      <w:pPr>
        <w:spacing w:after="160" w:before="0"/>
      </w:pPr>
    </w:p>
    <w:p>
      <w:pPr>
        <w:pStyle w:val="Nota"/>
        <w:spacing w:after="100"/>
      </w:pPr>
      <w:r>
        <w:t xml:space="preserve">Regla (método v2): la recomendación sigue al objetivo a 12 meses, que es nuestro PER × nuestro BPA del ejercicio que mirará el mercado dentro de un año, con la misma regla de múltiplos para todas las empresas (base: el menor entre el PER actual y la mediana de 5 años; bajista: el mínimo de 5 años, o el base −15 % si ya cotiza por debajo; alcista: la media histórica o la de los comparables, sin pasar de base +30 %), ponderado con las probabilidades de los escenarios. Comprar si la rentabilidad ponderada es ≥ 15 %, la del base ≥ 12 % y el valor intrínseco no queda por debajo del precio; Vender si la ponderada es ≤ −10 %; Mantener en el resto. El consenso de analistas solo se compara. El valor intrínseco (DCF) es la referencia a largo plazo; su regla, la de siempre: Comprar si la rentabilidad total esperada a 12 meses es ≥ 15 % y el alcista gana al menos lo que pierde el bajista; Vender si es ≤ −10 %, o negativa con asimetría &lt; 0,5; Mantener en el resto. Se aplica dos veces: con el WACC del análisis (regla absoluta: ¿rinde más que su coste de capital?) y con el WACC que resulta de la prima de riesgo implícita del mercado (regla relativa: ¿rinde más que lo que hoy pide el mercado, ajustado por su beta?). Manda la relativa, salvo que las dos se contradigan (una Comprar y otra Vender): entonces, Mantener.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8032"/>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Acción</w:t>
            </w:r>
          </w:p>
        </w:tc>
        <w:tc>
          <w:tcPr>
            <w:tcW w:type="dxa" w:w="8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 qué precio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97,19 (ponderada a 12 meses ≥ 15 %, base ≥ 12 % y precio ≤ valor intrínseco)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Mantener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Entre 97,19 y 143,81</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Vender o reducir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Por encima de 143,81 (ponderada a 12 meses ≤ -10 %)</w:t>
            </w:r>
          </w:p>
        </w:tc>
      </w:tr>
    </w:tbl>
    <w:p>
      <w:pPr>
        <w:spacing w:after="160" w:before="0"/>
      </w:pPr>
    </w:p>
    <w:p>
      <w:pPr>
        <w:pStyle w:val="Heading2"/>
      </w:pPr>
      <w:r>
        <w:t xml:space="preserve">Qué cambiaría la recomendación</w:t>
      </w:r>
    </w:p>
    <w:p>
      <w:pPr>
        <w:pStyle w:val="ListParagraph"/>
        <w:numPr>
          <w:ilvl w:val="0"/>
          <w:numId w:val="2"/>
        </w:numPr>
        <w:spacing w:after="60"/>
      </w:pPr>
      <w:r>
        <w:t xml:space="preserve">Precio por debajo de 96,80 USD: pasaríamos a Comprar.</w:t>
      </w:r>
    </w:p>
    <w:p>
      <w:pPr>
        <w:pStyle w:val="ListParagraph"/>
        <w:numPr>
          <w:ilvl w:val="0"/>
          <w:numId w:val="2"/>
        </w:numPr>
        <w:spacing w:after="60"/>
      </w:pPr>
      <w:r>
        <w:t xml:space="preserve">Precio por encima de 119,74 USD: pasaríamos a Vender.</w:t>
      </w:r>
    </w:p>
    <w:p>
      <w:pPr>
        <w:pStyle w:val="ListParagraph"/>
        <w:numPr>
          <w:ilvl w:val="0"/>
          <w:numId w:val="2"/>
        </w:numPr>
        <w:spacing w:after="60"/>
      </w:pPr>
      <w:r>
        <w:t xml:space="preserve">Management Solutions por encima del +5 % dos trimestres seguidos con retención estable: subiríamos el caso base hacia Comprar.</w:t>
      </w:r>
    </w:p>
    <w:p>
      <w:pPr>
        <w:pStyle w:val="ListParagraph"/>
        <w:numPr>
          <w:ilvl w:val="0"/>
          <w:numId w:val="2"/>
        </w:numPr>
        <w:spacing w:after="60"/>
      </w:pPr>
      <w:r>
        <w:t xml:space="preserve">Guía de ingresos de FY2028 por debajo del +4 % o retención por debajo del 80 %: Vender.</w:t>
      </w:r>
    </w:p>
    <w:p>
      <w:pPr>
        <w:pStyle w:val="ListParagraph"/>
        <w:numPr>
          <w:ilvl w:val="0"/>
          <w:numId w:val="2"/>
        </w:numPr>
        <w:spacing w:after="60"/>
      </w:pPr>
      <w:r>
        <w:t xml:space="preserve">Bono a 10 años de EE. UU. por debajo del 4,5 %: el WACC bajaría unos 0,6 puntos y revisaríamos al alza.</w:t>
      </w:r>
    </w:p>
    <w:p>
      <w:pPr>
        <w:pStyle w:val="Heading2"/>
      </w:pPr>
      <w:r>
        <w:t xml:space="preserve">Dónde discrepamos del mercado</w:t>
      </w:r>
    </w:p>
    <w:p>
      <w:pPr>
        <w:keepNext/>
        <w:spacing w:after="100"/>
      </w:pPr>
      <w:r>
        <w:rPr>
          <w:b/>
          <w:bCs/>
        </w:rPr>
        <w:t xml:space="preserve">Lo que descuenta el precio.</w:t>
      </w:r>
    </w:p>
    <w:p>
      <w:pPr>
        <w:spacing w:after="100"/>
      </w:pPr>
      <w:r>
        <w:t xml:space="preserve">Un crecimiento del 6,2 % anual con nuestro WACC, o una rentabilidad del 8,9 % anual con las cifras del consenso: el mercado valora a Paychex como un negocio de calidad que se ha vuelto maduro, con 15 de 19 analistas en Mantener y un precio objetivo medio de 113,93 USD [54].</w:t>
      </w:r>
    </w:p>
    <w:p>
      <w:pPr>
        <w:keepNext/>
        <w:spacing w:after="100"/>
      </w:pPr>
      <w:r>
        <w:rPr>
          <w:b/>
          <w:bCs/>
        </w:rPr>
        <w:t xml:space="preserve">Lo que creemos nosotros.</w:t>
      </w:r>
    </w:p>
    <w:p>
      <w:pPr>
        <w:spacing w:after="100"/>
      </w:pPr>
      <w:r>
        <w:t xml:space="preserve">No tenemos una visión distinta en las cifras: nuestra proyección coincide con el consenso al 0,3 %. Discrepamos en el precio que se debe pagar: con el bono de EE. UU. al 5,22 % y una beta de 0,90, el 8,9 % que rinde el precio no cubre el coste de capital, y el bajista pesa casi cuatro veces lo que el alcista.</w:t>
      </w:r>
    </w:p>
    <w:p>
      <w:pPr>
        <w:keepNext/>
        <w:spacing w:after="100"/>
      </w:pPr>
      <w:r>
        <w:rPr>
          <w:b/>
          <w:bCs/>
        </w:rPr>
        <w:t xml:space="preserve">Por qué podemos tener razón.</w:t>
      </w:r>
    </w:p>
    <w:p>
      <w:pPr>
        <w:spacing w:after="100"/>
      </w:pPr>
      <w:r>
        <w:t xml:space="preserve">La caída del 45 % desde junio de 2025 ya recoge la desaceleración [52], pero no un margen de seguridad frente a la IA: la retención del 82-83 % y la base de clientes plana dicen que el foso es de costes y de escala, no de cambio. Si la prima de riesgo del mercado se mantiene en el 4,20 %, la acción rinde lo que el mercado (+11,8 %) y no más.</w:t>
      </w:r>
    </w:p>
    <w:p>
      <w:pPr>
        <w:keepNext w:val="false"/>
        <w:spacing w:after="160" w:before="120"/>
        <w:jc w:val="center"/>
      </w:pPr>
      <w:r>
        <w:drawing>
          <wp:inline xmlns:wp="http://schemas.openxmlformats.org/drawingml/2006/wordprocessingDrawing" distT="0" distB="0" distL="0" distR="0">
            <wp:extent cx="5760000" cy="2880000"/>
            <wp:effectExtent l="0" t="0" r="0" b="0"/>
            <wp:docPr id="1001" name="Gráfico 1" descr="Valor por acción según cada método (USD) · precio actual 103,98"/>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93,54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112,32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106,79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90,97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-12,5 %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r>
    </w:tbl>
    <w:p>
      <w:pPr>
        <w:spacing w:after="160" w:before="0"/>
      </w:pPr>
    </w:p>
    <w:p>
      <w:pPr>
        <w:pStyle w:val="Heading2"/>
      </w:pPr>
      <w:r>
        <w:t xml:space="preserve">A favor</w:t>
      </w:r>
    </w:p>
    <w:p>
      <w:pPr>
        <w:pStyle w:val="ListParagraph"/>
        <w:numPr>
          <w:ilvl w:val="0"/>
          <w:numId w:val="2"/>
        </w:numPr>
        <w:spacing w:after="60"/>
      </w:pPr>
      <w:r>
        <w:rPr>
          <w:b/>
        </w:rPr>
        <w:t xml:space="preserve">Margen líder del sector</w:t>
      </w:r>
      <w:r>
        <w:t xml:space="preserve">: 38,6 % operativo GAAP frente al 26,1 % de ADP y el 21,8 % de Paylocity [1, 22, 25].</w:t>
      </w:r>
    </w:p>
    <w:p>
      <w:pPr>
        <w:pStyle w:val="ListParagraph"/>
        <w:numPr>
          <w:ilvl w:val="0"/>
          <w:numId w:val="2"/>
        </w:numPr>
        <w:spacing w:after="60"/>
      </w:pPr>
      <w:r>
        <w:rPr>
          <w:b/>
        </w:rPr>
        <w:t xml:space="preserve">Casi sin necesidad de capital</w:t>
      </w:r>
      <w:r>
        <w:t xml:space="preserve">: reinversión neta del 3 % del NOPAT y ROIC del 26,8 %, casi tres veces el WACC.</w:t>
      </w:r>
    </w:p>
    <w:p>
      <w:pPr>
        <w:pStyle w:val="ListParagraph"/>
        <w:numPr>
          <w:ilvl w:val="0"/>
          <w:numId w:val="2"/>
        </w:numPr>
        <w:spacing w:after="60"/>
      </w:pPr>
      <w:r>
        <w:rPr>
          <w:b/>
        </w:rPr>
        <w:t xml:space="preserve">Barata frente a su historia</w:t>
      </w:r>
      <w:r>
        <w:t xml:space="preserve">: 13,2x el EBITDA de los últimos 12 meses, en el percentil 10 de diez años (media de 17,4x).</w:t>
      </w:r>
    </w:p>
    <w:p>
      <w:pPr>
        <w:pStyle w:val="ListParagraph"/>
        <w:numPr>
          <w:ilvl w:val="0"/>
          <w:numId w:val="2"/>
        </w:numPr>
        <w:spacing w:after="60"/>
      </w:pPr>
      <w:r>
        <w:rPr>
          <w:b/>
        </w:rPr>
        <w:t xml:space="preserve">Dividendo del 4,4 %</w:t>
      </w:r>
      <w:r>
        <w:t xml:space="preserve"> con una guía de BPA ajustado de +7-9 % en FY2027 [3].</w:t>
      </w:r>
    </w:p>
    <w:p>
      <w:pPr>
        <w:pStyle w:val="ListParagraph"/>
        <w:numPr>
          <w:ilvl w:val="0"/>
          <w:numId w:val="2"/>
        </w:numPr>
        <w:spacing w:after="60"/>
      </w:pPr>
      <w:r>
        <w:rPr>
          <w:b/>
        </w:rPr>
        <w:t xml:space="preserve">PEO al +12 %</w:t>
      </w:r>
      <w:r>
        <w:t xml:space="preserve"> en el 1T27, con la guía subida a +7-8 % [3].</w:t>
      </w:r>
    </w:p>
    <w:p>
      <w:pPr>
        <w:pStyle w:val="Heading2"/>
      </w:pPr>
      <w:r>
        <w:t xml:space="preserve">En contra</w:t>
      </w:r>
    </w:p>
    <w:p>
      <w:pPr>
        <w:pStyle w:val="ListParagraph"/>
        <w:numPr>
          <w:ilvl w:val="0"/>
          <w:numId w:val="2"/>
        </w:numPr>
        <w:spacing w:after="60"/>
      </w:pPr>
      <w:r>
        <w:rPr>
          <w:b/>
        </w:rPr>
        <w:t xml:space="preserve">Management Solutions al +4 %</w:t>
      </w:r>
      <w:r>
        <w:t xml:space="preserve"> en el 1T27, por debajo de lo previsto, y +4 % de ingresos esperado en el 2T [3, 11].</w:t>
      </w:r>
    </w:p>
    <w:p>
      <w:pPr>
        <w:pStyle w:val="ListParagraph"/>
        <w:numPr>
          <w:ilvl w:val="0"/>
          <w:numId w:val="2"/>
        </w:numPr>
        <w:spacing w:after="60"/>
      </w:pPr>
      <w:r>
        <w:rPr>
          <w:b/>
        </w:rPr>
        <w:t xml:space="preserve">Base de clientes plana</w:t>
      </w:r>
      <w:r>
        <w:t xml:space="preserve"> (~800.000) y retención del 82-83 % con contratos cancelables a 30 días [1].</w:t>
      </w:r>
    </w:p>
    <w:p>
      <w:pPr>
        <w:pStyle w:val="ListParagraph"/>
        <w:numPr>
          <w:ilvl w:val="0"/>
          <w:numId w:val="2"/>
        </w:numPr>
        <w:spacing w:after="60"/>
      </w:pPr>
      <w:r>
        <w:rPr>
          <w:b/>
        </w:rPr>
        <w:t xml:space="preserve">Asimetría mala</w:t>
      </w:r>
      <w:r>
        <w:t xml:space="preserve">: alcista del 9,4 % frente a bajista del −35,5 %.</w:t>
      </w:r>
    </w:p>
    <w:p>
      <w:pPr>
        <w:pStyle w:val="ListParagraph"/>
        <w:numPr>
          <w:ilvl w:val="0"/>
          <w:numId w:val="2"/>
        </w:numPr>
        <w:spacing w:after="60"/>
      </w:pPr>
      <w:r>
        <w:rPr>
          <w:b/>
        </w:rPr>
        <w:t xml:space="preserve">Payout del 91 % y 4.600 M USD de deuda</w:t>
      </w:r>
      <w:r>
        <w:t xml:space="preserve"> tras Paycor: poco margen para subir el dividendo y recomprar a la vez [1].</w:t>
      </w:r>
    </w:p>
    <w:p>
      <w:pPr>
        <w:pStyle w:val="ListParagraph"/>
        <w:numPr>
          <w:ilvl w:val="0"/>
          <w:numId w:val="2"/>
        </w:numPr>
        <w:spacing w:after="60"/>
      </w:pPr>
      <w:r>
        <w:rPr>
          <w:b/>
        </w:rPr>
        <w:t xml:space="preserve">La IA ataca el servicio humano</w:t>
      </w:r>
      <w:r>
        <w:t xml:space="preserve"> por el que Paychex cobra más que sus rivales en la nube.</w:t>
      </w:r>
    </w:p>
    <w:p>
      <w:pPr>
        <w:pStyle w:val="Heading2"/>
      </w:pPr>
      <w:r>
        <w:t xml:space="preserve">Qué tiene que pasar para que la tesis funcione</w:t>
      </w:r>
    </w:p>
    <w:p>
      <w:pPr>
        <w:spacing w:after="100"/>
      </w:pPr>
      <w:r>
        <w:t xml:space="preserve">La tesis depende de que Management Solutions vuelva a crecer un 5 % con precio y venta cruzada, mientras la base de clientes se mantiene. La señal de que no se cumple sería un 2T27 por debajo del +4 % anticipado en esa línea, una retención por debajo del 80 % en el 10-K de julio de 2027 o una guía de ingresos de FY2028 inferior al +5 %.</w:t>
      </w:r>
    </w:p>
    <w:p>
      <w:pPr>
        <w:pStyle w:val="Heading2"/>
      </w:pPr>
      <w:r>
        <w:t xml:space="preserve">Indicadores de seguimiento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71"/>
        <w:gridCol w:w="1482"/>
        <w:gridCol w:w="1482"/>
        <w:gridCol w:w="4203"/>
      </w:tblGrid>
      <w:tr>
        <w:trPr>
          <w:cantSplit/>
          <w:tblHeader/>
        </w:trPr>
        <w:tc>
          <w:tcPr>
            <w:tcW w:type="dxa" w:w="24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Nivel actual</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Umbral de alerta</w:t>
            </w:r>
          </w:p>
        </w:tc>
        <w:tc>
          <w:tcPr>
            <w:tcW w:type="dxa" w:w="42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de Management Solutions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+4 % (1T27)</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+3 % o &gt; +5 %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el 75 % de los ingresos y la variable del caso base [3].</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Retención de clientes de nóminas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82-83 % (FY2026)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80 %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Mide el foso frente a la IA y los rivales en la nube [1].</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Empleados en ASO y PEO</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 millones (+6 %)</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Crecimiento &lt; +3 %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Motor de la línea que más crece [1].</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operativo ajustado</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42,0 % (1T27); guía ~44 % FY2027</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43 % en el ejercicio</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guía de BPA depende de él [3].</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Flujo operativo frente a dividendos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413,5 frente a 424,1 M USD (1T27)</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Semestre con flujo &lt; dividendos</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Prueba de que el payout del 91 % se sostiene [3].</w:t>
            </w:r>
          </w:p>
        </w:tc>
      </w:tr>
    </w:tbl>
    <w:p>
      <w:pPr>
        <w:spacing w:after="160" w:before="0"/>
      </w:pPr>
    </w:p>
    <w:p>
      <w:pPr>
        <w:pStyle w:val="Heading2"/>
      </w:pPr>
      <w:r>
        <w:t xml:space="preserve">Datos clave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EV/EBITDA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13,2x / 12,3x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PER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20,6x / 18,3x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15,5x</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EV/Ventas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6,17x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FCF</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5,3 %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dividendo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4,4 %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de ingresos (FY2017-FY2026)</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8,4 %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46,6 %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ROIC último ejercicio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26,8 %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WACC</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9,5 %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(contable ·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1,2x · 1,2x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Gobierno (criterios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 de 13</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r>
        <w:br w:type="page"/>
      </w:r>
    </w:p>
    <w:p>
      <w:pPr>
        <w:pStyle w:val="Parte"/>
      </w:pPr>
      <w:r>
        <w:t xml:space="preserve">Parte I — Negocio y sector</w:t>
      </w:r>
    </w:p>
    <w:p>
      <w:pPr>
        <w:pStyle w:val="Heading1"/>
      </w:pPr>
      <w:r>
        <w:t xml:space="preserve">1. Historia e hitos</w:t>
      </w:r>
    </w:p>
    <w:p>
      <w:pPr>
        <w:pStyle w:val="Confianza"/>
        <w:spacing w:after="100"/>
      </w:pPr>
      <w:r>
        <w:t xml:space="preserve">Confianza: Media</w:t>
      </w:r>
    </w:p>
    <w:p>
      <w:pPr>
        <w:spacing w:after="100"/>
      </w:pPr>
      <w:r>
        <w:t xml:space="preserve">Tom Golisano fundó la empresa en Rochester (Nueva York) en 1971 para llevar las nóminas de pequeñas empresas, un segmento que los grandes procesadores no atendían [16]. Las sociedades conjuntas y franquicias iniciales se consolidaron en 1979 en Paychex, Inc., constituida en Delaware [1, 16], y en 1983 salió a bolsa en el NASDAQ [16]. Durante cuatro décadas creció con compras pequeñas (SurePayroll en 2010, Advance Partners, Lessor) y con la venta cruzada de RR. HH., jubilación y seguros. Dos operaciones cambiaron su perímetro: Oasis Outsourcing (acuerdo de noviembre de 2018, ~1.200 M USD), que amplió mucho su negocio PEO [14], y Paycor HCM (cerrada el 14 de abril de 2025, valor empresa ~4.100 M USD), que la llevó a empresas medianas y grandes [1, 13]. John Gibson sustituyó a Martin Mucci como consejero delegado el 14 de octubre de 2022; Mucci siguió de presidente [15].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33"/>
        <w:gridCol w:w="8505"/>
      </w:tblGrid>
      <w:tr>
        <w:trPr>
          <w:cantSplit/>
          <w:tblHeader/>
        </w:trPr>
        <w:tc>
          <w:tcPr>
            <w:tcW w:type="dxa" w:w="11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8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Hito</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1971</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Tom Golisano funda en Rochester el negocio de nóminas para pequeñas empresas que se convertirá en Paychex [16].</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1979</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Las sociedades conjuntas y franquicias se consolidan en Paychex, Inc., constituida en Delaware [1, 16].</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1983</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Salida a bolsa en el NASDAQ con el símbolo PAYX [16].</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2010</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 SurePayroll, hoy su plataforma de autoservicio digital para microempresas [1, 16].</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2013-17</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Compras de myStaffingPro, NETtime Solutions, Advance Partners (financiación de nóminas para empresas de trabajo temporal) y HR Outsourcing Inc. [16].</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2018</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 Lessor Group (Dinamarca) [16]; el 23 de noviembre firma la compra de Oasis Outsourcing por ~1.200 M USD en efectivo, que amplía su negocio PEO [14].</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2022</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John B. Gibson, presidente y director de operaciones desde diciembre de 2021, pasa a consejero delegado el 14 de octubre; Martin Mucci sigue como presidente del consejo [15].</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2023</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 Alterna Capital Solutions (31 de julio; precio base 95,1 M USD), financiación de cuentas a cobrar de pymes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Cierra el 14 de abril la compra de Paycor HCM (22,50 USD por acción; valor empresa ~4.100 M USD; 655 M USD de ingresos en su FY2024), su mayor operación [1, 13]; en mayo compra SixFifty [16].</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Ingresos de 6.512 M USD en FY2026 (+17 %, 12 puntos por Paycor) y ~600 funciones y agentes de IA en su motor WISE [1].</w:t>
            </w:r>
          </w:p>
        </w:tc>
      </w:tr>
    </w:tbl>
    <w:p>
      <w:pPr>
        <w:spacing w:after="160" w:before="0"/>
      </w:pPr>
    </w:p>
    <w:p>
      <w:pPr>
        <w:pStyle w:val="Heading1"/>
      </w:pPr>
      <w:r>
        <w:t xml:space="preserve">2. Modelo de negocio</w:t>
      </w:r>
    </w:p>
    <w:p>
      <w:pPr>
        <w:pStyle w:val="Confianza"/>
        <w:spacing w:after="100"/>
      </w:pPr>
      <w:r>
        <w:t xml:space="preserve">Confianza: Alta</w:t>
      </w:r>
    </w:p>
    <w:p>
      <w:pPr>
        <w:spacing w:after="100"/>
      </w:pPr>
      <w:r>
        <w:t xml:space="preserve">Paychex vende software y servicios de gestión de personal (HCM) a pequeñas y medianas empresas de EE. UU. (y algo en Europa): nóminas, RR. HH., contratación, gestión del talento, control horario, administración de beneficios, planes 401(k), seguros y externalización completa de RR. HH. [1]. A 31 de mayo de 2026 atendía a ~840.000 clientes, ~800.000 de ellos de nóminas; paga a 1 de cada 11 trabajadores del sector privado de EE. UU. y movió ~1,3 billones de USD en el ejercicio [1]. Tiene tres plataformas: SurePayroll (autoservicio para microempresas), Paychex Flex (pymes) y Paycor (empresas medianas y grandes) [1]. Da servicio de ASO y PEO a ~2,6 millones de empleados en centro de trabajo y es uno de los mayores gestores de 401(k) (&gt;130.000 planes, 66.000 M USD de activos) [1]. Vende con fuerza comercial directa y virtual; más de la mitad de los clientes de nóminas llegan por recomendación de contables (acuerdo preferente con el AICPA hasta septiembre de 2027), corredores de seguros y bancos [1]. Más del 60 % de los ingresos viene de soluciones distintas del proceso de nóminas [1]. Plantilla: ~17.600 personas [1].</w:t>
      </w:r>
    </w:p>
    <w:p>
      <w:pPr>
        <w:pStyle w:val="Heading2"/>
      </w:pPr>
      <w:r>
        <w:t xml:space="preserve">Cómo gana dinero</w:t>
      </w:r>
    </w:p>
    <w:p>
      <w:pPr>
        <w:spacing w:after="100"/>
      </w:pPr>
      <w:r>
        <w:t xml:space="preserve">Casi todo el ingreso es recurrente: cuotas por cada nómina procesada y por empleado y módulo (Management Solutions: 4.867,9 M USD en FY2026, 75 % del total), cuotas del PEO, que incluyen el coste de los seguros de salud y de accidentes de trabajo de los empleados coempleados (PEO and Insurance Solutions: 1.433,2 M, 22 %), e intereses de los fondos de clientes (210,9 M, 3,2 %) [1]. Los fondos de clientes son el dinero que Paychex cobra antes de pagar nóminas e impuestos; en FY2026 su saldo medio fue de 5.768,2 M USD con un rendimiento del 3,5 % [1]. Una variación de 25 puntos básicos en los tipos a corto mueve el beneficio neto unos 4,5-5,0 M USD anuales después de impuestos [1]; la guía para FY2027 es de 200-210 M USD de intereses [3]. El margen depende de la plantilla (la remuneración es ~52 % de los gastos) [1], del número de empleados por cliente y del precio. El margen operativo GAAP fue del 38,6 % en FY2026 [1, 9]. No hay estacionalidad relevante, aunque las altas de clientes se concentran en el tercer trimestre (diciembre-febrero) [1].</w:t>
      </w:r>
    </w:p>
    <w:p>
      <w:pPr>
        <w:pStyle w:val="Heading2"/>
      </w:pPr>
      <w:r>
        <w:t xml:space="preserve">Segmentos (FY2026)</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678"/>
        <w:gridCol w:w="1320"/>
        <w:gridCol w:w="1320"/>
        <w:gridCol w:w="1320"/>
      </w:tblGrid>
      <w:tr>
        <w:trPr>
          <w:cantSplit/>
          <w:tblHeader/>
        </w:trPr>
        <w:tc>
          <w:tcPr>
            <w:tcW w:type="dxa" w:w="3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Segmento</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del total</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Management Solutions</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4.868</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74,8 %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+19,7 %</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PEO and Insurance Solutions</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1.433</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22,0 %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+6,7 %</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Interest on funds held for clients</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211</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+30,4 %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02" name="Gráfico 2" descr="Ingresos por segmento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
              </a:graphicData>
            </a:graphic>
          </wp:inline>
        </w:drawing>
      </w:r>
    </w:p>
    <w:p>
      <w:pPr>
        <w:keepNext w:val="false"/>
        <w:spacing w:after="160" w:before="120"/>
        <w:jc w:val="center"/>
      </w:pPr>
      <w:r>
        <w:drawing>
          <wp:inline xmlns:wp="http://schemas.openxmlformats.org/drawingml/2006/wordprocessingDrawing" distT="0" distB="0" distL="0" distR="0">
            <wp:extent cx="5760000" cy="2340000"/>
            <wp:effectExtent l="0" t="0" r="0" b="0"/>
            <wp:docPr id="1003" name="Gráfico 3" descr="Peso de cada segmento en los ingresos (FY2026)"/>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3"/>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25"/>
        <w:gridCol w:w="1302"/>
        <w:gridCol w:w="1302"/>
        <w:gridCol w:w="1302"/>
        <w:gridCol w:w="1302"/>
        <w:gridCol w:w="1305"/>
      </w:tblGrid>
      <w:tr>
        <w:trPr>
          <w:cantSplit/>
          <w:tblHeader/>
        </w:trPr>
        <w:tc>
          <w:tcPr>
            <w:tcW w:type="dxa" w:w="31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Ingresos por segmento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FY2022</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FY2023</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FY2024</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FY2025</w:t>
            </w:r>
          </w:p>
        </w:tc>
        <w:tc>
          <w:tcPr>
            <w:tcW w:type="dxa" w:w="13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FY2026</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Management Solutions</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3.443</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3.731</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3.866</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4.067</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4.868</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PEO and Insurance Solutions</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1.111</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1.177</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1.266</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1.343</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1.433</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Interest on funds held for clients</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58</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146</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162</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211</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04" name="Gráfico 4" descr="Ingresos por geografía, según origen (% del to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4"/>
              </a:graphicData>
            </a:graphic>
          </wp:inline>
        </w:drawing>
      </w:r>
    </w:p>
    <w:p>
      <w:pPr>
        <w:pStyle w:val="Heading2"/>
      </w:pPr>
      <w:r>
        <w:t xml:space="preserve">Clientes, recurrencia y poder de precios</w:t>
      </w:r>
    </w:p>
    <w:p>
      <w:pPr>
        <w:spacing w:after="100"/>
      </w:pPr>
      <w:r>
        <w:t xml:space="preserve">No hay concentración: ~800.000 clientes de nóminas en todos los sectores, con contratos sin plazo que cualquiera de las partes puede cancelar con 30 días de preaviso [1]. La retención de clientes de nóminas fue del 82-83 % de la base inicial en FY2026 y FY2025, y la empresa dice tener una alta retención de ingresos [1]. El cliente tipo es pequeño: Paychex y Paycor sumaban 790.000 clientes y 13 millones de empleados en sus FY2024, ~16 empleados por cliente (estimación propia), mientras que Paycor tenía 49.400 clientes con ~2,7 millones de empleados, ~55 por cliente [13]. Hay poder de precios: el crecimiento de Management Solutions de FY2026 se atribuye en parte a la realización de precios, y en el primer trimestre de FY2027 esa línea creció un 4 % por mayor ingreso por cliente, por precio y por más módulos [1, 3]. Los ingresos pro forma con Paycor pasaron de 6.206,7 M USD en FY2025 a 6.512,0 M en FY2026 (+4,9 %, estimación propia sobre las cifras de la empresa) [1].</w:t>
      </w:r>
    </w:p>
    <w:p>
      <w:pPr>
        <w:pStyle w:val="Heading2"/>
      </w:pPr>
      <w:r>
        <w:t xml:space="preserve">Indicadores operativos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0"/>
        <w:gridCol w:w="1220"/>
        <w:gridCol w:w="1220"/>
        <w:gridCol w:w="1098"/>
        <w:gridCol w:w="3660"/>
      </w:tblGrid>
      <w:tr>
        <w:trPr>
          <w:cantSplit/>
          <w:tblHeader/>
        </w:trPr>
        <w:tc>
          <w:tcPr>
            <w:tcW w:type="dxa" w:w="24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Anterior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Variación</w:t>
            </w:r>
          </w:p>
        </w:tc>
        <w:tc>
          <w:tcPr>
            <w:tcW w:type="dxa" w:w="366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Clientes de nóminas (aprox.)</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800.000 (FY2025)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800.000 (FY2026)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Total de clientes, unos 840.000 en FY2026 [1].</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Retención de clientes de nóminas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82-83 % (FY2025)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82-83 % (FY2026)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Estable</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Sobre la base de clientes al inicio del ejercicio [1].</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Empleados en soluciones de RR. HH. (ASO y PEO)</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2.460.000 (may-25)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2.600.000 (may-26)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dirección citó crecimiento de los empleados en PEO de un dígito alto en el 1T27 [1, 11].</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Planes de jubilación administrados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124.000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130.000</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Activos de los partícipes: 55,7 a 66,0 mil M USD (+19 %) [1].</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Saldo medio de fondos de clientes (M USD)</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4.699,5 (FY2025)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5.768,2 (FY2026)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la entrada de Paycor; 5.401,6 M USD en el 1T27 frente a 5.400,0 [1, 2].</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Rendimiento medio de los fondos de clientes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3,4 % (FY2025)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3,5 % (FY2026)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+0,1 pp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3,7 % en el 1T27 frente a 3,5 %; cartera conjunta con la caja corporativa: 3,6 % [1, 2].</w:t>
            </w:r>
          </w:p>
        </w:tc>
      </w:tr>
    </w:tbl>
    <w:p>
      <w:pPr>
        <w:spacing w:after="160" w:before="0"/>
      </w:pPr>
    </w:p>
    <w:p>
      <w:pPr>
        <w:pStyle w:val="Heading1"/>
      </w:pPr>
      <w:r>
        <w:t xml:space="preserve">3. Sector y mercado</w:t>
      </w:r>
    </w:p>
    <w:p>
      <w:pPr>
        <w:pStyle w:val="Confianza"/>
        <w:spacing w:after="100"/>
      </w:pPr>
      <w:r>
        <w:t xml:space="preserve">Confianza: Media</w:t>
      </w:r>
    </w:p>
    <w:p>
      <w:pPr>
        <w:spacing w:after="100"/>
      </w:pPr>
      <w:r>
        <w:t xml:space="preserve">El mercado relevante es la externalización de nóminas, el software de gestión de personal (HCM) y los servicios de RR. HH. (ASO y PEO) para pymes de EE. UU., más jubilación y seguros vendidos a la misma base. Se usan dos medidas: el mercado direccionable que estima la propia Paychex (más de 100.000 M USD tras comprar Paycor, frente a más de 90.000 M antes) [13], y la serie oficial del Census Bureau de ingresos de las empresas de servicios de nóminas (NAICS 541214), que mide solo el núcleo de nóminas y termina en 2022 [19]. Para el PEO se usa NAPEO: 4,5 millones de empleados en centro de trabajo en 2022 [17]. El mercado objetivo son más de 6 millones de empresas con empleados, según datos del Census que cita Paychex [1].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Tamaño del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Más de 100.000 M USD de mercado direccionable según Paychex (enero de 2025) [13]; 27.589 M USD de ingresos de las empresas de servicios de nóminas en 2022 (Census) [19]; el PEO empleaba a 4,5 millones de personas con 308.000 M USD de salarios en 2022 (NAPEO) [17].</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 en el ciclo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Madurez del ciclo</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histórico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4,7 %</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Estructura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Fragmentada</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5" name="Gráfico 5" descr="Tamaño del mercado (millones de USD (ingresos de las empresas de servicios de nóminas de EE. UU., NAICS 541214, Census)) · «e» = previsión"/>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5"/>
              </a:graphicData>
            </a:graphic>
          </wp:inline>
        </w:drawing>
      </w:r>
    </w:p>
    <w:p>
      <w:pPr>
        <w:pStyle w:val="Heading2"/>
      </w:pPr>
      <w:r>
        <w:t xml:space="preserve">Motores de la demanda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3"/>
        <w:gridCol w:w="876"/>
        <w:gridCol w:w="1251"/>
        <w:gridCol w:w="5008"/>
      </w:tblGrid>
      <w:tr>
        <w:trPr>
          <w:cantSplit/>
          <w:tblHeader/>
        </w:trPr>
        <w:tc>
          <w:tcPr>
            <w:tcW w:type="dxa" w:w="25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Motor</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Horizonte</w:t>
            </w:r>
          </w:p>
        </w:tc>
        <w:tc>
          <w:tcPr>
            <w:tcW w:type="dxa" w:w="50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Empleo privado y empleados por cliente</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empleo privado de EE. UU. creció un 0,4 % en 2025 (134,9 millones de media) tras caer un 6,3 % en 2020 [21]; el indicador de ADP de empleados por cliente en EE. UU. creció un 1 % en su FY2026 [22].</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Creación de empresas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Las solicitudes de alta de empresas pasaron de 3,52 millones en 2019 a 5,63 millones en 2025, máximo de la serie [20]; Paychex cifra su mercado objetivo en más de 6 millones de empresas con empleados [1].</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Tipos de interés sobre los fondos de clientes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Paychex ganó 210,9 M USD con los fondos de clientes en FY2026 (3,2 % de los ingresos) con un rendimiento del 3,5 %; 25 pb a corto mueven el beneficio neto 4,5-5,0 M USD al año [1].</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Complejidad normativa laboral y fiscal</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Paychex cita el número y la complejidad crecientes de normas federales, estatales y locales y mantiene ~250 expertos de cumplimiento en contacto con las agencias fiscales [1].</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Penetración del PEO en pymes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empleados en PEO crecieron un 7,5 % anual compuesto de 2008 a 2022, casi 7 puntos más que el empleo total, con una penetración del 12-13 % de las empresas de 10-99 empleados [17] y del 14 % de las de 20-499 [18].</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Inflación de los costes sanitarios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Encarece los seguros de salud que el PEO cubre como coempleador; Paychex lo cita como reto de los clientes [1] y Insperity pasó de un margen operativo del 4,2 % en 2022 a −0,1 % en 2025 [27].</w:t>
            </w:r>
          </w:p>
        </w:tc>
      </w:tr>
    </w:tbl>
    <w:p>
      <w:pPr>
        <w:spacing w:after="160" w:before="0"/>
      </w:pPr>
    </w:p>
    <w:p>
      <w:pPr>
        <w:pStyle w:val="Heading2"/>
      </w:pPr>
      <w:r>
        <w:t xml:space="preserve">Las cinco fuerzas</w:t>
      </w:r>
    </w:p>
    <w:p>
      <w:pPr>
        <w:keepNext w:val="false"/>
        <w:spacing w:after="160" w:before="120"/>
        <w:jc w:val="center"/>
      </w:pPr>
      <w:r>
        <w:drawing>
          <wp:inline xmlns:wp="http://schemas.openxmlformats.org/drawingml/2006/wordprocessingDrawing" distT="0" distB="0" distL="0" distR="0">
            <wp:extent cx="5760000" cy="2700000"/>
            <wp:effectExtent l="0" t="0" r="0" b="0"/>
            <wp:docPr id="1006" name="Gráfico 6" descr="Cinco fuerzas: intensidad (1 = favorable, 5 = desfavorabl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6"/>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1204"/>
        <w:gridCol w:w="6025"/>
      </w:tblGrid>
      <w:tr>
        <w:trPr>
          <w:cantSplit/>
          <w:tblHeader/>
        </w:trPr>
        <w:tc>
          <w:tcPr>
            <w:tcW w:type="dxa" w:w="24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Fuerza</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Intensidad (1-5)</w:t>
            </w:r>
          </w:p>
        </w:tc>
        <w:tc>
          <w:tcPr>
            <w:tcW w:type="dxa" w:w="60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Justificación</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Rivalidad</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Paychex describe el mercado como muy competitivo y fragmentado, con un gran competidor nacional y muchos regionales, locales y en línea [1]; la retención de clientes de nóminas es del 82-83 % [1].</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clientes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Clientes muy atomizados (~800.000, ~16 empleados de media) sin capacidad de negociación individual [1, 13], aunque pueden irse con 30 días de preaviso [1]; Paychex sube precios cada año [1, 3].</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proveedores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principal coste es la plantilla propia (~52 % de los gastos) [1]; en el PEO, las aseguradoras de salud y accidentes de trabajo fijan buena parte del coste [1, 23].</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Amenaza de entrada</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software en la nube baja la barrera técnica y hay rivales jóvenes con capital riesgo (Gusto, Rippling, Deel), pero el cumplimiento fiscal en miles de jurisdicciones y la custodia de los fondos de clientes exigen escala [1].</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Amenaza de sustitutos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Los sustitutos son los departamentos internos de nóminas, los contables y los paquetes de contabilidad con nóminas (QuickBooks de Intuit) [1, 29].</w:t>
            </w:r>
          </w:p>
        </w:tc>
      </w:tr>
    </w:tbl>
    <w:p>
      <w:pPr>
        <w:spacing w:after="160" w:before="0"/>
      </w:pPr>
    </w:p>
    <w:p>
      <w:pPr>
        <w:pStyle w:val="Heading2"/>
      </w:pPr>
      <w:r>
        <w:t xml:space="preserve">Ciclo</w:t>
      </w:r>
    </w:p>
    <w:p>
      <w:pPr>
        <w:spacing w:after="100"/>
      </w:pPr>
      <w:r>
        <w:t xml:space="preserve">El empleo privado crece poco (+0,4 % en 2025) [21], el indicador de empleados por cliente de ADP sube un 1 % [22] y el PEO de TriNet perdió un 5 % de empleados medios en 2025 [23]. En 2008-09 los ingresos de servicios de nóminas del Census cayeron un 14 % de 2008 a 2010 [19] y los de Paychex bajaron un 3,9 % en FY2010, con un resultado operativo un 12,5 % inferior al de FY2008 [9]. En 2020 el empleo privado cayó un 6,3 % [21], pero Paychex mantuvo los ingresos (+0,4 % en FY2021) [9]. Con la subida de tipos de 2022, los intereses de los fondos y la inflación salarial impulsaron los ingresos de Paychex un 8,6 % en FY2023 [9].</w:t>
      </w:r>
    </w:p>
    <w:p>
      <w:pPr>
        <w:pStyle w:val="Heading2"/>
      </w:pPr>
      <w:r>
        <w:t xml:space="preserve">Regulación</w:t>
      </w:r>
    </w:p>
    <w:p>
      <w:pPr>
        <w:spacing w:after="100"/>
      </w:pPr>
      <w:r>
        <w:t xml:space="preserve">Paychex está sujeta a la supervisión de la Federal Trade Commission y del Departamento de Trabajo, y debe cumplir la HIPAA, la Family and Medical Leave Act, la Affordable Care Act (ACA, con las obligaciones de cobertura y declaración de los empleadores) y las leyes estatales de privacidad y biometría, como la California Consumer Privacy Act; en Europa, el RGPD [1]. Su PEO está certificado por la Small Business Efficiency Act [1] y, como coempleador, asume riesgos de salarios, impuestos y seguros [1, 22]. La One Big Beautiful Bill Act (4 de julio de 2025) no tuvo efecto material en su tipo impositivo [1]. La empresa advierte de que la regulación de la privacidad y de la IA evoluciona deprisa y puede elevar costes [1].</w:t>
      </w:r>
    </w:p>
    <w:p>
      <w:pPr>
        <w:pStyle w:val="Heading2"/>
      </w:pPr>
      <w:r>
        <w:t xml:space="preserve">Tendencias y disrupción</w:t>
      </w:r>
    </w:p>
    <w:p>
      <w:pPr>
        <w:spacing w:after="100"/>
      </w:pPr>
      <w:r>
        <w:t xml:space="preserve">La IA es el cambio principal: Paychex ha desplegado ~600 funciones y agentes de IA con su motor WISE, que usa más de 26 billones de datos propios, y lanzó WISE Hire, un agente de contratación [1, 3]. El mercado se desplaza hacia plataformas en la nube que integran nóminas, RR. HH. y beneficios, donde compiten rivales nativos de la nube (Paycom, Paylocity) y privados con capital riesgo (Gusto, Rippling, Deel), mientras los paquetes contables como QuickBooks incorporan nóminas [1, 29]. Paychex respondió comprando Paycor para subir de segmento y con nóminas integradas en software de terceros (Embedded HCM) [1, 13]. El PEO gana penetración entre las pymes [17, 18].</w:t>
      </w:r>
    </w:p>
    <w:p>
      <w:pPr>
        <w:pStyle w:val="Heading1"/>
      </w:pPr>
      <w:r>
        <w:t xml:space="preserve">4. Posición competitiva y foso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Cuota de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9,1 %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Segundo proveedor de nóminas y HCM para pymes de EE. UU. tras ADP, el «competidor nacional principal» que cita Paychex [1]; paga a 1 de cada 11 trabajadores del sector privado (9,1 %) [1] y sus ingresos equivalen a ~6,5 % del mercado direccionable de más de 100.000 M USD (estimación propia) [1, 13]. En PEO es uno de los grandes junto con ADP TotalSource, Insperity y TriNet [23].</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Estrecho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del 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Estable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847"/>
        <w:gridCol w:w="953"/>
        <w:gridCol w:w="1059"/>
        <w:gridCol w:w="847"/>
        <w:gridCol w:w="3179"/>
      </w:tblGrid>
      <w:tr>
        <w:trPr>
          <w:cantSplit/>
          <w:tblHeader/>
        </w:trPr>
        <w:tc>
          <w:tcPr>
            <w:tcW w:type="dxa" w:w="19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Competidor</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Cotiza</w:t>
            </w:r>
          </w:p>
        </w:tc>
        <w:tc>
          <w:tcPr>
            <w:tcW w:type="dxa" w:w="105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(M)</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3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Cómo compite</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Automatic Data Processing (ADP)</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ADP</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21.947</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26,1 %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Líder mundial de HCM; FY2026 (junio) ingresos +7 %, PEO 7.128,1 M USD; EBIT (beneficio antes de impuestos) del 26,1 %, ajustado 26,8 %; retención de ingresos de clientes del 92,1 % [22].</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Intuit (QuickBooks Payroll)</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INTU</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21.448</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27,4 %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Compite en microempresas con nóminas integradas en QuickBooks; Global Business Solutions ingresó 12.864 M USD en FY2026 (julio) [29].</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Workday</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WDAY</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9.552</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HCM y finanzas para grandes empresas; solapa con Paycor en la parte alta; FY2026 (enero de 2026) ingresos +13,1 % [26].</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Insperity</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NSP</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6.812</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PEO puro; ingresos +3,5 % en 2025 y margen operativo de −0,1 % por el coste sanitario, frente al 4,2 % de 2022 [27].</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TriNet</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TNET</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5.010</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Mayor PEO cotizado centrado en el PEO; ingresos −1 % en 2025, empleados medios −5 %; margen antes de impuestos (no publica resultado operativo) [23].</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Paycom Software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PAYC</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2.052</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27,6 %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Software HCM de una sola base de datos para empresas medianas; ingresos +8,9 % en 2025 [24].</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Paylocity</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PCTY</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1.771</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21,8 %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Rival directo de Paycor en empresas medianas; FY2026 (junio) ingresos +11,0 % y margen al alza desde el 13,2 % de FY2023 [25].</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Gusto</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Privada, con capital riesgo; nóminas en la nube para microempresas y contables. No publica cuentas.</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7" name="Gráfico 7" descr="Margen EBIT: la empresa frente a sus competidores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7"/>
              </a:graphicData>
            </a:graphic>
          </wp:inline>
        </w:drawing>
      </w:r>
    </w:p>
    <w:p>
      <w:pPr>
        <w:pStyle w:val="Heading2"/>
      </w:pPr>
      <w:r>
        <w:t xml:space="preserve">Fuentes de ventaja competitiva</w:t>
      </w:r>
    </w:p>
    <w:p>
      <w:pPr>
        <w:keepNext w:val="false"/>
        <w:spacing w:after="160" w:before="120"/>
        <w:jc w:val="center"/>
      </w:pPr>
      <w:r>
        <w:drawing>
          <wp:inline xmlns:wp="http://schemas.openxmlformats.org/drawingml/2006/wordprocessingDrawing" distT="0" distB="0" distL="0" distR="0">
            <wp:extent cx="5760000" cy="1980000"/>
            <wp:effectExtent l="0" t="0" r="0" b="0"/>
            <wp:docPr id="1008" name="Gráfico 8" descr="Fuentes de ventaja competitiva (0 = inexistente, 5 = muy fuert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24"/>
        <w:gridCol w:w="1235"/>
        <w:gridCol w:w="6179"/>
      </w:tblGrid>
      <w:tr>
        <w:trPr>
          <w:cantSplit/>
          <w:tblHeader/>
        </w:trPr>
        <w:tc>
          <w:tcPr>
            <w:tcW w:type="dxa" w:w="22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c>
          <w:tcPr>
            <w:tcW w:type="dxa" w:w="12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Puntuación (0-5)</w:t>
            </w:r>
          </w:p>
        </w:tc>
        <w:tc>
          <w:tcPr>
            <w:tcW w:type="dxa" w:w="6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Efectos de red</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Hay un efecto de canal más que de red: más del 50 % de los clientes de nóminas llegan por contables, corredores y bancos, con acuerdo preferente con el AICPA hasta septiembre de 2027 [1].</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Costes de cambio</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Nóminas, impuestos, 401(k) y seguros integrados en un proveedor; las altas se concentran a principio del año natural porque cambiar a mitad de año es costoso [1, 14]. Pero la retención de clientes es solo del 82-83 % y los contratos se cancelan con 30 días de preaviso [1].</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Intangibles (marca, patentes, licencias)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Marca de más de 50 años entre pymes y contables, licencias de PEO y de agencia de seguros, y 26 billones de datos propios para su IA [1].</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Ventaja en costes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operativo GAAP del 36-41 % entre FY2019 y FY2026 (38,6 % en FY2026) [7], frente al 26,1 % de ADP [13], el 27,6 % de Paycom [15] y el 21,8 % de Paylocity [16].</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Escala eficiente</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~800.000 clientes de nóminas, ~1,3 billones de USD movidos al año y ~250 expertos de cumplimiento que reparten su coste entre toda la base [1]; solo ADP tiene más escala [13].</w:t>
            </w:r>
          </w:p>
        </w:tc>
      </w:tr>
    </w:tbl>
    <w:p>
      <w:pPr>
        <w:spacing w:after="160" w:before="0"/>
      </w:pPr>
    </w:p>
    <w:p>
      <w:pPr>
        <w:pStyle w:val="Heading2"/>
      </w:pPr>
      <w:r>
        <w:t xml:space="preserve">Amenazas</w:t>
      </w:r>
    </w:p>
    <w:p>
      <w:pPr>
        <w:spacing w:after="100"/>
      </w:pPr>
      <w:r>
        <w:t xml:space="preserve">La principal amenaza son los rivales nativos de la nube y con capital riesgo (Gusto, Rippling, Deel) en microempresas y los de software en empresas medianas (Paylocity crece un 11 %, Paycom un 9 %) [24, 25], frente a un crecimiento pro forma de Paychex del ~5 % en FY2026 [1]. La IA puede abaratar el cumplimiento normativo que hoy justifica el precio. Una bajada de tipos recorta los intereses de los fondos (210,9 M USD) [1]. En el PEO, la inflación sanitaria ya hundió el margen de Insperity [27]. La integración de Paycor y una retención de clientes del 82-83 % [1] dejan poco margen de error.</w:t>
      </w:r>
    </w:p>
    <w:p>
      <w:r>
        <w:br w:type="page"/>
      </w:r>
    </w:p>
    <w:p>
      <w:pPr>
        <w:pStyle w:val="Parte"/>
      </w:pPr>
      <w:r>
        <w:t xml:space="preserve">Parte II — Finanzas</w:t>
      </w:r>
    </w:p>
    <w:p>
      <w:pPr>
        <w:pStyle w:val="Heading1"/>
      </w:pPr>
      <w:r>
        <w:t xml:space="preserve">5. Cuenta de resultados</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973"/>
        <w:gridCol w:w="778"/>
        <w:gridCol w:w="778"/>
        <w:gridCol w:w="876"/>
        <w:gridCol w:w="827"/>
        <w:gridCol w:w="827"/>
        <w:gridCol w:w="778"/>
        <w:gridCol w:w="827"/>
        <w:gridCol w:w="681"/>
        <w:gridCol w:w="681"/>
        <w:gridCol w:w="736"/>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bruto</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7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Tipo imp.</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FY2017</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3.153</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70,8 %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1.381</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43,8 %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39,8 %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826</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2,28</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FY2018</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3.378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69,9 %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1.462</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2,75</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2,06</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FY2019</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3.773</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68,8 %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1.553</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2,86</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FY2020</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4.041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68,3 %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1.670</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36,1 %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1.098</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2,48</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FY2021</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4.057</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68,7 %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1.653</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40,7 %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36,0 %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1.098</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2,52</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4.612</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70,6 %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2.032</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44,1 %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2,77</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5.007</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71,0 %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2.210</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44,1 %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2.033</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40,6 %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3,26</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5.278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72,0 %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2.390</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2.214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1.690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3,65</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FY2025</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5.572</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72,4 %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2.539</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45,6 %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2.329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41,8 %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4,58</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4,02</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FY2026</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6.512</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+16,9 %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74,3 %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3.015</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46,3 %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2.573</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1.760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4,89</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4,43</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24 %</w:t>
            </w:r>
          </w:p>
        </w:tc>
      </w:tr>
    </w:tbl>
    <w:p>
      <w:pPr>
        <w:spacing w:after="160" w:before="0"/>
      </w:pPr>
    </w:p>
    <w:p>
      <w:pPr>
        <w:spacing w:after="100"/>
      </w:pPr>
      <w:r>
        <w:t xml:space="preserve">Crecimiento anual compuesto FY2017-FY2026: ingresos </w:t>
      </w:r>
      <w:r>
        <w:rPr>
          <w:b/>
          <w:bCs/>
        </w:rPr>
        <w:t xml:space="preserve">8,4 %</w:t>
      </w:r>
      <w:r>
        <w:t xml:space="preserve">, EBITDA </w:t>
      </w:r>
      <w:r>
        <w:rPr>
          <w:b/>
          <w:bCs/>
        </w:rPr>
        <w:t xml:space="preserve">9,1 %</w:t>
      </w:r>
      <w:r>
        <w:t xml:space="preserve">, BPA </w:t>
      </w:r>
      <w:r>
        <w:rPr>
          <w:b/>
          <w:bCs/>
        </w:rPr>
        <w:t xml:space="preserve">8,8 %</w:t>
      </w:r>
      <w:r>
        <w:t xml:space="preserve">.</w:t>
      </w:r>
    </w:p>
    <w:p>
      <w:pPr>
        <w:keepNext w:val="false"/>
        <w:spacing w:after="160" w:before="120"/>
        <w:jc w:val="center"/>
      </w:pPr>
      <w:r>
        <w:drawing>
          <wp:inline xmlns:wp="http://schemas.openxmlformats.org/drawingml/2006/wordprocessingDrawing" distT="0" distB="0" distL="0" distR="0">
            <wp:extent cx="5760000" cy="2700000"/>
            <wp:effectExtent l="0" t="0" r="0" b="0"/>
            <wp:docPr id="1009" name="Gráfico 9" descr="Ingresos y EBITDA (USD, millones) · «e» = proyección propia del DCF"/>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9"/>
              </a:graphicData>
            </a:graphic>
          </wp:inline>
        </w:drawing>
      </w:r>
    </w:p>
    <w:p>
      <w:pPr>
        <w:keepNext w:val="false"/>
        <w:spacing w:after="160" w:before="120"/>
        <w:jc w:val="center"/>
      </w:pPr>
      <w:r>
        <w:drawing>
          <wp:inline xmlns:wp="http://schemas.openxmlformats.org/drawingml/2006/wordprocessingDrawing" distT="0" distB="0" distL="0" distR="0">
            <wp:extent cx="5760000" cy="2700000"/>
            <wp:effectExtent l="0" t="0" r="0" b="0"/>
            <wp:docPr id="1010" name="Gráfico 10" descr="Márgenes (% de ingres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0"/>
              </a:graphicData>
            </a:graphic>
          </wp:inline>
        </w:drawing>
      </w:r>
    </w:p>
    <w:p>
      <w:pPr>
        <w:spacing w:after="100"/>
      </w:pPr>
      <w:r>
        <w:t xml:space="preserve">Los ingresos crecieron de 3.153,0 M USD en FY2017 a 6.512,0 M USD en FY2026 [1, 9]. FY2026 creció un 16,9 % publicado, del que Paycor aportó unos 12 puntos [1]; frente a los ingresos pro forma de FY2025 con Paycor desde jun-2023 (6.206,7 M USD), el crecimiento fue del 4,9 % (estimación propia sobre la cifra pro forma de la empresa) [1]. La dirección dijo que el crecimiento orgánico se aceleró en cada trimestre de FY2026 [12]. FY2019 incluye Oasis (+46 % en PEO) [7] y FY2021 el parón de la COVID (+0,4 %) [6]. El margen operativo publicado bajó del 41,2 % de FY2024 al 38,6 % de FY2026 por la amortización de los intangibles de Paycor (242,0 M USD en FY2026) y por los costes de integración; el ajustado subió del 42,5 % al 43,2 % [1]. Los intereses de los fondos de clientes pasaron de 57,7 M USD en FY2022 a 210,9 M USD en FY2026 con la subida de tipos [1, 5]. Los gastos financieros saltaron de 37,3 M USD a 269,5 M USD por los bonos de Paycor [1].</w:t>
      </w:r>
    </w:p>
    <w:p>
      <w:pPr>
        <w:pStyle w:val="Heading2"/>
      </w:pPr>
      <w:r>
        <w:t xml:space="preserve">Ajustes y partidas no recurrentes</w:t>
      </w:r>
    </w:p>
    <w:p>
      <w:pPr>
        <w:spacing w:after="100"/>
      </w:pPr>
      <w:r>
        <w:t xml:space="preserve">Cifras publicadas (US GAAP). El resultado operativo ajustado excluye los costes de adquisición: 304,2 M USD en FY2026 (242,0 de amortización de intangibles de Paycor, 52,1 de remuneración ligada a la compra y el resto, honorarios) y 162,3 M USD en FY2025; el BPA ajustado de FY2026 fue de 5,51 USD frente a 4,89 publicado [1]. En no_recurrentes_en_ebitda se recogen los costes de adquisición sin amortización que la empresa saca de su EBITDA ajustado (121,6 M USD en FY2025, 62,2 M USD en FY2026 y 47,1 M USD en el LTM), los 39,5 M USD de optimización de costes de FY2024 y el gasto único de 32,6 M USD por la rescisión de licencias de FY2018 [1, 3, 8]. FY2025 lleva además 34,0 M USD de costes de financiación de la compra en gastos financieros [1]. La remuneración en acciones (96,1 M USD en FY2026) queda dentro del EBITDA [1]. FY2017-FY2018 son cifras reexpresadas con la norma de ingresos ASC 606 [9].</w:t>
      </w:r>
    </w:p>
    <w:p>
      <w:pPr>
        <w:pStyle w:val="Heading1"/>
      </w:pPr>
      <w:r>
        <w:t xml:space="preserve">6. Resultados recientes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98"/>
        <w:gridCol w:w="1220"/>
        <w:gridCol w:w="1220"/>
        <w:gridCol w:w="1220"/>
        <w:gridCol w:w="1220"/>
        <w:gridCol w:w="1220"/>
        <w:gridCol w:w="976"/>
        <w:gridCol w:w="1464"/>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interanual</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orgánico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14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Frente al consenso</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44,0 %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48,7 %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36,2 %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0,82</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42,3 %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43,7 %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+19,9 %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49,9 %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44,7 %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1T27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1.631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+5,9 %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+5,9 %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729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44,7 %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1,21</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Superior</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1" name="Gráfico 11" descr="Crecimiento interanual por trimestr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1"/>
              </a:graphicData>
            </a:graphic>
          </wp:inline>
        </w:drawing>
      </w:r>
    </w:p>
    <w:p>
      <w:pPr>
        <w:pStyle w:val="Heading2"/>
      </w:pPr>
      <w:r>
        <w:t xml:space="preserve">Lo que dijo la dirección en las últimas presentaciones</w:t>
      </w:r>
    </w:p>
    <w:p>
      <w:pPr>
        <w:spacing w:after="100"/>
      </w:pPr>
      <w:r>
        <w:rPr>
          <w:b/>
        </w:rPr>
        <w:t xml:space="preserve">4T26 (24-jun-2026).</w:t>
      </w:r>
      <w:r>
        <w:t xml:space="preserve"> La dirección (John Gibson, consejero delegado, y Bob Schrader, director financiero) cerró FY2026 con ingresos de 6.512,0 M USD (+17 %) y BPA ajustado de 5,51 USD (+11 %), y dijo que el crecimiento orgánico se aceleró en cada trimestre del año [4, 12]. Según el resumen de la llamada, la integración de Paycor superó los objetivos de sinergias, hubo retención récord en ASO y PEO y se lanzó WISE, su motor de IA [12]. La guía de FY2027 se fijó en +5-6 % de ingresos, ~44 % de margen ajustado y +7-9 % de BPA ajustado, con intereses de fondos de 195-205 M USD por tipos más bajos y sin las plusvalías de FY2026 [4, 12].</w:t>
      </w:r>
    </w:p>
    <w:p>
      <w:pPr>
        <w:spacing w:after="100"/>
      </w:pPr>
      <w:r>
        <w:rPr>
          <w:b/>
        </w:rPr>
        <w:t xml:space="preserve">1T27 (23-sep-2026).</w:t>
      </w:r>
      <w:r>
        <w:t xml:space="preserve"> Los ingresos subieron un 5,9 % (Management Solutions +4 %, PEO e Insurance +12 %) y el BPA ajustado de 1,34 USD superó la estimación de 1,32 USD; los ingresos, 1.631 M USD frente a 1.627 M USD esperados [3, 11]. El director financiero reconoció que Management Solutions quedó «ligeramente por debajo» de lo previsto, y la acción cayó más de un 7 % ese día [11]. Se subió la guía de PEO a +7-8 % y la de intereses a 200-210 M USD; se mantuvieron el resto. Para el 2T27 la empresa anticipa un crecimiento de ingresos de en torno al 4 % y un margen ajustado cercano al 40 % [3, 11]. El flujo operativo bajó a 413,5 M USD (718,4 M USD un año antes) por el calendario de pagos de impuestos [3, 11]. Cambio de tono entre las dos llamadas: de la integración de Paycor al crecimiento de la PEO (conversiones de ASO a PEO al doble de lo previsto) frente a la debilidad de Management Solutions, con cautela ante las campañas de altas de octubre y enero [11]. No se ha podido leer la transcripción de las preguntas de los analistas de ninguna de las dos conferencias.</w:t>
      </w:r>
    </w:p>
    <w:p>
      <w:pPr>
        <w:pStyle w:val="Heading1"/>
      </w:pPr>
      <w:r>
        <w:t xml:space="preserve">7. Balance y capital circulante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58"/>
        <w:gridCol w:w="1064"/>
        <w:gridCol w:w="1171"/>
        <w:gridCol w:w="958"/>
        <w:gridCol w:w="851"/>
        <w:gridCol w:w="958"/>
        <w:gridCol w:w="851"/>
        <w:gridCol w:w="958"/>
        <w:gridCol w:w="958"/>
        <w:gridCol w:w="911"/>
      </w:tblGrid>
      <w:tr>
        <w:trPr>
          <w:cantSplit/>
          <w:tblHeader/>
        </w:trPr>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Activo total</w:t>
            </w:r>
          </w:p>
        </w:tc>
        <w:tc>
          <w:tcPr>
            <w:tcW w:type="dxa" w:w="1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Fondo com. + intang.</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Caja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fin.</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neta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Patrimonio</w:t>
            </w:r>
          </w:p>
        </w:tc>
        <w:tc>
          <w:tcPr>
            <w:tcW w:type="dxa" w:w="91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DN/EBITDA</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FY2017</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6.834</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1.955</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FY2018</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7.915</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301</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2.357</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FY2019</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8.676</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2.182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345</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796</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2.620</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FY2020</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8.551</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2.122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305</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802</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2.781</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FY2021</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9.227</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2.097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489</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805</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2.948</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9.635</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618</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806</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3.085</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10.546</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789</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808</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3.493</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10.383</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2.077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955</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817</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3.801</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FY2025</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16.564</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6.461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1.201</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4.967</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3.304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4.128</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FY2026</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16.175</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6.211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1.353</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1.125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4.556</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3.432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3.735</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1,1x</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38"/>
        <w:gridCol w:w="1472"/>
        <w:gridCol w:w="1338"/>
        <w:gridCol w:w="1338"/>
        <w:gridCol w:w="1338"/>
        <w:gridCol w:w="1472"/>
        <w:gridCol w:w="1342"/>
      </w:tblGrid>
      <w:tr>
        <w:trPr>
          <w:cantSplit/>
          <w:tblHeader/>
        </w:trPr>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 / ventas</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cobro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inventario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pago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Ciclo de caja (días)</w:t>
            </w:r>
          </w:p>
        </w:tc>
        <w:tc>
          <w:tcPr>
            <w:tcW w:type="dxa" w:w="1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Liquidez corriente</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FY2017</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FY2018</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FY2019</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FY2020</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18,1 %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21,5 %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FY2026</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20,8 %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85</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51</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1,3x</w:t>
            </w:r>
          </w:p>
        </w:tc>
      </w:tr>
    </w:tbl>
    <w:p>
      <w:pPr>
        <w:spacing w:after="160" w:before="0"/>
      </w:pPr>
    </w:p>
    <w:p>
      <w:pPr>
        <w:pStyle w:val="Nota"/>
        <w:spacing w:after="100"/>
      </w:pPr>
      <w:r>
        <w:t xml:space="preserve">Días de inventario y de pago calculados sobre el coste de ventas.</w:t>
      </w:r>
    </w:p>
    <w:p>
      <w:pPr>
        <w:pStyle w:val="Nota"/>
        <w:spacing w:after="100"/>
      </w:pPr>
      <w:r>
        <w:t xml:space="preserve">Cambio de perímetro (FY2019: Oasis Outsourcing (PEO), consolidada desde el 20-dic-2018 por 992,2 M USD netos de caja: unos cinco meses en la cuenta y entera en el balance [7].; FY2025: Paycor HCM, consolidada desde el 14-abr-2025 por 4.085,7 M USD: 92,5 M USD de ingresos en la cuenta (mes y medio) y entera en el balance (fondo de comercio de 2.591,8 M USD, intangibles de 1.776,5 M USD y 1.288,2 M USD de fondos de clientes) [1].). Los ratios de balance de ese año (días, circulante, deuda neta / EBITDA, ROIC) y los indicadores de calidad contable no son comparables con los anteriores.</w:t>
      </w:r>
    </w:p>
    <w:p>
      <w:pPr>
        <w:keepNext w:val="false"/>
        <w:spacing w:after="160" w:before="120"/>
        <w:jc w:val="center"/>
      </w:pPr>
      <w:r>
        <w:drawing>
          <wp:inline xmlns:wp="http://schemas.openxmlformats.org/drawingml/2006/wordprocessingDrawing" distT="0" distB="0" distL="0" distR="0">
            <wp:extent cx="5760000" cy="2340000"/>
            <wp:effectExtent l="0" t="0" r="0" b="0"/>
            <wp:docPr id="1012" name="Gráfico 12" descr="Capital circulante en día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2"/>
              </a:graphicData>
            </a:graphic>
          </wp:inline>
        </w:drawing>
      </w:r>
    </w:p>
    <w:p>
      <w:pPr>
        <w:spacing w:after="100"/>
      </w:pPr>
      <w:r>
        <w:t xml:space="preserve">Hasta FY2024 la deuda era de unos 800 M USD (las notas privadas de 2019 de la compra de Oasis), por debajo de la caja corporativa [5, 7]. La compra de Paycor elevó la deuda bruta a 5.000 M USD en FY2025 con 4.200 M USD en bonos al 5,10-5,60 % [1]. En marzo de 2026 se amortizaron 400 M USD (Serie A) con caja, y la deuda quedó en 4.600 M USD nominales a may-26 [1]. Los fondos de clientes y sus obligaciones, de importe parecido, inflan el activo y el pasivo corrientes; sin ellos, el activo corriente de FY2026 sería de 3.781,1 M USD y el pasivo corriente de 1.956,0 M USD [1]. Las cuentas por cobrar incluyen las compradas en el negocio de financiación de cobros (Alterna y Paychex Advance) [1].</w:t>
      </w:r>
    </w:p>
    <w:p>
      <w:pPr>
        <w:pStyle w:val="Heading1"/>
      </w:pPr>
      <w:r>
        <w:t xml:space="preserve">8. Flujos de caja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97"/>
        <w:gridCol w:w="1107"/>
        <w:gridCol w:w="886"/>
        <w:gridCol w:w="886"/>
        <w:gridCol w:w="886"/>
        <w:gridCol w:w="886"/>
        <w:gridCol w:w="997"/>
        <w:gridCol w:w="997"/>
        <w:gridCol w:w="997"/>
        <w:gridCol w:w="999"/>
      </w:tblGrid>
      <w:tr>
        <w:trPr>
          <w:cantSplit/>
          <w:tblHeader/>
        </w:trPr>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Flujo operativo</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 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ventas</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amort.</w:t>
            </w:r>
          </w:p>
        </w:tc>
        <w:tc>
          <w:tcPr>
            <w:tcW w:type="dxa" w:w="9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por acción</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FY2017</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2,36</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FY2018</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994</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2,99</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FY2019</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1.034</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3,16</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FY2020</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1.098</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3,61</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FY2021</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1.098</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3,13</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1.393</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3,98</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1.557</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4,29</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1.898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1.690</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4,71</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FY2025</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1.657</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4,64</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FY2026</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2.557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2.279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1.760</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4,3 %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0,6x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6,33</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3" name="Gráfico 13" descr="Flujo de caja libre frente a beneficio neto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3"/>
              </a:graphicData>
            </a:graphic>
          </wp:inline>
        </w:drawing>
      </w:r>
    </w:p>
    <w:p>
      <w:pPr>
        <w:spacing w:after="100"/>
      </w:pPr>
      <w:r>
        <w:t xml:space="preserve">Acumulado FY2017-FY2026: FCF </w:t>
      </w:r>
      <w:r>
        <w:rPr>
          <w:b/>
          <w:bCs/>
        </w:rPr>
        <w:t xml:space="preserve">14.183</w:t>
      </w:r>
      <w:r>
        <w:t xml:space="preserve">, conversión </w:t>
      </w:r>
      <w:r>
        <w:rPr>
          <w:b/>
          <w:bCs/>
        </w:rPr>
        <w:t xml:space="preserve">108 %</w:t>
      </w:r>
      <w:r>
        <w:t xml:space="preserve"> del beneficio neto; adquisiciones 4.402, dividendos 10.555, recompras 1.724.</w:t>
      </w:r>
    </w:p>
    <w:p>
      <w:pPr>
        <w:spacing w:after="100"/>
      </w:pPr>
      <w:r>
        <w:t xml:space="preserve">El flujo operativo pasó de 960,4 M USD en FY2017 a 2.556,7 M USD en FY2026 [1, 8]. El salto de FY2026 (+34,5 %) suma Paycor, una variación de 291,4 M USD en proveedores y otros pasivos corrientes, y unos impuestos pagados de 310,3 M USD frente a 512,4 M USD en FY2025 [1]. Parte se revirtió en el 1T27: flujo operativo de 413,5 M USD frente a 718,4 M USD, por el calendario de pagos de impuestos [3, 11]. La inversión (inmovilizado más otros activos) subió de 102,9 M USD (3,3 % de ingresos) en FY2017 a 277,3 M USD (4,3 %) en FY2026, sobre todo en tecnología [1, 8]. La empresa no separa mantenimiento y crecimiento. Las comisiones capitalizadas (342,5 M USD en FY2026, frente a 249,2 M USD amortizados) restan del flujo operativo y no se cuentan como inversión [1].</w:t>
      </w:r>
    </w:p>
    <w:p>
      <w:pPr>
        <w:pStyle w:val="Heading1"/>
      </w:pPr>
      <w:r>
        <w:t xml:space="preserve">9. Calidad contable</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PricewaterhouseCoopers LLP (Victor, Nueva York)</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Años como 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Opinión del último informe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Favorable</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Ejercicio analizado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FY2026</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1147"/>
        <w:gridCol w:w="5738"/>
      </w:tblGrid>
      <w:tr>
        <w:trPr>
          <w:cantSplit/>
          <w:tblHeader/>
        </w:trPr>
        <w:tc>
          <w:tcPr>
            <w:tcW w:type="dxa" w:w="27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57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Altman Z</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3,00</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Zona segura (&gt; 2,99 seguro; &lt; 1,81 riesgo). No aplica a bancos ni aseguradoras, y subestima la solvencia de empresas con grandes anticipos de clientes o prefinanciación pública (contratistas, construcción), que inflan el pasivo.</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Piotroski F</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 / 9</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Fortaleza financiera alta (7-9).</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Beneish M</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-2,66</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−1,78: sin señal de manipulación.</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Flujo operativo / beneficio neto (acumulado)</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1,21x</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beneficio se cobra.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0"/>
        <w:gridCol w:w="1928"/>
      </w:tblGrid>
      <w:tr>
        <w:trPr>
          <w:cantSplit/>
          <w:tblHeader/>
        </w:trPr>
        <w:tc>
          <w:tcPr>
            <w:tcW w:type="dxa" w:w="77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 Piotroski</w:t>
            </w:r>
          </w:p>
        </w:tc>
        <w:tc>
          <w:tcPr>
            <w:tcW w:type="dxa" w:w="19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Cumple</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Beneficio neto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ROA mejora</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&gt; beneficio neto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Baja el endeudamiento (deuda /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la liquidez corriente</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 emite acciones</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el margen bruto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Mejora la rotación del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Sí</w:t>
            </w:r>
          </w:p>
        </w:tc>
      </w:tr>
    </w:tbl>
    <w:p>
      <w:pPr>
        <w:spacing w:after="160" w:before="0"/>
      </w:pPr>
    </w:p>
    <w:p>
      <w:pPr>
        <w:pStyle w:val="Heading2"/>
      </w:pPr>
      <w:r>
        <w:t xml:space="preserve">Ajustes, criterios contables y remuneración en acciones</w:t>
      </w:r>
    </w:p>
    <w:p>
      <w:pPr>
        <w:spacing w:after="100"/>
      </w:pPr>
      <w:r>
        <w:t xml:space="preserve">PwC audita las cuentas desde 2013 y dio opinión favorable sobre las cuentas y sobre el control interno de FY2026 (informe del 17-jul-2026) [1]. La única materia clave de auditoría son las reservas de accidentes de trabajo de la PEO (237,7 M USD), estimadas con un actuario independiente [1]. Las comisiones de venta se capitalizan y se amortizan: 342,5 M USD capitalizados y 249,2 M USD amortizados en FY2026, lo que adelanta beneficio [1]. La remuneración en acciones fue de 96,1 M USD (5,5 % del beneficio neto), frente a 111,8 M USD en FY2025 con los pagos sustitutivos de Paycor [1]. El fondo de comercio (4.527,4 M USD) y los intangibles (1.684,0 M USD) suman el 38 % del activo y el 166 % del patrimonio; no hubo deterioros en FY2026 ni en FY2025 (análisis cualitativo) [1]. El impuesto diferido sumó 103,7 M USD al flujo operativo de FY2026 e impuestos pagados de 310,3 M USD frente a 550,8 M USD contabilizados [1]. Ajustes reiterados: los costes de adquisición se excluyen de las cifras ajustadas desde FY2025 [1].</w:t>
      </w:r>
    </w:p>
    <w:p>
      <w:pPr>
        <w:pStyle w:val="Heading2"/>
      </w:pPr>
      <w:r>
        <w:t xml:space="preserve">Señales de alerta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71"/>
        <w:gridCol w:w="976"/>
        <w:gridCol w:w="5491"/>
      </w:tblGrid>
      <w:tr>
        <w:trPr>
          <w:cantSplit/>
          <w:tblHeader/>
        </w:trPr>
        <w:tc>
          <w:tcPr>
            <w:tcW w:type="dxa" w:w="3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Nivel</w:t>
            </w:r>
          </w:p>
        </w:tc>
        <w:tc>
          <w:tcPr>
            <w:tcW w:type="dxa" w:w="549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Explicación</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Impuestos pagados muy por debajo del gasto en FY2026</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310,3 M USD pagados frente a 550,8 M USD de gasto; el 1T27 ya mostró la reversión por el calendario de pagos [1, 3, 11].</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Capitalización de comisiones por encima de su amortización</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Capitalizados 342,5 M USD frente a 249,2 M USD amortizados en FY2026; los costes diferidos a largo plazo suben de 482,4 a 555,8 M USD [1].</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Costes de adquisición excluidos de las cifras ajustadas</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304,2 M USD en FY2026, de ellos 242,0 de amortización de intangibles de Paycor, y 65,5 M USD en el 1T27 [1, 3].</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Reservas actuariales de la PEO</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237,7 M USD de reservas de accidentes de trabajo, materia clave de auditoría [1].</w:t>
            </w:r>
          </w:p>
        </w:tc>
      </w:tr>
    </w:tbl>
    <w:p>
      <w:pPr>
        <w:spacing w:after="160" w:before="0"/>
      </w:pPr>
    </w:p>
    <w:p>
      <w:pPr>
        <w:pStyle w:val="Heading1"/>
      </w:pPr>
      <w:r>
        <w:t xml:space="preserve">10. Rentabilidad sobre el capital</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126"/>
        <w:gridCol w:w="1126"/>
        <w:gridCol w:w="1251"/>
        <w:gridCol w:w="1251"/>
        <w:gridCol w:w="1251"/>
        <w:gridCol w:w="138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ROE</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ROA</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neto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Rotación del activo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Apalancamiento</w:t>
            </w:r>
          </w:p>
        </w:tc>
        <w:tc>
          <w:tcPr>
            <w:tcW w:type="dxa" w:w="13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 invertido</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FY2017</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69,9 %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26,2 %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0,46x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3,49x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1.178</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FY2018</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71,9 %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46,1 %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29,4 %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0,46x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3,42x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1.408</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FY2019</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47,9 %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41,6 %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27,4 %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0,45x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3,33x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2.165</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41,8 %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40,7 %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27,2 %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0,47x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3,19x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2.667</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41,8 %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27,1 %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0,46x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3,10x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2.677</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52,2 %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46,2 %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30,2 %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0,49x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3,13x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2.688</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57,6 %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31,1 %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0,50x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3,07x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2.683</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32,0 %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0,50x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2,87x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2.907</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33,7 %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41,8 %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29,7 %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0,41x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3,40x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5.272</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FY2026</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26,8 %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44,8 %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10,8 %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27,0 %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0,40x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4,16x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7.299</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4" name="Gráfico 14" descr="ROIC y ROE frente al coste del capital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4"/>
              </a:graphicData>
            </a:graphic>
          </wp:inline>
        </w:drawing>
      </w:r>
    </w:p>
    <w:p>
      <w:pPr>
        <w:spacing w:after="100"/>
      </w:pPr>
      <w:r>
        <w:rPr>
          <w:b/>
          <w:bCs/>
        </w:rPr>
        <w:t xml:space="preserve">ROIC incremental</w:t>
      </w:r>
      <w:r>
        <w:t xml:space="preserve"> (variación del NOPAT sobre variación del capital invertido en el periodo): 18,6 % · </w:t>
      </w:r>
      <w:r>
        <w:rPr>
          <w:b/>
          <w:bCs/>
        </w:rPr>
        <w:t xml:space="preserve">WACC</w:t>
      </w:r>
      <w:r>
        <w:t xml:space="preserve">: 9,5 %.</w:t>
      </w:r>
    </w:p>
    <w:p>
      <w:pPr>
        <w:spacing w:after="100"/>
      </w:pPr>
      <w:r>
        <w:t xml:space="preserve">Paychex crea valor desde siempre: el ROIC fue del 41,8-71,9 % entre FY2017 y FY2024 y de un 58,0 % en FY2024, con un WACC del 9,50 %. La compra de Paycor lo bajó al 33,7 % en FY2025 y al 26,8 % en FY2026, porque el capital invertido pasó de 2.907 M USD a 7.299 M USD con 2.591,8 M USD de fondo de comercio y 1.776,5 M USD de intangibles [1]. Sigue casi tres veces por encima del coste de capital. El ROIC lo mueve el margen (margen neto del 27,0 % en FY2026), no la rotación (0,40), que baja por el fondo de comercio. El ROIC incremental del periodo, del 18,6 %, mide lo que rinde el capital nuevo y es sobre todo Paycor: el doble del WACC, pero lejos del rendimiento del negocio propio. ADP, con fondos de clientes y sin grandes compras, publica un ROIC del 43,4 % y Paycom del 26,3 % [59]. El ROE (44,8 %) está inflado por un patrimonio que el dividendo mantiene bajo.</w:t>
      </w:r>
    </w:p>
    <w:p>
      <w:pPr>
        <w:pStyle w:val="Heading1"/>
      </w:pPr>
      <w:r>
        <w:t xml:space="preserve">11. Deuda y solvencia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 31 ago 2026</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3.624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 / EBITDA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Liquidez disponible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Caja corporativa de 1.124,5 M USD a 31-may-2026 (caja 1.088,2 + inversiones corporativas 36,3; más 52,8 de caja restringida) y 2.000 M USD de líneas de crédito comprometidas sin disponer (JPM: 1.000 M USD hasta abr-2029 y 1.000 M USD hasta ene-2031). A 31-ago-2026: caja 600,9 + inversiones corporativas 333,3 = 934,2 M USD (989,2 M USD con la caja restringida) [1, 3].</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Rating</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Moody's Baa1 (perspectiva estable) y S&amp;P BBB+ (estable), notas de la emisión de bonos de abril de 2025 [10].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Coste medio de la deuda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5,6 %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Vida media de la deuda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5,7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5" name="Gráfico 15" descr="Deuda neta / EBITDA al cierre de cada ejercicio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5"/>
              </a:graphicData>
            </a:graphic>
          </wp:inline>
        </w:drawing>
      </w:r>
    </w:p>
    <w:p>
      <w:pPr>
        <w:keepNext w:val="false"/>
        <w:spacing w:after="160" w:before="120"/>
        <w:jc w:val="center"/>
      </w:pPr>
      <w:r>
        <w:drawing>
          <wp:inline xmlns:wp="http://schemas.openxmlformats.org/drawingml/2006/wordprocessingDrawing" distT="0" distB="0" distL="0" distR="0">
            <wp:extent cx="5760000" cy="2160000"/>
            <wp:effectExtent l="0" t="0" r="0" b="0"/>
            <wp:docPr id="1016" name="Gráfico 16" descr="Vencimientos de la deuda bruta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6"/>
              </a:graphicData>
            </a:graphic>
          </wp:inline>
        </w:drawing>
      </w:r>
    </w:p>
    <w:p>
      <w:pPr>
        <w:pStyle w:val="Heading2"/>
      </w:pPr>
      <w:r>
        <w:t xml:space="preserve">Covenants, pasivos fuera de la deuda y contingencias</w:t>
      </w:r>
    </w:p>
    <w:p>
      <w:pPr>
        <w:spacing w:after="100"/>
      </w:pPr>
      <w:r>
        <w:t xml:space="preserve">Covenants del acuerdo de las notas privadas y de las líneas de crédito: apalancamiento máximo de 3,5 veces, cobertura de intereses mínima de 2,0 veces y deuda de ciertas filiales no superior al 20 % del patrimonio; la empresa los cumplía a may-26 [1]. Reservas de accidentes de trabajo de la PEO: 237,7 M USD, materia clave de auditoría [1]. Cartas de crédito por 176,5 M USD para pólizas de seguro, sin disponer [1]. Arrendamientos operativos de 74,2 M USD (no van a la deuda en US GAAP) [1, 9]. Minusvalías latentes netas de 52,5 M USD en la renta fija de fondos de clientes y corporativa, que van al patrimonio [1]. En el 1T27 se pagaron 15,0 M USD de pagos aplazados de compras [3]. Paychex responde de los pagos de los clientes con fondos insuficientes [1].</w:t>
      </w:r>
    </w:p>
    <w:p>
      <w:pPr>
        <w:pStyle w:val="Heading1"/>
      </w:pPr>
      <w:r>
        <w:t xml:space="preserve">12. Asignación de capital</w:t>
      </w:r>
    </w:p>
    <w:p>
      <w:pPr>
        <w:pStyle w:val="Confianza"/>
        <w:spacing w:after="100"/>
      </w:pPr>
      <w:r>
        <w:t xml:space="preserve">Confianza: Alta</w:t>
      </w:r>
    </w:p>
    <w:p>
      <w:pPr>
        <w:spacing w:after="100"/>
      </w:pPr>
      <w:r>
        <w:t xml:space="preserve">Paychex paga dividendos trimestrales (agosto, noviembre, febrero y mayo) a discreción del consejo; en FY2026 pagó 4,43 USD por acción, 1.589,6 M USD y en torno al 90 % del beneficio neto (87 % en FY2025) [1]. En el 1T27 pagó 1,19 USD por acción (424,1 M USD) [3]. El consejo aprobó el 16-ene-2026 un programa de recompra de 1.000 M USD sin vencimiento, con el fin declarado de compensar la dilución; quedaban 675,6 M USD a 31-ago-2026 y en el 1T27 no se recompró nada [1, 2]. En FY2026 recompró 5,6 millones de acciones por 611,0 M USD y amortizó 400 M USD de deuda [1, 4]. Las prioridades declaradas para la caja son la inversión en tecnología, los dividendos, las recompras y el servicio de la deuda [1].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251"/>
        <w:gridCol w:w="1251"/>
        <w:gridCol w:w="1251"/>
        <w:gridCol w:w="1251"/>
        <w:gridCol w:w="1251"/>
        <w:gridCol w:w="113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Adquisiciones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Dividendos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Recompras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Ampliaciones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Retorno / B. neto</w:t>
            </w:r>
          </w:p>
        </w:tc>
        <w:tc>
          <w:tcPr>
            <w:tcW w:type="dxa" w:w="11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 (M)</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FY2017</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362,6</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FY2018</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361,5</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FY2019</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361,8</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361,0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362,1</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363,1</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362,3</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362,1</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2.968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362,0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FY2026</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2.279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1.590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611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125 %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360,0</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7" name="Gráfico 17" descr="Usos de la caja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7"/>
              </a:graphicData>
            </a:graphic>
          </wp:inline>
        </w:drawing>
      </w:r>
    </w:p>
    <w:p>
      <w:pPr>
        <w:pStyle w:val="Heading2"/>
      </w:pPr>
      <w:r>
        <w:t xml:space="preserve">Historial de adquisiciones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64"/>
        <w:gridCol w:w="2141"/>
        <w:gridCol w:w="951"/>
        <w:gridCol w:w="1308"/>
        <w:gridCol w:w="3574"/>
      </w:tblGrid>
      <w:tr>
        <w:trPr>
          <w:cantSplit/>
          <w:tblHeader/>
        </w:trPr>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21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9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c>
          <w:tcPr>
            <w:tcW w:type="dxa" w:w="13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Financiación</w:t>
            </w:r>
          </w:p>
        </w:tc>
        <w:tc>
          <w:tcPr>
            <w:tcW w:type="dxa" w:w="357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Resultado</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2017</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HR Outsourcing Holdings (HROI), PEO en más de 35 estados</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42,2 M USD en efectivo y 33,2 M USD en acciones</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Integrada en la PEO; sin deterioros publicados [8].</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2018</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Lessor Group (nóminas y HCM, Dinamarca y norte de Europa)</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Efectivo (neto de 13,4 M USD de caja adquirida)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Fondo de comercio de 111,5 M USD; Europa sigue aportando en torno al 1 % de los ingresos [1, 8].</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2018</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Oasis Outsourcing (PEO)</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992</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 y 800 M USD en notas privadas (Series A y B)</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PEO e Insurance creció un 46 % en FY2019 y un 22 % en FY2020; sin deterioros [7].</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2023</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Alterna Capital Solutions (compra de cuentas por cobrar sin recurso)</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208</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Efectivo: 95,1 M USD de precio base más 128,9 M USD de deuda cancelada, netos de 15,7 M USD de 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Amplía el negocio de financiación de cobros; sin cifras propias de resultados [1].</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2025</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Paycor HCM (SaaS de HCM para pymes de mayor tamaño)</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4.086</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4.060,6 M USD en efectivo (22,50 USD por acción) financiados con 4.200 M USD de bonos, más 25,1 M USD en pagos sustitutivos</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Asignación del precio cerrada en mar-2026: fondo de comercio de 2.591,8 M USD e intangibles de 1.776,5 M USD; aportó unos 12 puntos al crecimiento de FY2026 y sin deterioros [1]. Según el resumen de la llamada, superó los objetivos de sinergias [12].</w:t>
            </w:r>
          </w:p>
        </w:tc>
      </w:tr>
    </w:tbl>
    <w:p>
      <w:pPr>
        <w:spacing w:after="160" w:before="0"/>
      </w:pPr>
    </w:p>
    <w:p>
      <w:pPr>
        <w:spacing w:after="100"/>
      </w:pPr>
      <w:r>
        <w:t xml:space="preserve">Entre FY2017 y FY2026 el flujo operativo acumulado sumó 15.860,7 M USD; los dividendos se llevaron 10.554,9 M USD (el 67 %), las recompras 1.723,7 M USD, las compras 4.402,0 M USD netas de caja y la inversión 1.677,9 M USD [1, 5, 6, 7, 8]. Las acciones diluidas medias bajaron de 362,6 a 360,0 millones en ese periodo, y a 356,6 millones en el 1T27 [3, 9]. La compra de Paycor cambió el perfil del balance de caja neta a deuda neta. El ROIC incremental y la creación de valor los calcula el motor.</w:t>
      </w:r>
    </w:p>
    <w:p>
      <w:r>
        <w:br w:type="page"/>
      </w:r>
    </w:p>
    <w:p>
      <w:pPr>
        <w:pStyle w:val="Parte"/>
      </w:pPr>
      <w:r>
        <w:t xml:space="preserve">Parte III — Equipo y gobierno</w:t>
      </w:r>
    </w:p>
    <w:p>
      <w:pPr>
        <w:pStyle w:val="Heading1"/>
      </w:pPr>
      <w:r>
        <w:t xml:space="preserve">13. Equipo directivo</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63"/>
        <w:gridCol w:w="1527"/>
        <w:gridCol w:w="705"/>
        <w:gridCol w:w="940"/>
        <w:gridCol w:w="4703"/>
      </w:tblGrid>
      <w:tr>
        <w:trPr>
          <w:cantSplit/>
          <w:tblHeader/>
        </w:trPr>
        <w:tc>
          <w:tcPr>
            <w:tcW w:type="dxa" w:w="17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Nombre</w:t>
            </w:r>
          </w:p>
        </w:tc>
        <w:tc>
          <w:tcPr>
            <w:tcW w:type="dxa" w:w="15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7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9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47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Trayectoria y resultados</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John B. Gibson</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(President) y consejero delegado (CEO); consejero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2022</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0,10 %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Entró en Paychex en 2013 como SVP de Servicio; COO desde diciembre de 2021 y CEO desde octubre de 2022; antes presidió la división de gestión de RR. HH. de Convergys y fue VP en Ameritech [32][1]. Con él, los ingresos pasaron de 4.611,7 M USD (FY2022) a 6.512,0 M USD (FY2026) y el BPA ajustado de 3,77 a 5,51 USD [45][4]; cerró la compra de Paycor (contraprestación total de 4.100 M USD, 14-abr-2025) [51]. Posee 362.979 acciones incluidas opciones ejercitables (0,10 %) [32].</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Robert L. Schrader</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SVP y director financiero (CFO)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2023</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0,02 %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CFO desde octubre de 2023; en Paychex desde 2014 (VP Finanzas y Relación con Inversores, VP y Controller, auditoría interna); antes CFO de Unither Manufacturing y diez años en Bausch &amp; Lomb [1]. Sustituyó a Efrain Rivera. Posee 75.037 acciones incluidas opciones (0,02 %) [32].</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Martin Mucci</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del consejo (no ejecutivo, no independiente)</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2010</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0,32 %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desde 2010; CEO de 2010 a 2021 y presidente y CEO de diciembre de 2021 a octubre de 2022; antes SVP de Operaciones (2002-2010) y directivo de Frontier Communications [32]. Consejero de Cintas desde 2023. Posee 1.133.301 acciones incluidas 689.956 opciones ejercitables (0,32 %) [32].</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Adam Ante</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SVP de Human Capital Management (HCM)</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2025</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0,01 %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Llega con la compra de Paycor (abril de 2025), donde trabajó desde 2017 y fue CFO desde septiembre de 2019 [1]. Posee 30.980 acciones incluidas opciones [32].</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Ryan Bergstrom</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 de Producto y Tecnología (Chief Product and Technology Officer)</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2025</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0,01 %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Llega con la compra de Paycor (abril de 2025), donde fue Chief Product Officer (2018-2024) y Chief Product &amp; Technology Officer (2024-2025); antes en Ultimate Software y Epicor [1]. Sustituye en tecnología a Michael Gioja, que se jubiló en julio de 2025 [40].</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Chad Parodi</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SVP de HR &amp; Benefits Services (HCM, PEO y seguros)</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2025</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0,01 %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Entró en enero de 2024 como Managing Director de Seguros y PEO; SVP desde febrero de 2025; antes CEO de ClearStar (2021-2024) [1]. Posee 20.317 acciones incluidas opciones [32].</w:t>
            </w:r>
          </w:p>
        </w:tc>
      </w:tr>
    </w:tbl>
    <w:p>
      <w:pPr>
        <w:spacing w:after="160" w:before="0"/>
      </w:pPr>
    </w:p>
    <w:p>
      <w:pPr>
        <w:pStyle w:val="Heading2"/>
      </w:pPr>
      <w:r>
        <w:t xml:space="preserve">¿Cumple lo que promete?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3796"/>
        <w:gridCol w:w="3796"/>
        <w:gridCol w:w="1170"/>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prometió</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logró</w:t>
            </w:r>
          </w:p>
        </w:tc>
        <w:tc>
          <w:tcPr>
            <w:tcW w:type="dxa" w:w="117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Cumplió</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FY2021</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Guía de julio de 2020 (COVID): ingresos totales -2 % a -5 %; margen operativo ajustado 34-35 %; BPA ajustado -6 % a -10 % [43].</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4.056,8 M USD (+0,4 %); BPA ajustado 3,04 USD (+1 %); margen operativo 36,0 % [44].</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FY2022</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totales ~+7 %; Management Solutions ~+7 %; PEO e Insurance +8-10 %; margen operativo ajustado ~38 %; BPA ajustado +10-12 % [44].</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4.611,7 M USD (+13,7 %); BPA ajustado 3,77 USD (+24 %); margen operativo 39,9 % [45].</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FY2023</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totales +7-8 %; Management Solutions +5-7 %; PEO e Insurance +8-10 %; margen operativo ajustado 40-41 %; BPA ajustado +9-10 % [45].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5.007,1 M USD (+8,6 %); BPA ajustado 4,27 USD (+13 %); margen operativo 40,6 % [46].</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FY2024</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totales +6-7 %; Management Solutions +5-6 %; PEO e Insurance +6-9 %; margen operativo 41-42 %; BPA ajustado +9-10 % [46].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5.278,3 M USD (+5,4 %, por debajo del rango); BPA ajustado 4,72 USD (+11 %); margen operativo 41,2 % [47].</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Parcial</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FY2025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totales +4,0-5,5 %; Management Solutions +3-4 %; PEO e Insurance +7-9 %; margen operativo 42-43 %; BPA ajustado +5-7 % (sin Paycor) [47].</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5.571,7 M USD (+5,6 %, con unas siete semanas de Paycor desde el 14-abr-2025); BPA ajustado 4,98 USD (+5,5 %); margen operativo ajustado 42,5 % [48].</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FY2026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 Paycor: ingresos totales +16,5-18,5 %; Management Solutions +20-22 %; PEO e Insurance +6-8 %; intereses de fondos de clientes 190-200 M USD; margen operativo ajustado ~43 %; BPA ajustado +8,5-10,5 % [48].</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6.512,0 M USD (+16,9 %); BPA ajustado 5,51 USD (+10,6 %, ligeramente por encima del rango); margen operativo ajustado 43,2 % [4].</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FY2027</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Guía de junio de 2026: ingresos totales +5-6 %; Management Solutions +5-6 %; PEO e Insurance +6-7 %; intereses de fondos de clientes 195-205 M USD; margen operativo ajustado ~44 %; BPA ajustado +7-9 % [4]. El 23-sep-2026 mantuvo ingresos, margen y BPA y subió PEO e Insurance a +7-8 % e intereses a 200-210 M USD [3].</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 curso (1T27 publicado el 23-sep-2026).</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Parcial</w:t>
            </w:r>
          </w:p>
        </w:tc>
      </w:tr>
    </w:tbl>
    <w:p>
      <w:pPr>
        <w:spacing w:after="160" w:before="0"/>
      </w:pPr>
    </w:p>
    <w:p>
      <w:pPr>
        <w:spacing w:after="100"/>
      </w:pPr>
      <w:r>
        <w:t xml:space="preserve">La dirección ha cumplido la guía anual de BPA ajustado en los seis ejercicios FY2021-FY2026, a menudo por encima del rango (FY2021-FY2023); el único fallo fue de ingresos en FY2024 (+5,4 % frente a +6-7 %) [4, 43, 44, 45, 46, 47, 48]. El equipo procede de una sucesión interna ordenada: Gibson pasó de COO (diciembre de 2021) a CEO (octubre de 2022) y Mucci, CEO durante doce años, sigue como presidente no ejecutivo [32]. El CFO, Schrader, es de la casa desde 2014 y ocupa el cargo desde octubre de 2023 [1]. Tras la compra de Paycor entraron directivos de esa empresa (Ante, Bergstrom) y en julio de 2025 se jubilaron los SVP de Ventas y de Producto y TI [40][1]. La participación de los directivos es pequeña (0,6 % todo el grupo, incluidas opciones) [32]. El proxy no detalla un plan de sucesión nominal del CEO.</w:t>
      </w:r>
    </w:p>
    <w:p>
      <w:pPr>
        <w:pStyle w:val="Heading1"/>
      </w:pPr>
      <w:r>
        <w:t xml:space="preserve">14. Gobierno corporativo</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Consejeros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Independientes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82 %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Antigüedad media en el consejo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10,5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Criterios de buen gobierno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 de 13</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Cambios de presidente o primer ejecutivo (24 meses)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8" name="Gráfico 18" descr="Composición del consejo (número de consejer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3"/>
        <w:gridCol w:w="1900"/>
        <w:gridCol w:w="1493"/>
        <w:gridCol w:w="814"/>
        <w:gridCol w:w="2988"/>
      </w:tblGrid>
      <w:tr>
        <w:trPr>
          <w:cantSplit/>
          <w:tblHeader/>
        </w:trPr>
        <w:tc>
          <w:tcPr>
            <w:tcW w:type="dxa" w:w="244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Consejero</w:t>
            </w:r>
          </w:p>
        </w:tc>
        <w:tc>
          <w:tcPr>
            <w:tcW w:type="dxa" w:w="190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14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81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29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Comisiones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Martin Mucci</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del consejo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Otro externo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2010</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Ejecutiva (presidente)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John B. Gibson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presidente y CEO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Ejecutivo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2022</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Corporate Development Advisory; Ejecutiva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Joseph M. Tucci</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coordinador independiente (Lead Independent Director)</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2000</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Remuneración y Liderazgo (C&amp;L); Ejecutiva; Nombramientos y Gobierno (N&amp;G)</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Thomas F. Bonadio</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2017</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 (presidente); Corporate Development Advisory; Inversiones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Joseph G. Doody</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2010</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C&amp;L (presidente); Inversiones; N&amp;G</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 Michael Hansen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2026</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 Corporate Development Advisory (desde 16-jul-2026)</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Pamela A. Joseph</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2018</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N&amp;G (presidenta); C&amp;L; Corporate Development Advisory; Ejecutiva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Theresa M. Payton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2023</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Kevin A. Price</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2021</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 N&amp;G</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Joseph M. Velli</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2007</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Inversiones (presidente); Corporate Development Advisory (presidente); C&amp;L; Ejecutiva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Kara Wilson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Consejera (no se presenta a la reelección del 15-oct-2026)</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2017</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Auditoría; Corporate Development Advisory</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36"/>
        <w:gridCol w:w="1984"/>
        <w:gridCol w:w="1418"/>
      </w:tblGrid>
      <w:tr>
        <w:trPr>
          <w:cantSplit/>
          <w:tblHeader/>
        </w:trPr>
        <w:tc>
          <w:tcPr>
            <w:tcW w:type="dxa" w:w="62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w:t>
            </w:r>
          </w:p>
        </w:tc>
        <w:tc>
          <w:tcPr>
            <w:tcW w:type="dxa" w:w="19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Dato</w:t>
            </w:r>
          </w:p>
        </w:tc>
        <w:tc>
          <w:tcPr>
            <w:tcW w:type="dxa" w:w="141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Consejeros independientes ≥ 50 % (≥ 33 % si hay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82 %</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Presidencia sin vínculo familiar ni profesional con el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control</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Presidente no ejecutivo, o consejero coordinador independiente</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ejecutivo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Comisión de auditoría con mayoría de independientes y presidida por uno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Ningún consejero «otro externo» con más de 12 años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Martin Mucci</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Estabilidad de la cúpula: como mucho un cambio de presidente o primer ejecutivo en 24 meses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0 cambios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Peor voto en contra sobre remuneración (3 juntas) ≤ 20 %</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5,2 % en contra</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Variable a largo plazo ligado a rentabilidad (ROIC, TSR, FCF)</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Una acción, un voto, sin blindajes ni límites de voto estatutarios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Sin operaciones vinculadas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hay</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Auditor con 10 años o menos en el cargo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13 años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Opinión de auditoría sin salvedades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Favorable</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 compradores netos en 12 meses (o sin ventas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Compras 0,20 / ventas 3,77 M</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No cumple</w:t>
            </w:r>
          </w:p>
        </w:tc>
      </w:tr>
    </w:tbl>
    <w:p>
      <w:pPr>
        <w:spacing w:after="160" w:before="0"/>
      </w:pPr>
    </w:p>
    <w:p>
      <w:pPr>
        <w:pStyle w:val="Heading2"/>
      </w:pPr>
      <w:r>
        <w:t xml:space="preserve">Accionariado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41"/>
        <w:gridCol w:w="1156"/>
        <w:gridCol w:w="1799"/>
        <w:gridCol w:w="3342"/>
      </w:tblGrid>
      <w:tr>
        <w:trPr>
          <w:cantSplit/>
          <w:tblHeader/>
        </w:trPr>
        <w:tc>
          <w:tcPr>
            <w:tcW w:type="dxa" w:w="33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Accionista</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17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3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Movimientos recientes</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 Thomas Golisano (fundador; incluye fideicomiso, familia y fundación)</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Fundador, persona física</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35.970.209 acciones a 31-jul-2026 frente a 37.262.715 (10,3 %) un año antes [32][33]. Dejó el consejo el 9-jul-2025. Donó 1.864.129 acciones (código G) entre octubre de 2025 y septiembre de 2026, 562.635 de ellas el 28-sep-2026, después de la tabla del proxy: con eso queda en torno al 9,9 % [42].</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Capital International Investors</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Gestora</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30.738.102 acciones (13G a 31-dic-2025), frente a 23.108.013 (6,4 %) en el proxy de 2025: sube [32][33].</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BlackRock, Inc.</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Gestora</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27.959.696 acciones según su 13G/A del 26-ene-2024 (dato antiguo, sin actualización posterior en el proxy) [32].</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Vanguard Capital Management</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Gestora</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24.271.194 acciones (6,77 %) a 31-mar-2026 [32][50]. Tras la reorganización de Vanguard, The Vanguard Group declaró el 0 % en su 13G/A de marzo de 2026 [49]; en el proxy de 2025 Vanguard Group figuraba con 30.417.301 acciones (8,4 %) [33].</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Consejeros y directivos (19 personas)</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Insiders</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2.232.775 acciones incluidas opciones ejercitables a 31-jul-2026 [32].</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Autocartera</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Autocartera</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Paychex amortiza las acciones que recompra; en enero de 2026 aprobó un programa de recompra de hasta 1.000 M USD que sustituye al de 400 M USD de 2024 [38].</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9" name="Gráfico 19" descr="Accionistas significativos (% del capi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9"/>
              </a:graphicData>
            </a:graphic>
          </wp:inline>
        </w:drawing>
      </w:r>
    </w:p>
    <w:p>
      <w:pPr>
        <w:pStyle w:val="Heading2"/>
      </w:pPr>
      <w:r>
        <w:t xml:space="preserve">Compras y ventas de consejeros y directivos (12 meses)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21"/>
        <w:gridCol w:w="3381"/>
        <w:gridCol w:w="1521"/>
        <w:gridCol w:w="1690"/>
        <w:gridCol w:w="1525"/>
      </w:tblGrid>
      <w:tr>
        <w:trPr>
          <w:cantSplit/>
          <w:tblHeader/>
        </w:trPr>
        <w:tc>
          <w:tcPr>
            <w:tcW w:type="dxa" w:w="15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3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Persona</w:t>
            </w:r>
          </w:p>
        </w:tc>
        <w:tc>
          <w:tcPr>
            <w:tcW w:type="dxa" w:w="15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Operación</w:t>
            </w:r>
          </w:p>
        </w:tc>
        <w:tc>
          <w:tcPr>
            <w:tcW w:type="dxa" w:w="16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w:t>
            </w:r>
          </w:p>
        </w:tc>
        <w:tc>
          <w:tcPr>
            <w:tcW w:type="dxa" w:w="15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 (M)</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 jul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Robert L. Schrader (CFO)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0,30</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17 jul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Christopher C. Simmons (VP, Controller y Tesorero)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2.615</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0,30</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14 jul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Martin Mucci (presidente del consejo)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2,75</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26 jun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Joseph M. Tucci (consejero coordinador)</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3.907</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0,38</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13 may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Elizabeth Roaldsen (SVP Operaciones)</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459</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0,04</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 feb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Joseph G. Doody (consejero)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0,10</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4 feb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Thomas F. Bonadio (consejero)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0,10</w:t>
            </w:r>
          </w:p>
        </w:tc>
      </w:tr>
    </w:tbl>
    <w:p>
      <w:pPr>
        <w:spacing w:after="160" w:before="0"/>
      </w:pPr>
    </w:p>
    <w:p>
      <w:pPr>
        <w:pStyle w:val="Heading2"/>
      </w:pPr>
      <w:r>
        <w:t xml:space="preserve">Remuneración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Remuneración total del primer ejecutivo (FY2026)</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10,27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Fijo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0,92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0,88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 largo plazo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8,45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Peor voto a favor (3 juntas)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94,4 %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Peor voto en contra (3 juntas)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5,2 %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Ratio sobre salario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143x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spacing w:after="100"/>
      </w:pPr>
      <w:r>
        <w:t xml:space="preserve">La remuneración total del CEO en FY2026 fue de 10,27 M USD (8,81 M en FY2025 y 7,53 M en FY2024): salario 0,92 M, bonus anual 0,88 M, acciones 6,33 M y opciones 2,12 M; el 91 % de su objetivo es variable [32]. El bonus anual mide crecimiento de ingresos por servicios, beneficio operativo ajustado y nuevas ventas anualizadas (130 % del salario a objetivo) más un 20 % cualitativo; en FY2026 pagó el 64 % del objetivo [32]. El 60 % del variable a largo plazo son acciones por objetivos a tres años, medidas al 50 % por ingresos por servicios y beneficio operativo ajustado, con un modificador de ±25 % por TSR relativo frente al S&amp;P 500; el resto, opciones y acciones restringidas [32]. Ninguna métrica mide ROIC ni caja. Hay cláusula de recuperación (clawback) por reformulación contable, no hay contratos laborales y el plan de cambio de control es de doble condición: 2 veces el salario más el bonus objetivo para el CEO, sin compensación de impuestos [32]. Say-on-pay: 94,4 % a favor en 2023, 95,0 % en 2024 y 96,1 % en 2025 [34][35][36].</w:t>
      </w:r>
    </w:p>
    <w:p>
      <w:pPr>
        <w:pStyle w:val="Heading2"/>
      </w:pPr>
      <w:r>
        <w:t xml:space="preserve">Operaciones vinculadas, estructura de control y defensas</w:t>
      </w:r>
    </w:p>
    <w:p>
      <w:pPr>
        <w:spacing w:after="100"/>
      </w:pPr>
      <w:r>
        <w:t xml:space="preserve">No hay accionista de control. El fundador, Tom Golisano, tiene alrededor del 10 % (10,1 % a 31-jul-2026, unos 9,9 % tras sus donaciones de septiembre), dejó el consejo el 9-jul-2025 sin desacuerdo declarado y no tiene derechos de nombramiento conocidos [32][41][42]; las tres mayores gestoras suman un 23 % [32]. Una sola clase de acciones con un voto cada una; los consejeros se eligen cada año por mayoría de votos emitidos [32]. Presidente (Mucci, ex-CEO, no independiente) y CEO separados, con consejero coordinador independiente (Tucci) [32]. Operaciones vinculadas pequeñas y aprobadas por la comisión N&amp;G: BlackRock cobró 1,1 M USD por gestión de inversiones; Kodak (más del 10 % en manos de una sociedad de Golisano) pagó 0,6 M USD por servicios de nóminas; The Bonadio Group (presidida por el consejero Bonadio) pagó 0,2 M USD [32]. Están prohibidas la cobertura y la pignoración de acciones por consejeros y directivos [32].</w:t>
      </w:r>
    </w:p>
    <w:p>
      <w:pPr>
        <w:pStyle w:val="Heading2"/>
      </w:pPr>
      <w:r>
        <w:t xml:space="preserve">Señales de alerta</w:t>
      </w:r>
    </w:p>
    <w:p>
      <w:pPr>
        <w:pStyle w:val="ListParagraph"/>
        <w:numPr>
          <w:ilvl w:val="0"/>
          <w:numId w:val="2"/>
        </w:numPr>
        <w:spacing w:after="60"/>
      </w:pPr>
      <w:r>
        <w:t xml:space="preserve">Antigüedad alta en el consejo: el consejero coordinador, Tucci (79 años), está en el consejo desde 2000; Velli desde 2007 y Doody desde 2010 [32]. Tucci recibió el 8,2 % de votos en contra en 2023 y el 5,7 % en 2025 [34][36].</w:t>
      </w:r>
    </w:p>
    <w:p>
      <w:pPr>
        <w:pStyle w:val="ListParagraph"/>
        <w:numPr>
          <w:ilvl w:val="0"/>
          <w:numId w:val="2"/>
        </w:numPr>
        <w:spacing w:after="60"/>
      </w:pPr>
      <w:r>
        <w:t xml:space="preserve">Pamela Joseph, presidenta de la comisión N&amp;G, recibió el 11,5 % de votos en contra en 2024 y el 7,2 % en 2025; preside TransUnion y es consejera de Adyen [32][34][35].</w:t>
      </w:r>
    </w:p>
    <w:p>
      <w:pPr>
        <w:pStyle w:val="ListParagraph"/>
        <w:numPr>
          <w:ilvl w:val="0"/>
          <w:numId w:val="2"/>
        </w:numPr>
        <w:spacing w:after="60"/>
      </w:pPr>
      <w:r>
        <w:t xml:space="preserve">El presidente, Mucci, vendió 25.000 acciones (2,75 M USD) el 14-jul-2026 tras ejercer 214.482 opciones; en 12 meses solo hubo dos compras en mercado de consejeros (unos 0,2 M USD en total) frente a 3,8 M USD de ventas, ninguna con plan 10b5-1 [42].</w:t>
      </w:r>
    </w:p>
    <w:p>
      <w:pPr>
        <w:pStyle w:val="ListParagraph"/>
        <w:numPr>
          <w:ilvl w:val="0"/>
          <w:numId w:val="2"/>
        </w:numPr>
        <w:spacing w:after="60"/>
      </w:pPr>
      <w:r>
        <w:t xml:space="preserve">El fundador Golisano ha donado 1,86 millones de acciones en 12 meses (unos 200 M USD a precios de los Form 4); no son ventas, pero las acciones de la fundación pueden acabar en el mercado [42].</w:t>
      </w:r>
    </w:p>
    <w:p>
      <w:pPr>
        <w:pStyle w:val="ListParagraph"/>
        <w:numPr>
          <w:ilvl w:val="0"/>
          <w:numId w:val="2"/>
        </w:numPr>
        <w:spacing w:after="60"/>
      </w:pPr>
      <w:r>
        <w:t xml:space="preserve">Cambio de CFO en octubre de 2023 (Rivera por Schrader), relevo interno [1]. Auditor: PwC, ratificado con un 98,5 % a favor en 2025 [34].</w:t>
      </w:r>
    </w:p>
    <w:p>
      <w:r>
        <w:br w:type="page"/>
      </w:r>
    </w:p>
    <w:p>
      <w:pPr>
        <w:pStyle w:val="Parte"/>
      </w:pPr>
      <w:r>
        <w:t xml:space="preserve">Parte IV — Mercado y valoración</w:t>
      </w:r>
    </w:p>
    <w:p>
      <w:pPr>
        <w:pStyle w:val="Heading1"/>
      </w:pPr>
      <w:r>
        <w:t xml:space="preserve">15. Previsiones de la compañía y consenso</w:t>
      </w:r>
    </w:p>
    <w:p>
      <w:pPr>
        <w:pStyle w:val="Confianza"/>
        <w:spacing w:after="100"/>
      </w:pPr>
      <w:r>
        <w:t xml:space="preserve">Confianza: Media</w:t>
      </w:r>
    </w:p>
    <w:p>
      <w:pPr>
        <w:spacing w:after="100"/>
      </w:pPr>
      <w:r>
        <w:t xml:space="preserve">Guía de FY2027 (junio de 2026 a mayo de 2027), publicada el 24-jun-2026 y actualizada el 23-sep-2026 con los resultados del 1T27: ingresos totales +5-6 % (sin cambio); Management Solutions +5-6 % (sin cambio); PEO and Insurance Solutions +7-8 % (antes +6-7 %); intereses de los fondos de clientes 200-210 M USD (antes 195-205 M); margen operativo ajustado ≈ 44 % (sin cambio); tipo impositivo efectivo ≈ 24 %; BPA diluido ajustado +7-9 % (sin cambio) [3, 4]. La base del BPA ajustado de FY2026 es 5,51 USD (BPA diluido GAAP de 4,89 USD), de modo que la guía equivale a 5,90-6,01 USD [4]. Las cifras ajustadas excluyen los costes de adquisición: amortización de los intangibles de Paycor, costes de integración y retención, y otros [2, 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41"/>
        <w:gridCol w:w="1302"/>
        <w:gridCol w:w="1302"/>
        <w:gridCol w:w="1302"/>
        <w:gridCol w:w="1041"/>
        <w:gridCol w:w="1041"/>
        <w:gridCol w:w="2609"/>
      </w:tblGrid>
      <w:tr>
        <w:trPr>
          <w:cantSplit/>
          <w:tblHeader/>
        </w:trPr>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26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FY2027e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6.864</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3.230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3.005</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4,86</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MarketScreener, 19 analistas [53]</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FY2028e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7.240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3.455</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3.201</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6,03</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5,26</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MarketScreener, 19 analistas [53]</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FY2029e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7.610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3.614</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3.391</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6,57</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5,58</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 19 analistas [53]</w:t>
            </w:r>
          </w:p>
        </w:tc>
      </w:tr>
    </w:tbl>
    <w:p>
      <w:pPr>
        <w:spacing w:after="160" w:before="0"/>
      </w:pPr>
    </w:p>
    <w:p>
      <w:pPr>
        <w:pStyle w:val="Heading2"/>
      </w:pPr>
      <w:r>
        <w:t xml:space="preserve">Nuestra proyección frente al consenso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4"/>
        <w:gridCol w:w="1505"/>
        <w:gridCol w:w="1505"/>
        <w:gridCol w:w="1204"/>
        <w:gridCol w:w="1505"/>
        <w:gridCol w:w="1505"/>
        <w:gridCol w:w="1210"/>
      </w:tblGrid>
      <w:tr>
        <w:trPr>
          <w:cantSplit/>
          <w:tblHeader/>
        </w:trPr>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propios</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consenso</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propio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consenso</w:t>
            </w:r>
          </w:p>
        </w:tc>
        <w:tc>
          <w:tcPr>
            <w:tcW w:type="dxa" w:w="12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FY2027e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6.870</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6.864</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3.229</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3.230</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FY2028e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7.248</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7.240</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3.443</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3.455</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FY2029e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7.610</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7.610</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3.615</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3.614</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0,0 %</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Analistas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19</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Comprar / mantener / vender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 / 15 / 2</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objetivo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113,93</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de precios objetivo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96,00 – 150,00</w:t>
            </w:r>
          </w:p>
        </w:tc>
      </w:tr>
    </w:tbl>
    <w:p>
      <w:pPr>
        <w:spacing w:after="160" w:before="0"/>
      </w:pPr>
    </w:p>
    <w:p>
      <w:pPr>
        <w:pStyle w:val="Heading2"/>
      </w:pPr>
      <w:r>
        <w:t xml:space="preserve">Revisiones de estimaciones</w:t>
      </w:r>
    </w:p>
    <w:p>
      <w:pPr>
        <w:spacing w:after="100"/>
      </w:pPr>
      <w:r>
        <w:t xml:space="preserve">Las fuentes gratuitas no publican la variación de las estimaciones a 3 y 12 meses. Stock Analysis da la evolución de las recomendaciones: en mayo de 2026 había 2 de compra, 13 de mantener y 4 de venta (19 analistas); en octubre, 2 de compra fuerte, 15 de mantener y 2 de venta fuerte (19) [55]. Tras el 1T27 la empresa subió la guía de PEO and Insurance Solutions y de intereses de los fondos de clientes y mantuvo la de BPA ajustado [3]. El BPA ajustado medio de FY2027 de Stock Analysis es 5,96 USD (5,93-6,00), dentro de la guía de 5,90-6,01 USD [4, 55].</w:t>
      </w:r>
    </w:p>
    <w:p>
      <w:pPr>
        <w:pStyle w:val="Heading1"/>
      </w:pPr>
      <w:r>
        <w:t xml:space="preserve">16. Comportamiento en bolsa</w:t>
      </w:r>
    </w:p>
    <w:p>
      <w:pPr>
        <w:pStyle w:val="Confianza"/>
        <w:spacing w:after="100"/>
      </w:pPr>
      <w:r>
        <w:t xml:space="preserve">Confianza: Alta</w:t>
      </w:r>
    </w:p>
    <w:p>
      <w:pPr>
        <w:pStyle w:val="Nota"/>
        <w:spacing w:after="100"/>
      </w:pPr>
      <w:r>
        <w:t xml:space="preserve">Rentabilidad total (con dividendos).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52"/>
        <w:gridCol w:w="2095"/>
        <w:gridCol w:w="2095"/>
        <w:gridCol w:w="2096"/>
      </w:tblGrid>
      <w:tr>
        <w:trPr>
          <w:cantSplit/>
          <w:tblHeader/>
        </w:trPr>
        <w:tc>
          <w:tcPr>
            <w:tcW w:type="dxa" w:w="335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Acción</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Índice</w:t>
            </w:r>
          </w:p>
        </w:tc>
        <w:tc>
          <w:tcPr>
            <w:tcW w:type="dxa" w:w="20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Sector</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En el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+19,8 %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5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10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+9,7 %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+15,6 %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+13,4 %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20" name="Gráfico 20" descr="Rentabilidad total por año: acción frente a su índic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0"/>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Beta (5 años, mensual)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0,85</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Volatilidad anualizada (1 año)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30,1 %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Máxima caída (5 años)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-45,0 %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Posiciones cortas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5,6 %</w:t>
            </w:r>
          </w:p>
        </w:tc>
      </w:tr>
    </w:tbl>
    <w:p>
      <w:pPr>
        <w:spacing w:after="160" w:before="0"/>
      </w:pPr>
    </w:p>
    <w:p>
      <w:pPr>
        <w:spacing w:after="100"/>
      </w:pPr>
      <w:r>
        <w:t xml:space="preserve">Rentabilidades totales con dividendos hasta el cierre del 9-oct-2026, frente al SPY (S&amp;P 500) y al XLI (industria del S&amp;P 500, donde GICS clasifica a Paychex) [52]. La acción pierde un 13,5 % en un año frente al +20,5 % del S&amp;P 500 y apenas sube un 0,7 % anual en cinco años frente al 13,9 % [52]. La caída máxima de cinco años es del 45 %, del 6-jun-2025 al 10-abr-2026 [52]: empieza poco después de cerrar la compra de Paycor (abril de 2025). La mayor caída diaria del último año fue del 8,8 % el 23-sep-2026, día de los resultados del 1T27 [3, 52]. La posición corta es de 19,82 M de acciones, el 5,57 % de las acciones en circulación y el 6,20 % del flotante, con 8,6 días para cubrir [56].</w:t>
      </w:r>
    </w:p>
    <w:p>
      <w:pPr>
        <w:pStyle w:val="Heading1"/>
      </w:pPr>
      <w:r>
        <w:t xml:space="preserve">17. Múltiplos frente a su historia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27"/>
        <w:gridCol w:w="1098"/>
        <w:gridCol w:w="1098"/>
        <w:gridCol w:w="1098"/>
        <w:gridCol w:w="1098"/>
        <w:gridCol w:w="1098"/>
        <w:gridCol w:w="1221"/>
      </w:tblGrid>
      <w:tr>
        <w:trPr>
          <w:cantSplit/>
          <w:tblHeader/>
        </w:trPr>
        <w:tc>
          <w:tcPr>
            <w:tcW w:type="dxa" w:w="2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Mediana</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Percentil</w:t>
            </w:r>
          </w:p>
        </w:tc>
        <w:tc>
          <w:tcPr>
            <w:tcW w:type="dxa" w:w="12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 / descuento</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23,8x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-24 %</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20,6x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25,9x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19,8x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34,5x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21" name="Gráfico 21" descr="EV/EBITDA últimos 12 meses (cierre de cada año): historia y mediana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1"/>
              </a:graphicData>
            </a:graphic>
          </wp:inline>
        </w:drawing>
      </w:r>
    </w:p>
    <w:p>
      <w:pPr>
        <w:spacing w:after="100"/>
      </w:pPr>
      <w:r>
        <w:t xml:space="preserve">Precios de cierre del último día de cotización de cada ejercicio (31 de mayo o el anterior hábil), sin ajustar por dividendos, de Yahoo Finance [52]. El cierre de FY2025 (157,91 USD, 30-may-2025) es el máximo de la serie y el de FY2026 (96,98 USD, 29-may-2026) el más bajo desde FY2020 [52].</w:t>
      </w:r>
    </w:p>
    <w:p>
      <w:pPr>
        <w:pStyle w:val="Heading1"/>
      </w:pPr>
      <w:r>
        <w:t xml:space="preserve">18. Comparables cotizados</w:t>
      </w:r>
    </w:p>
    <w:p>
      <w:pPr>
        <w:pStyle w:val="Confianza"/>
        <w:spacing w:after="100"/>
      </w:pPr>
      <w:r>
        <w:t xml:space="preserve">Confianza: Media</w:t>
      </w:r>
    </w:p>
    <w:p>
      <w:pPr>
        <w:spacing w:after="100"/>
      </w:pPr>
      <w:r>
        <w:t xml:space="preserve">Seis cotizadas de EE. UU. que venden nóminas, RR. HH. o software de gestión a empresas: ADP (el único rival con escala parecida y fondos de clientes), Paycom y Paylocity (HCM para medianas empresas, el terreno de Paycor), Workday (HCM para grandes empresas), Intuit (QuickBooks Payroll, el mismo cliente pyme) y TriNet (PEO). Insperity se excluye: su margen EBITDA del 1 % (ingresos brutos con seguros repercutidos) y el salto de 22,8x a 9,7x entre su múltiplo de los últimos y de los próximos 12 meses distorsionan la mediana [59, 63]. Dayforce dejó de cotizar en 2026 y entra como transacción [69].</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15"/>
        <w:gridCol w:w="504"/>
        <w:gridCol w:w="908"/>
        <w:gridCol w:w="706"/>
        <w:gridCol w:w="807"/>
        <w:gridCol w:w="807"/>
        <w:gridCol w:w="706"/>
        <w:gridCol w:w="706"/>
        <w:gridCol w:w="756"/>
        <w:gridCol w:w="655"/>
        <w:gridCol w:w="655"/>
        <w:gridCol w:w="713"/>
      </w:tblGrid>
      <w:tr>
        <w:trPr>
          <w:cantSplit/>
          <w:tblHeader/>
        </w:trPr>
        <w:tc>
          <w:tcPr>
            <w:tcW w:type="dxa" w:w="171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Empresa</w:t>
            </w:r>
          </w:p>
        </w:tc>
        <w:tc>
          <w:tcPr>
            <w:tcW w:type="dxa" w:w="5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Capitaliz.</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 EBITDA</w:t>
            </w:r>
          </w:p>
        </w:tc>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yield</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Paychex</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37.100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46,6 %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ADP</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107.337</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28,6 %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Paycom Software</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10.467</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38,9 %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26,3 %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Paylocity</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8.169</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20,6 %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Workday</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44.968</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31,0x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Intuit</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81.561</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TriNet</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3.004</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6,9 %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9,6 %</w:t>
            </w:r>
          </w:p>
        </w:tc>
      </w:tr>
    </w:tbl>
    <w:p>
      <w:pPr>
        <w:spacing w:after="160" w:before="0"/>
      </w:pPr>
    </w:p>
    <w:p>
      <w:pPr>
        <w:pStyle w:val="Nota"/>
        <w:spacing w:after="100"/>
      </w:pPr>
      <w:r>
        <w:t xml:space="preserve">La primera fila es la empresa analizada (calculada con sus propios datos). Los estadísticos excluyen a la empresa.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48"/>
        <w:gridCol w:w="1056"/>
        <w:gridCol w:w="1188"/>
        <w:gridCol w:w="1188"/>
        <w:gridCol w:w="1056"/>
        <w:gridCol w:w="1056"/>
        <w:gridCol w:w="1188"/>
        <w:gridCol w:w="1058"/>
      </w:tblGrid>
      <w:tr>
        <w:trPr>
          <w:cantSplit/>
          <w:tblHeader/>
        </w:trPr>
        <w:tc>
          <w:tcPr>
            <w:tcW w:type="dxa" w:w="184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Estadístico</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10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Mediana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20,9x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28,4 %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21,9 %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21,9x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25,1 %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23,5 %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Percentil 25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19,7x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18,6 %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Percentil 75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4,7x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17,0x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15,1x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24,0x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+9,1 %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31,7 %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25,5 %</w:t>
            </w:r>
          </w:p>
        </w:tc>
      </w:tr>
    </w:tbl>
    <w:p>
      <w:pPr>
        <w:spacing w:after="160" w:before="0"/>
      </w:pPr>
    </w:p>
    <w:p>
      <w:pPr>
        <w:pStyle w:val="Heading2"/>
      </w:pPr>
      <w:r>
        <w:t xml:space="preserve">Valor implícito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24"/>
        <w:gridCol w:w="1147"/>
        <w:gridCol w:w="1835"/>
        <w:gridCol w:w="1032"/>
        <w:gridCol w:w="1032"/>
        <w:gridCol w:w="1032"/>
        <w:gridCol w:w="1036"/>
      </w:tblGrid>
      <w:tr>
        <w:trPr>
          <w:cantSplit/>
          <w:tblHeader/>
        </w:trPr>
        <w:tc>
          <w:tcPr>
            <w:tcW w:type="dxa" w:w="25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 aplicado</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Métrica de la empresa</w:t>
            </w:r>
          </w:p>
        </w:tc>
        <w:tc>
          <w:tcPr>
            <w:tcW w:type="dxa" w:w="18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Múltiplo p25 / mediana / p75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p25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mediana</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p75</w:t>
            </w:r>
          </w:p>
        </w:tc>
        <w:tc>
          <w:tcPr>
            <w:tcW w:type="dxa" w:w="10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3.313</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10,3x / 12,5x / 15,1x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85,01</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105,90</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130,27</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3.078</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11,4x / 13,8x / 17,0x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88,19</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109,32</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136,28</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19,7x / 20,9x / 24,0x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112,33</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118,74</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136,68</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EV/Ventas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6.603</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3,9x / 4,3x / 4,7x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62,38</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70,25</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76,17</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-32,4 %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22" name="Gráfico 22" descr="EV/EBITDA de los próximos 12 meses: empresa y comparables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2"/>
              </a:graphicData>
            </a:graphic>
          </wp:inline>
        </w:drawing>
      </w:r>
    </w:p>
    <w:p>
      <w:pPr>
        <w:keepNext w:val="false"/>
        <w:spacing w:after="160" w:before="120"/>
        <w:jc w:val="center"/>
      </w:pPr>
      <w:r>
        <w:drawing>
          <wp:inline xmlns:wp="http://schemas.openxmlformats.org/drawingml/2006/wordprocessingDrawing" distT="0" distB="0" distL="0" distR="0">
            <wp:extent cx="5760000" cy="3060000"/>
            <wp:effectExtent l="0" t="0" r="0" b="0"/>
            <wp:docPr id="1023" name="Gráfico 23" descr="Crecimiento esperado frente a múltiplo"/>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3"/>
              </a:graphicData>
            </a:graphic>
          </wp:inline>
        </w:drawing>
      </w:r>
    </w:p>
    <w:p>
      <w:pPr>
        <w:spacing w:after="100"/>
      </w:pPr>
      <w:r>
        <w:rPr>
          <w:b/>
        </w:rPr>
        <w:t xml:space="preserve">Regresión EV/EBITDA NTM sobre crecimiento</w:t>
      </w:r>
      <w:r>
        <w:t xml:space="preserve"> (6 comparables): múltiplo = 9,8 + 0,55 × crecimiento; R² = 0,15. El crecimiento explica poco los múltiplos de estos comparables (R² &lt; 0,3): la regresión no se usa en la valoración.</w:t>
      </w:r>
    </w:p>
    <w:p>
      <w:pPr>
        <w:spacing w:after="100"/>
      </w:pPr>
      <w:r>
        <w:t xml:space="preserve">Paychex cotiza a 12,3x el EBITDA de los próximos 12 meses y a 18,3x su BPA, frente a medianas de 12,5x y 20,9x: en línea por EBITDA y con un descuento del 12 % por PER, con un margen EBITDA del 46,6 %, el más alto de la muestra (ADP 28,6 %, Paycom 38,9 %) [59]. El descuento lo explica el crecimiento: el consenso le da un 5-6 % frente al 7-10 % de Paycom, Paylocity, Workday e Intuit [54, 59]. La mediana es frágil (de 10,4x a 14,6x según se quite un comparable) y el crecimiento no explica los múltiplos (R² de 0,15), así que la regresión no se usa. Los comparables dan 112,32 USD por acción (media de EV/EBITDA y PER), un 8 % por encima del precio: el PER tira al alza porque el de los demás es más alto con márgenes menores. ADP es el comparable más limpio: 15,3x y 21,6x con un crecimiento del 5,8 %, un listón que Paychex podría recuperar si Management Solutions vuelve al 5-6 %.</w:t>
      </w:r>
    </w:p>
    <w:p>
      <w:pPr>
        <w:pStyle w:val="Heading1"/>
      </w:pPr>
      <w:r>
        <w:t xml:space="preserve">19. Transacciones precedentes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38"/>
        <w:gridCol w:w="1780"/>
        <w:gridCol w:w="1676"/>
        <w:gridCol w:w="838"/>
        <w:gridCol w:w="838"/>
        <w:gridCol w:w="838"/>
        <w:gridCol w:w="733"/>
        <w:gridCol w:w="2097"/>
      </w:tblGrid>
      <w:tr>
        <w:trPr>
          <w:cantSplit/>
          <w:tblHeader/>
        </w:trPr>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7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16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Comprador</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 (M)</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EV/Ventas</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w:t>
            </w:r>
          </w:p>
        </w:tc>
        <w:tc>
          <w:tcPr>
            <w:tcW w:type="dxa" w:w="20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Comentario</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2025-08</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Dayforce (antes Ceridian HCM)</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Thoma Bravo</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12.300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6,32x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19,8x</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32 %</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Valor empresa de 12.300 M USD y 70 USD por acción, con una prima del 32 % sobre el cierre no afectado del 15-ago-2025 [69]. Múltiplos sobre la guía de 2025: ingresos de 1.935-1.955 M (media 1.945 M) y margen EBITDA ajustado del 32 % (≈ 622 M; excluye la remuneración en acciones) [71]. Cerrada en febrero de 2026. Sobre la previsión de la dirección para 2026 (2.184 M de ingresos, 757 M de EBITDA ajustado), 5,6 y 16,2 veces [70].</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2025-01</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Paycor HCM</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Paychex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4.100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6,31x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19 %</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22,50 USD por acción en efectivo, valor empresa de unos 4.100 M USD; prima del 19 % sobre el precio medio ponderado de 30 días hasta el 3-ene-2025 [13, 67]. EV/ventas sobre los «más de 650 M» de ingresos recurrentes que, según Paychex, aportaba Paycor (cota máxima) [13]. Sinergias de costes previstas de más de 80 M [13]. Cerrada en abril de 2025 [68].</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2024-10</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WorkForce Software</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ADP</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1.173</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Precio de compra de 1.173,1 M USD (1.160,6 M netos de la caja adquirida), pagado con caja; ADP no publicó ingresos ni EBITDA de la adquirida por no ser material [73].</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2019-02</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Ultimate Software</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Consorcio de Hellman &amp; Friedman (con Blackstone, GIC, CPPIB y JMI Equity)</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11.000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10,00x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32 %</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331,50 USD por acción en efectivo, valor agregado de unos 11.000 M USD; prima del 32 % sobre el precio medio ponderado de 30 sesiones hasta el 1-feb-2019 [72]. EV/ventas sobre unos ingresos de 2018 de «más de 1.100 M» (cota máxima) [72].</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Prima de control mediana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32 %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por acción implícito (mediana de EV/ventas)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106,79</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p25 – p75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106,70 – 140,84</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24" name="Gráfico 24" descr="EV/EBITDA pagado en transacciones del sector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4"/>
              </a:graphicData>
            </a:graphic>
          </wp:inline>
        </w:drawing>
      </w:r>
    </w:p>
    <w:p>
      <w:pPr>
        <w:spacing w:after="100"/>
      </w:pPr>
      <w:r>
        <w:t xml:space="preserve">Cuatro operaciones de HCM y nóminas entre 2019 y 2025 con valor publicado; tres con múltiplo de ventas. Las dos compras de 2025 (Dayforce y Paycor) se pagaron a unas 6,3 veces ventas, con primas del 32 % y del 19 % [13, 67, 68, 69, 70, 71]. En la opinión de Evercore para Dayforce, las transacciones de software de HCM desde 2019 dan una mediana de 19,1 veces el EBITDA ajustado y de 6,3 veces los ingresos de los últimos 12 meses [70].</w:t>
      </w:r>
    </w:p>
    <w:p>
      <w:pPr>
        <w:pStyle w:val="Heading1"/>
      </w:pPr>
      <w:r>
        <w:t xml:space="preserve">20. Descuento de flujos de caja (DCF)</w:t>
      </w:r>
    </w:p>
    <w:p>
      <w:pPr>
        <w:pStyle w:val="Confianza"/>
        <w:spacing w:after="100"/>
      </w:pPr>
      <w:r>
        <w:t xml:space="preserve">Confianza: Media</w:t>
      </w:r>
    </w:p>
    <w:p>
      <w:pPr>
        <w:pStyle w:val="Heading2"/>
      </w:pPr>
      <w:r>
        <w:t xml:space="preserve">Supuestos y su justificación</w:t>
      </w:r>
    </w:p>
    <w:p>
      <w:pPr>
        <w:keepNext/>
        <w:spacing w:after="100"/>
      </w:pPr>
      <w:r>
        <w:rPr>
          <w:b/>
          <w:bCs/>
        </w:rPr>
        <w:t xml:space="preserve">Crecimiento de ingresos.</w:t>
      </w:r>
    </w:p>
    <w:p>
      <w:pPr>
        <w:spacing w:after="100"/>
      </w:pPr>
      <w:r>
        <w:t xml:space="preserve">Ingresos +5,5 % en FY2027e y FY2028e, +5,0 % en FY2029e y bajando al 3,5 % en FY2033e-FY2034e: un 4,5 % medio. FY2027e coincide con el punto medio de la guía (+5-6 %) y con el consenso (6.864 M USD) [3, 54]. El crecimiento orgánico de FY2026 fue del +4,9 % y el del 1T27 del +5,9 %, con Management Solutions al +4 % y PEO al +12 % [1, 3]. Entre FY2017 y FY2024, sin grandes compras salvo Oasis, los ingresos crecieron un 7,6 % anual (estimación propia), ayudados por la subida de tipos de FY2023 [9]. Proyectamos menos que esa historia porque el empleo privado crece poco (+0,4 % en 2025) y la retención de clientes es del 82-83 % [1, 21].</w:t>
      </w:r>
    </w:p>
    <w:p>
      <w:pPr>
        <w:keepNext/>
        <w:spacing w:after="100"/>
      </w:pPr>
      <w:r>
        <w:rPr>
          <w:b/>
          <w:bCs/>
        </w:rPr>
        <w:t xml:space="preserve">Márgenes.</w:t>
      </w:r>
    </w:p>
    <w:p>
      <w:pPr>
        <w:spacing w:after="100"/>
      </w:pPr>
      <w:r>
        <w:t xml:space="preserve">Margen EBITDA del 47,0 % en FY2027e y del 47,5 % desde FY2028e, frente al 46,3 % de FY2026 (con los costes de adquisición devueltos) y al 45,3-45,6 % de FY2024-FY2025. Es el del consenso (47,1 % y 47,7 %) [54] y equivale a la guía de margen operativo ajustado del ~44 % más las amortizaciones que no son de intangibles comprados [3]. Las sinergias de Paycor y la IA aplicada al servicio permiten algo de mejora; no proyectamos más porque los intereses de los fondos (210,9 M USD, con margen casi del 100 %) dependen de los tipos y la guía ya los baja a 200-210 M USD [1, 3].</w:t>
      </w:r>
    </w:p>
    <w:p>
      <w:pPr>
        <w:keepNext/>
        <w:spacing w:after="100"/>
      </w:pPr>
      <w:r>
        <w:rPr>
          <w:b/>
          <w:bCs/>
        </w:rPr>
        <w:t xml:space="preserve">Inversión y circulante.</w:t>
      </w:r>
    </w:p>
    <w:p>
      <w:pPr>
        <w:spacing w:after="100"/>
      </w:pPr>
      <w:r>
        <w:t xml:space="preserve">Capex del 5,3 % de las ventas en FY2027e que baja al 5,0 %: el 4,3 % del inmovilizado y otros activos de FY2026 [1] más el exceso de las comisiones de venta activadas sobre su amortización (342,5 frente a 249,2 M USD en FY2026, el 1,4 % de las ventas), que el EBITDA no recoge [1]. Amortizaciones del 6,3 % al 4,5 %: hoy incluyen 242,0 M USD de intangibles de Paycor que se irán agotando [1]. Circulante del 20,8 % de las ventas, el de FY2026, que incluye las cuentas compradas del negocio de financiación. Tipo impositivo del 24 %, el de la guía [3].</w:t>
      </w:r>
    </w:p>
    <w:p>
      <w:pPr>
        <w:keepNext/>
        <w:spacing w:after="100"/>
      </w:pPr>
      <w:r>
        <w:rPr>
          <w:b/>
          <w:bCs/>
        </w:rPr>
        <w:t xml:space="preserve">Coste del capital.</w:t>
      </w:r>
    </w:p>
    <w:p>
      <w:pPr>
        <w:spacing w:after="100"/>
      </w:pPr>
      <w:r>
        <w:t xml:space="preserve">WACC del 9,50 %: tasa libre del 5,22 % (bono a 10 años de EE. UU. del 8-oct-2026) [57], beta ajustada de 0,90 (mensual a cinco años frente al SPY: 0,85 sin ajustar) [52], prima de mercado del 5,5 % y sin prima adicional. Coste de los fondos propios del 10,17 %; deuda al 5,24 % (cupón medio de los bonos, con valor razonable del 99,7 % del contable) y 3,98 % después de impuestos, con un peso del 10,9 % a valor de mercado [2]. Con la prima implícita del mercado (4,20 %) [58], el WACC sería del 8,45 %.</w:t>
      </w:r>
    </w:p>
    <w:p>
      <w:pPr>
        <w:keepNext/>
        <w:spacing w:after="100"/>
      </w:pPr>
      <w:r>
        <w:rPr>
          <w:b/>
          <w:bCs/>
        </w:rPr>
        <w:t xml:space="preserve">Valor terminal.</w:t>
      </w:r>
    </w:p>
    <w:p>
      <w:pPr>
        <w:spacing w:after="100"/>
      </w:pPr>
      <w:r>
        <w:t xml:space="preserve">Gordon con un crecimiento del 3,0 %: entre la inflación esperada en EE. UU. y la tasa libre menos medio punto, y por debajo del crecimiento nominal del empleo y los salarios que mueve los ingresos. Equivale a 10,5x el EBITDA del último año, por debajo de la mediana de comparables de 12,5x y de los 12,7-23,8x a los que ha cotizado Paychex en los últimos diez años: con un WACC del 9,50 % y sin apenas inversión, el terminal vale unas 1/(WACC − g) veces el NOPAT. El valor terminal pesa el 63 % del total.</w:t>
      </w:r>
    </w:p>
    <w:p>
      <w:pPr>
        <w:pStyle w:val="Heading2"/>
      </w:pPr>
      <w:r>
        <w:t xml:space="preserve">Coste medio ponderado del capital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Componente</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Tasa libre de riesgo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5,22 %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Beta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0,90</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de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adicional (país, tamaño, específica)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los fondos propios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10,17 %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antes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5,24 %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después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3,98 %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Peso de la deuda (D / (D + E))</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WACC</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implícita del mercado (regla relativa)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WACC con la prima implícita del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8,45 %</w:t>
            </w:r>
          </w:p>
        </w:tc>
      </w:tr>
    </w:tbl>
    <w:p>
      <w:pPr>
        <w:spacing w:after="160" w:before="0"/>
      </w:pPr>
    </w:p>
    <w:p>
      <w:pPr>
        <w:pStyle w:val="Heading2"/>
      </w:pPr>
      <w:r>
        <w:t xml:space="preserve">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81"/>
        <w:gridCol w:w="937"/>
        <w:gridCol w:w="729"/>
        <w:gridCol w:w="885"/>
        <w:gridCol w:w="833"/>
        <w:gridCol w:w="781"/>
        <w:gridCol w:w="833"/>
        <w:gridCol w:w="781"/>
        <w:gridCol w:w="729"/>
        <w:gridCol w:w="833"/>
        <w:gridCol w:w="729"/>
        <w:gridCol w:w="787"/>
      </w:tblGrid>
      <w:tr>
        <w:trPr>
          <w:cantSplit/>
          <w:tblHeader/>
        </w:trPr>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93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Amort.</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Impuestos</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Δ Circ.</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FCFF</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Fracción</w:t>
            </w:r>
          </w:p>
        </w:tc>
        <w:tc>
          <w:tcPr>
            <w:tcW w:type="dxa" w:w="78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FY2027e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6.870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3.229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671</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2.118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0,63</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1.301</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FY2028e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7.248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3.443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725</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2.262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2.041</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FY2029e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7.610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3.615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771</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2.373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1.954</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FY2030e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7.976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3.788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815</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2.490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1.873</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FY2031e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8.335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3.959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858</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2.601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1.787</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FY2032e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8.668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4.117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895</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2.720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1.707</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FY2033e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8.971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4.261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926</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2.824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1.618</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FY2034e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9.285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4.411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47,5 %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958</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464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2.923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1.529</w:t>
            </w:r>
          </w:p>
        </w:tc>
      </w:tr>
    </w:tbl>
    <w:p>
      <w:pPr>
        <w:spacing w:after="160" w:before="0"/>
      </w:pPr>
    </w:p>
    <w:p>
      <w:pPr>
        <w:pStyle w:val="Nota"/>
        <w:spacing w:after="100"/>
      </w:pPr>
      <w:r>
        <w:t xml:space="preserve">FCFF = EBIT × (1 − t) + amortizaciones − capex − variación del circulante. «Fracción» es la parte del ejercicio que queda por delante desde la fecha de valoración; VA, el valor actual.</w:t>
      </w:r>
    </w:p>
    <w:p>
      <w:pPr>
        <w:keepNext w:val="false"/>
        <w:spacing w:after="160" w:before="120"/>
        <w:jc w:val="center"/>
      </w:pPr>
      <w:r>
        <w:drawing>
          <wp:inline xmlns:wp="http://schemas.openxmlformats.org/drawingml/2006/wordprocessingDrawing" distT="0" distB="0" distL="0" distR="0">
            <wp:extent cx="5760000" cy="2160000"/>
            <wp:effectExtent l="0" t="0" r="0" b="0"/>
            <wp:docPr id="1025" name="Gráfico 25" descr="Flujo de caja libre para la empresa proyectado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5"/>
              </a:graphicData>
            </a:graphic>
          </wp:inline>
        </w:drawing>
      </w:r>
    </w:p>
    <w:p>
      <w:pPr>
        <w:pStyle w:val="Heading2"/>
      </w:pPr>
      <w:r>
        <w:t xml:space="preserve">Valor terminal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Método principal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Crecimiento a perpetuidad</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a perpetuidad</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EV/EBITDA de salida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46.346</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57.337</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de salida implícito en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implícito en el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4,18 %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en el 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63 %</w:t>
            </w:r>
          </w:p>
        </w:tc>
      </w:tr>
    </w:tbl>
    <w:p>
      <w:pPr>
        <w:spacing w:after="160" w:before="0"/>
      </w:pPr>
    </w:p>
    <w:p>
      <w:pPr>
        <w:pStyle w:val="Heading2"/>
      </w:pPr>
      <w:r>
        <w:t xml:space="preserve">Del valor empresa al valor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 los flujos proyectados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13.810</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del valor terminal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23.189</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36.999</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Deuda financiera neta (con arrendamientos)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-3.624</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Minoritarios, pensiones y otros; + asociadas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de los fondos propios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33.375</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Acciones diluidas (millones)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356,8</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por acción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93,54</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6" name="Gráfico 26" descr="De dónde sale el valor empresa del DCF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6"/>
              </a:graphicData>
            </a:graphic>
          </wp:inline>
        </w:drawing>
      </w:r>
    </w:p>
    <w:p>
      <w:pPr>
        <w:pStyle w:val="Heading2"/>
      </w:pPr>
      <w:r>
        <w:t xml:space="preserve">Sensibilidad: WACC × Crecimiento a perpetuidad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WACC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2,5 %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3,5 %</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4,0 %</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8,5 %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98,89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105,01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112,25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120,94</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131,55</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9,0 %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91,08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96,17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102,11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109,13</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117,56</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9,5 %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84,32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88,60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93,54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99,30</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106,11</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10,0 %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78,42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86,20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91,00</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96,59</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10,5 %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73,22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76,33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79,85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83,88</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88,53</w:t>
            </w:r>
          </w:p>
        </w:tc>
      </w:tr>
    </w:tbl>
    <w:p>
      <w:pPr>
        <w:spacing w:after="160" w:before="0"/>
      </w:pPr>
    </w:p>
    <w:p>
      <w:pPr>
        <w:pStyle w:val="Heading2"/>
      </w:pPr>
      <w:r>
        <w:t xml:space="preserve">Sensibilidad: margen EBITDA × crecimiento de ingresos (desplazamiento de toda la 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Margen \ crec.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0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77,81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83,02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88,52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94,34</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100,49</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80,02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85,37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91,03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97,02</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103,34</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0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82,23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87,73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93,54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99,69</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106,19</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84,44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90,08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102,37</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109,04</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86,65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92,44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98,56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105,04</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111,89</w:t>
            </w:r>
          </w:p>
        </w:tc>
      </w:tr>
    </w:tbl>
    <w:p>
      <w:pPr>
        <w:spacing w:after="160" w:before="0"/>
      </w:pPr>
    </w:p>
    <w:p>
      <w:pPr>
        <w:pStyle w:val="Heading2"/>
      </w:pPr>
      <w:r>
        <w:t xml:space="preserve">¿Puede la empresa sostener el crecimiento previsto?</w:t>
      </w:r>
    </w:p>
    <w:p>
      <w:pPr>
        <w:spacing w:after="100"/>
      </w:pPr>
      <w:r>
        <w:rPr>
          <w:b/>
          <w:bCs/>
        </w:rPr>
        <w:t xml:space="preserve">Veredicto: Sí.</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646"/>
        <w:gridCol w:w="2992"/>
      </w:tblGrid>
      <w:tr>
        <w:trPr>
          <w:cantSplit/>
          <w:tblHeader/>
        </w:trPr>
        <w:tc>
          <w:tcPr>
            <w:tcW w:type="dxa" w:w="664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Prueba</w:t>
            </w:r>
          </w:p>
        </w:tc>
        <w:tc>
          <w:tcPr>
            <w:tcW w:type="dxa" w:w="29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medio de ingresos proyectado</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Capex bruto medio (incluidas compras si van como inversión)</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5,1 % de las ventas</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Reinversión neta acumulada (capex − amortización + circulante)</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651 M (3 % del NOPAT)</w:t>
            </w:r>
          </w:p>
        </w:tc>
      </w:tr>
    </w:tbl>
    <w:p>
      <w:pPr>
        <w:spacing w:after="160" w:before="0"/>
      </w:pPr>
    </w:p>
    <w:p>
      <w:pPr>
        <w:spacing w:after="100"/>
      </w:pPr>
      <w:r>
        <w:t xml:space="preserve">La proyección apenas necesita inversión neta de la amortización (reinversión acumulada de 651 M, el 3 % del NOPAT, con un capex bruto medio del 5,1 % de las ventas). En un negocio de activos ligeros, el crecimiento medio del 4,5 % tiene que salir de subir precios y de ganar volumen sin capital nuevo, y la prueba es el poder de precios y la cuota; en un comprador en serie, la amortización es de intangibles comprados y la prueba es el capex bruto (las compras) frente al crecimiento comprado.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28"/>
        <w:gridCol w:w="1028"/>
        <w:gridCol w:w="1028"/>
        <w:gridCol w:w="1285"/>
        <w:gridCol w:w="1156"/>
        <w:gridCol w:w="4113"/>
      </w:tblGrid>
      <w:tr>
        <w:trPr>
          <w:cantSplit/>
          <w:tblHeader/>
        </w:trPr>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Volumen</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2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Otros (mezcla, compras)</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41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FY2027e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empleados en ASO y PEO +6 % (2,6 millones) y base de clientes de nóminas estable en ~800.000 [1]. Precio: la realización de precios explica el mayor ingreso por cliente de Management Solutions [3]. Otros: más módulos por cliente y PEO con seguros (+12 % en el 1T27), menos los intereses de fondos (200-210 M USD frente a 210,9 M) [3].</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FY2028e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Mismo patrón: subidas de tarifa de un 3 % en línea con la historia y venta cruzada de Paycor a la base de Paychex y de RR. HH. a los clientes de nóminas; el empleo de las pymes aporta poco (+0,4 % de empleo privado en 2025) [21].</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FY2029e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precio se modera hacia la inflación; el volumen depende de captar clientes a Gusto, Rippling o ADP con una retención del 82-83 % [1].</w:t>
            </w:r>
          </w:p>
        </w:tc>
      </w:tr>
    </w:tbl>
    <w:p>
      <w:pPr>
        <w:spacing w:after="160" w:before="0"/>
      </w:pPr>
    </w:p>
    <w:p>
      <w:pPr>
        <w:spacing w:after="100"/>
      </w:pPr>
      <w:r>
        <w:t xml:space="preserve">La calidad de Paychex sostiene el 4,5 % anual que proyectamos: es menos que el crecimiento orgánico de FY2026 (+4,9 %) y del 1T27 (+5,9 %) y que el 7,6 % anual de FY2017-FY2024 [1, 3, 9]. Apenas necesita capital (reinversión neta del 3 % del NOPAT) y el ROIC del 26,8 % casi triplica el WACC. El crecimiento sale del precio y de vender más módulos, y la empresa ha demostrado poder de precios: Management Solutions creció en el 1T27 por mayor ingreso por cliente [3]. La prueba de cuota no se puede hacer: la empresa publica la suya en trabajadores pagados (1 de cada 11) y no en ingresos sobre un mercado medido. El límite está en el volumen: la base de clientes no crece y la retención es del 82-83 % [1].</w:t>
      </w:r>
    </w:p>
    <w:p>
      <w:pPr>
        <w:pStyle w:val="Heading2"/>
      </w:pPr>
      <w:r>
        <w:t xml:space="preserve">DCF inverso: qué descuenta el precio actual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47"/>
        <w:gridCol w:w="5591"/>
      </w:tblGrid>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implícito en el precio (FY2027e-FY2034e)</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6,2 % (base: 4,5 %)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final implícito</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51,7 % (base: 47,5 %)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anual implícita (TIR al precio actual)</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8,9 % (WACC: 9,5 %)</w:t>
            </w:r>
          </w:p>
        </w:tc>
      </w:tr>
    </w:tbl>
    <w:p>
      <w:pPr>
        <w:spacing w:after="160" w:before="0"/>
      </w:pPr>
    </w:p>
    <w:p>
      <w:pPr>
        <w:spacing w:after="100"/>
      </w:pPr>
      <w:r>
        <w:t xml:space="preserve">El DCF da 93,54 USD por acción, un 10,0 % por debajo del precio de 103,98 USD, con un valor terminal del 63 % del total. Nuestra proyección coincide con el consenso al 0,3 % en ingresos y EBITDA de FY2027e-FY2029e, así que la diferencia no está en las cifras sino en la tasa: el precio descuenta una rentabilidad del 8,9 % anual frente a un WACC del 9,50 %. Dicho de otra forma, con nuestro WACC el precio pide un crecimiento del 6,2 % anual en FY2027e-FY2034e (frente al 4,5 % de nuestro caso base) o un margen EBITDA del 51,7 % (frente al 47,5 %). Ni una cosa ni otra tiene precedente reciente: el crecimiento orgánico es del 5-6 % y el margen nunca ha pasado del 46,3 %. Con la prima de riesgo que hoy pide el mercado (4,20 %, WACC del 8,45 %), el DCF sube a 113,20 USD. La lectura es que el precio no es exigente en cifras, cotiza en el percentil 10 de su propio EV/EBITDA de diez años, pero tampoco tiene margen de seguridad con el bono de EE. UU. al 5,22 %.</w:t>
      </w:r>
    </w:p>
    <w:p>
      <w:pPr>
        <w:pStyle w:val="Heading1"/>
      </w:pPr>
      <w:r>
        <w:t xml:space="preserve">21. Escenarios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82"/>
        <w:gridCol w:w="649"/>
        <w:gridCol w:w="866"/>
        <w:gridCol w:w="866"/>
        <w:gridCol w:w="758"/>
        <w:gridCol w:w="866"/>
        <w:gridCol w:w="866"/>
        <w:gridCol w:w="3685"/>
      </w:tblGrid>
      <w:tr>
        <w:trPr>
          <w:cantSplit/>
          <w:tblHeader/>
        </w:trPr>
        <w:tc>
          <w:tcPr>
            <w:tcW w:type="dxa" w:w="10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64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Prob.</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medio</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final</w:t>
            </w:r>
          </w:p>
        </w:tc>
        <w:tc>
          <w:tcPr>
            <w:tcW w:type="dxa" w:w="7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WACC</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36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tiene que ocurrir</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67,05</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-35,5 %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IA y los rivales nativos en la nube (Gusto, Rippling) aprietan los precios de las nóminas de las pymes, la retención baja del 82 % y un año de recesión en FY2028 recorta el empleo de los clientes, como en FY2010, cuando los ingresos cayeron un 3,9 % [9]. La Reserva Federal baja tipos y los intereses de los fondos se reducen. Crecimiento medio del 1,6 % en la proyección y margen del 45,5 %.</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47,5 %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93,54</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Management Solutions vuelve al +5 % con precio y venta cruzada de Paycor, la PEO sigue al 7-8 % y el margen EBITDA sube al 47,5 % con las sinergias; crecimiento medio del 4,5 %, en línea con la guía y el consenso [3, 54].</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48,5 %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9,2 %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113,78</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+9,4 %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WISE y los agentes de IA suben el ingreso por cliente y la retención, Paycor gana cuota en la empresa mediana frente a Paycom y Paylocity, y el crecimiento vuelve al 6-7 % de antes de 2024; margen del 48,5 % y un WACC un cuarto de punto menor.</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7" name="Gráfico 27" descr="Valor por acción por escenario (USD) · precio actual 103,98"/>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7"/>
              </a:graphicData>
            </a:graphic>
          </wp:inline>
        </w:drawing>
      </w:r>
    </w:p>
    <w:p>
      <w:pPr>
        <w:spacing w:after="100"/>
      </w:pPr>
      <w:r>
        <w:rPr>
          <w:b/>
          <w:bCs/>
        </w:rPr>
        <w:t xml:space="preserve">Valor ponderado por probabilidad:</w:t>
      </w:r>
      <w:r>
        <w:t xml:space="preserve"> 90,97 USD (-12,5 %).</w:t>
      </w:r>
    </w:p>
    <w:p>
      <w:pPr>
        <w:spacing w:after="100"/>
      </w:pPr>
      <w:r>
        <w:t xml:space="preserve">La asimetría es mala con nuestro WACC: el alcista gana un 9,4 % (113,78 USD) y el bajista pierde un 35,5 % (67,05 USD), una relación de 0,26x. El bajista es verosímil, porque mezcla dos cosas que ya han pasado (la caída de ingresos de FY2010 y la presión de precio de rivales en la nube) con el riesgo nuevo de la IA, y aun así deja la acción por encima del mínimo de 85,45 USD de abril solo en el caso base [52]. Con la prima del mercado (4,20 %) el cuadro cambia: alcista de 140,02 USD y bajista de 79,14 USD, asimetría de 1,45x. La conclusión depende más del coste de capital que de las cifras.</w:t>
      </w:r>
    </w:p>
    <w:p>
      <w:pPr>
        <w:pStyle w:val="Heading1"/>
      </w:pPr>
      <w:r>
        <w:t xml:space="preserve">22. Suma de partes</w:t>
      </w:r>
    </w:p>
    <w:p>
      <w:pPr>
        <w:pStyle w:val="Confianza"/>
        <w:spacing w:after="100"/>
      </w:pPr>
      <w:r>
        <w:t xml:space="preserve">Confianza: Media</w:t>
      </w:r>
    </w:p>
    <w:p>
      <w:pPr>
        <w:spacing w:after="100"/>
      </w:pPr>
      <w:r>
        <w:t xml:space="preserve">No aplica: Paychex reporta un solo segmento operativo y no publica resultado por línea de ingresos [1]. Management Solutions y PEO comparten clientes, comercial y plataforma, y los intereses de los fondos (210,9 M USD) son un subproducto del proceso de nóminas, no un negocio separable.</w:t>
      </w:r>
    </w:p>
    <w:p>
      <w:pPr>
        <w:spacing w:after="160" w:before="0"/>
      </w:pPr>
    </w:p>
    <w:p>
      <w:pPr>
        <w:pStyle w:val="Heading1"/>
      </w:pPr>
      <w:r>
        <w:t xml:space="preserve">23. Síntesis de valoración</w:t>
      </w:r>
    </w:p>
    <w:p>
      <w:pPr>
        <w:pStyle w:val="Confianza"/>
        <w:spacing w:after="100"/>
      </w:pPr>
      <w:r>
        <w:t xml:space="preserve">Confianza: Media</w:t>
      </w:r>
    </w:p>
    <w:p>
      <w:pPr>
        <w:keepNext w:val="false"/>
        <w:spacing w:after="160" w:before="120"/>
        <w:jc w:val="center"/>
      </w:pPr>
      <w:r>
        <w:drawing>
          <wp:inline xmlns:wp="http://schemas.openxmlformats.org/drawingml/2006/wordprocessingDrawing" distT="0" distB="0" distL="0" distR="0">
            <wp:extent cx="5760000" cy="2880000"/>
            <wp:effectExtent l="0" t="0" r="0" b="0"/>
            <wp:docPr id="1028" name="Gráfico 28" descr="Valor por acción según cada método (USD) · precio actual 103,98"/>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606"/>
        <w:gridCol w:w="1606"/>
        <w:gridCol w:w="1607"/>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Central</w:t>
            </w:r>
          </w:p>
        </w:tc>
        <w:tc>
          <w:tcPr>
            <w:tcW w:type="dxa" w:w="16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Cotización 52 semanas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85,45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103,98</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129,24</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objetivo de los analistas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96,00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113,93</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150,00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EV/EBITDA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85,01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105,90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130,27</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PER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112,33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118,74</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136,68</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 (EV/ventas)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106,70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106,79</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140,84</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(WACC y g ± 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93,54</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109,13</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Escenarios (bajista – alcista)</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90,97</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113,78</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con la prima del mercado</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102,90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113,20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125,58</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actual</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103,46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103,98</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104,50</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93,54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112,32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106,79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90,97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-12,5 %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r>
    </w:tbl>
    <w:p>
      <w:pPr>
        <w:spacing w:after="160" w:before="0"/>
      </w:pPr>
    </w:p>
    <w:p>
      <w:pPr>
        <w:spacing w:after="100"/>
      </w:pPr>
      <w:r>
        <w:rPr>
          <w:b/>
          <w:bCs/>
        </w:rPr>
        <w:t xml:space="preserve">Valor intrínseco ponderado (largo plazo):</w:t>
      </w:r>
      <w:r>
        <w:t xml:space="preserve"> 97,19 USD (-6,5 % sobre 103,98).</w:t>
      </w:r>
    </w:p>
    <w:p>
      <w:pPr>
        <w:spacing w:after="100"/>
      </w:pPr>
      <w:r>
        <w:t xml:space="preserve">El DCF pesa un 45 % porque el negocio es recurrente, apenas necesita capital y la proyección coincide con el consenso; los escenarios un 30 % para recoger la asimetría; los comparables un 20 %, por su fragilidad (mediana de 10,4x a 14,6x) y su heterogeneidad; y las transacciones un 5 %, porque llevan prima de control (Dayforce pagó una prima del 32 % y Paycor del 19 %) y no hay indicios de una operación sobre Paychex [67, 69]. La dispersión es amplia: del 90,97 USD de los escenarios al 112,32 USD de los comparables. El valor objetivo de 97,19 USD queda un 6,5 % por debajo del precio; con la prima del mercado, en 111,76 USD (+7,5 %). Los fondos de clientes no suman: 4.348,4 M USD de fondos frente a 4.440,7 M USD de obligaciones dejan un neto de −92,3 M USD (−0,26 USD por acción), que no se ajusta [2].</w:t>
      </w:r>
    </w:p>
    <w:p>
      <w:pPr>
        <w:pStyle w:val="Heading2"/>
      </w:pPr>
      <w:r>
        <w:t xml:space="preserve">Objetivo a 12 meses: nuestro PER × nuestro BPA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76"/>
        <w:gridCol w:w="1101"/>
        <w:gridCol w:w="963"/>
        <w:gridCol w:w="3579"/>
        <w:gridCol w:w="1239"/>
        <w:gridCol w:w="1380"/>
      </w:tblGrid>
      <w:tr>
        <w:trPr>
          <w:cantSplit/>
          <w:tblHeader/>
        </w:trPr>
        <w:tc>
          <w:tcPr>
            <w:tcW w:type="dxa" w:w="13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110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w:t>
            </w:r>
          </w:p>
        </w:tc>
        <w:tc>
          <w:tcPr>
            <w:tcW w:type="dxa" w:w="35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 el PER</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3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Rentabilidad</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5,52</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base × 0.8</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91,08</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6,02</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20,7x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PER actual (18.8x) × 1.1 (tope: la mediana de 5 años, 26.3x, queda más lejos)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124,61</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+24,2 %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6,36</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26,4x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media histórica larga</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167,90</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+65,8 %</w:t>
            </w:r>
          </w:p>
        </w:tc>
      </w:tr>
    </w:tbl>
    <w:p>
      <w:pPr>
        <w:spacing w:after="160" w:before="0"/>
      </w:pPr>
    </w:p>
    <w:p>
      <w:pPr>
        <w:spacing w:after="100"/>
      </w:pPr>
      <w:r>
        <w:rPr>
          <w:b/>
          <w:bCs/>
        </w:rPr>
        <w:t xml:space="preserve">Objetivo a 12 meses (ponderado):</w:t>
      </w:r>
      <w:r>
        <w:t xml:space="preserve"> 124,89 USD · rentabilidad +24,5 % (base +24,2 %) · señal Mantener.</w:t>
      </w:r>
    </w:p>
    <w:p>
      <w:pPr>
        <w:spacing w:after="100"/>
      </w:pPr>
      <w:r>
        <w:t xml:space="preserve">Para comparar, con la regla v2 (historia al cierre, mismo precio): 16,0x / 18,8x / 24,4x, 15,3 % Mantener; con el tope anterior del base (×1,3, 14-oct mediodía): 31,0 % Mantener. Decide la regla vigente (v3 con tope ×1,1; METODO-VIGENTE.md).</w:t>
      </w:r>
    </w:p>
    <w:p>
      <w:pPr>
        <w:keepNext/>
        <w:spacing w:after="100"/>
      </w:pPr>
      <w:r>
        <w:rPr>
          <w:b/>
          <w:bCs/>
        </w:rPr>
        <w:t xml:space="preserve">Frente al consenso (solo contraste).</w:t>
      </w:r>
    </w:p>
    <w:p>
      <w:pPr>
        <w:spacing w:after="100"/>
      </w:pPr>
      <w:r>
        <w:t xml:space="preserve">Nuestro BPA base de FY2028e (6,02) se separa un -0,2 % del consenso (6,03) y nuestro precio base (113,18) un -0,7 % del objetivo medio de los analistas (113,93). No se acerca la cifra: el porqué (ventas, margen, base de BPA o múltiplo) está en el contraste con el consenso de revision-12m-2026-10-13.md.</w:t>
      </w:r>
    </w:p>
    <w:p>
      <w:pPr>
        <w:keepNext/>
        <w:spacing w:after="100"/>
      </w:pPr>
      <w:r>
        <w:rPr>
          <w:b/>
          <w:bCs/>
        </w:rPr>
        <w:t xml:space="preserve">Del valor intrínseco al objetivo a 12 meses.</w:t>
      </w:r>
    </w:p>
    <w:p>
      <w:pPr>
        <w:spacing w:after="100"/>
      </w:pPr>
      <w:r>
        <w:t xml:space="preserve">Valor intrínseco 97,19 (-6,5 %) frente al objetivo a 12 meses ponderado 115,37 (+15,3 % con dividendo; base +13,2 %). La distancia es menor del 25 %.</w:t>
      </w:r>
    </w:p>
    <w:p>
      <w:r>
        <w:br w:type="page"/>
      </w:r>
    </w:p>
    <w:p>
      <w:pPr>
        <w:pStyle w:val="Parte"/>
      </w:pPr>
      <w:r>
        <w:t xml:space="preserve">Parte V — Tesis, riesgos y seguimiento</w:t>
      </w:r>
    </w:p>
    <w:p>
      <w:pPr>
        <w:pStyle w:val="Heading1"/>
      </w:pPr>
      <w:r>
        <w:t xml:space="preserve">24. Catalizadores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89"/>
        <w:gridCol w:w="3093"/>
        <w:gridCol w:w="3569"/>
        <w:gridCol w:w="832"/>
        <w:gridCol w:w="955"/>
      </w:tblGrid>
      <w:tr>
        <w:trPr>
          <w:cantSplit/>
          <w:tblHeader/>
        </w:trPr>
        <w:tc>
          <w:tcPr>
            <w:tcW w:type="dxa" w:w="11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0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Evento</w:t>
            </w:r>
          </w:p>
        </w:tc>
        <w:tc>
          <w:tcPr>
            <w:tcW w:type="dxa" w:w="356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sabrá</w:t>
            </w:r>
          </w:p>
        </w:tc>
        <w:tc>
          <w:tcPr>
            <w:tcW w:type="dxa" w:w="8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9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Sentido</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15-oct-2026</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Junta de accionistas (voto de remuneración y salida de Kara Wilson del consejo)</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Say-on-pay con un 94-96 % a favor en 2023-2025; sin sorpresa prevista [34, 37].</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Hacia el 18-dic-2026 (fecha no anunciada)</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del 2T FY2027</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empresa anticipa ingresos +4 % y margen ajustado ~40 % [11]; un Management Solutions por debajo del 4 % confirmaría la desaceleración.</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Enero de 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Campaña de altas de comienzo de año natural</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Las altas de clientes se concentran en el 3T fiscal; la dirección mostró cautela con las campañas de octubre y enero [1, 11].</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Finales de marzo de 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del 3T FY2027 (el trimestre de más margen)</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Primera lectura de la retención y del crecimiento de clientes del ejercicio.</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Finales de junio de 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 FY2027 y guía de FY2028</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Una guía de ingresos de +5-6 % sostendría la tesis; +4 % o menos la rompería [3].</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Septiembre de 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Vencimiento del acuerdo preferente con el AICPA</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Más de la mitad de los clientes de nóminas llegan por contables y otros referentes [1].</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Reuniones de la Fed (dic-2026 a jun-2027)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Decisiones de tipos de interés</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 pb mueven el beneficio neto unos 4,5-5,0 M USD al año [1]: efecto pequeño.</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r>
    </w:tbl>
    <w:p>
      <w:pPr>
        <w:spacing w:after="160" w:before="0"/>
      </w:pPr>
    </w:p>
    <w:p>
      <w:pPr>
        <w:pStyle w:val="Heading1"/>
      </w:pPr>
      <w:r>
        <w:t xml:space="preserve">25. Riesgos y pre-mortem</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19"/>
        <w:gridCol w:w="2095"/>
        <w:gridCol w:w="942"/>
        <w:gridCol w:w="628"/>
        <w:gridCol w:w="733"/>
        <w:gridCol w:w="1047"/>
        <w:gridCol w:w="1885"/>
        <w:gridCol w:w="1889"/>
      </w:tblGrid>
      <w:tr>
        <w:trPr>
          <w:cantSplit/>
          <w:tblHeader/>
        </w:trPr>
        <w:tc>
          <w:tcPr>
            <w:tcW w:type="dxa" w:w="4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Riesgo</w:t>
            </w:r>
          </w:p>
        </w:tc>
        <w:tc>
          <w:tcPr>
            <w:tcW w:type="dxa" w:w="9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6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Impacto</w:t>
            </w:r>
          </w:p>
        </w:tc>
        <w:tc>
          <w:tcPr>
            <w:tcW w:type="dxa" w:w="10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 en valor</w:t>
            </w:r>
          </w:p>
        </w:tc>
        <w:tc>
          <w:tcPr>
            <w:tcW w:type="dxa" w:w="1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Mitigante</w:t>
            </w:r>
          </w:p>
        </w:tc>
        <w:tc>
          <w:tcPr>
            <w:tcW w:type="dxa" w:w="18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 de alerta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Presión de precios y de cuota por la IA y los rivales en la nube (Gusto, Rippling, Deel, el propio ADP)</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Competencia y tecnología</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−20 % a −35 % (escenario bajista: −35,5 %)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del 38,6 % GAAP, el más alto del sector, que da espacio para competir en precio; WISE y WISE Hire como respuesta [1, 22].</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Retención de clientes por debajo del 80 % o Management Solutions por debajo del +3 %.</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Desaceleración de Management Solutions (+4 % en el 1T27, por debajo de lo previsto)</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Operativo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−10 % por cada punto menos de crecimiento sostenido (estimación propia con el DCF)</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PEO crece al +12 % y la guía de +5-6 % se mantuvo [3].</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Guía de FY2028 por debajo del +5 % en junio de 2027.</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Recesión y empleo de las pymes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Ciclo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−10 % a −15 % (un año como FY2010: ingresos −3,9 %) (estimación propia)</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muy recurrentes: en 2020 crecieron un 0,4 % con el empleo privado cayendo un 6,3 % [9, 21].</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Empleo privado en negativo varios meses o empleados por cliente a la baja.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capital: bono de EE. UU. al 5,22 % y prima de riesgo</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Mercado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−8 % por cada medio punto más de WACC (sensibilidad del DCF)</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Más tipos suben también los intereses de los fondos de clientes [1].</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Bono a 10 años por encima del 5,5 %.</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Dividendo con payout del 91 % y deuda de 4.600 M USD tras Paycor</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Financiero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−5 % a −10 % si se frena el dividendo (estimación propia)</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Deuda neta de 1,2 veces el EBITDA, rating Baa1/BBB+ y primer vencimiento en 2029 [1, 10].</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Flujo operativo semestral por debajo de los dividendos pagados en diciembre.</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Integración de Paycor y deterioro del fondo de comercio (4.527,4 M USD)</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Asignación de capital</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−5 % (sin efecto en caja salvo pérdida de clientes)</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Sinergias por encima del objetivo según la dirección [12].</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Pérdida de clientes de Paycor o deterioro en el test anual.</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7</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Seguridad de datos de 13 millones de trabajadores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Operativo y reputacional</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−5 % a −15 % según el alcance (estimación propia)</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demanda colectiva por el incidente de 2024 se desestimó en octubre de 2025 [31].</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Incidente comunicado en un 8-K o pérdida de clientes grandes.</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8</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Siniestralidad de la PEO (seguros de salud y accidentes de trabajo)</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Seguros</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−2 % a −4 % (estimación propia)</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Reservas de 237,7 M USD estimadas con actuario independiente [1].</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Margen de PEO e Insurance a la baja con ingresos al alza.</w:t>
            </w:r>
          </w:p>
        </w:tc>
      </w:tr>
    </w:tbl>
    <w:p>
      <w:pPr>
        <w:spacing w:after="160" w:before="0"/>
      </w:pPr>
    </w:p>
    <w:p>
      <w:pPr>
        <w:pStyle w:val="Heading2"/>
      </w:pPr>
      <w:r>
        <w:t xml:space="preserve">Pre-mortem</w:t>
      </w:r>
    </w:p>
    <w:p>
      <w:pPr>
        <w:spacing w:after="100"/>
      </w:pPr>
      <w:r>
        <w:t xml:space="preserve">Octubre de 2029: la acción ha perdido un 40 % y cotiza por debajo de 65 USD. La historia empezó en el 1T27, cuando Management Solutions creció solo un 4 % y la dirección lo llamó «ligeramente por debajo» de lo previsto [11]. En FY2028 el empleo de las pymes se estancó y los clientes nuevos se fueron a plataformas en la nube más baratas que ya incluían agentes de IA para dar de alta empleados, calcular impuestos y contestar dudas de RR. HH., justo el servicio humano por el que Paychex cobra más. La retención bajó del 82 % al 78 % y las subidas de tarifa dejaron de pasar. Los ingresos crecieron un 2 % y el margen, que era el más alto del sector, empezó a bajar porque había que invertir para defender la base. Con un payout del 91 % y 4.600 M USD de deuda de la compra de Paycor [1], el dividendo dejó de crecer y la acción perdió a sus compradores de rentas. El múltiplo pasó de 12x a 9x el EBITDA, como el de una empresa madura en declive. El indicador que lo habría anticipado: la retención de clientes y el ingreso por cliente de Management Solutions, que la empresa publica cada año en su 10-K.</w:t>
      </w:r>
    </w:p>
    <w:p>
      <w:pPr>
        <w:pStyle w:val="Heading1"/>
      </w:pPr>
      <w:r>
        <w:t xml:space="preserve">26. ESG y controversias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55"/>
        <w:gridCol w:w="3855"/>
        <w:gridCol w:w="1928"/>
      </w:tblGrid>
      <w:tr>
        <w:trPr>
          <w:cantSplit/>
          <w:tblHeader/>
        </w:trPr>
        <w:tc>
          <w:tcPr>
            <w:tcW w:type="dxa" w:w="38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Proveedor</w:t>
            </w:r>
          </w:p>
        </w:tc>
        <w:tc>
          <w:tcPr>
            <w:tcW w:type="dxa" w:w="38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Calificación</w:t>
            </w:r>
          </w:p>
        </w:tc>
        <w:tc>
          <w:tcPr>
            <w:tcW w:type="dxa" w:w="19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r>
      <w:tr>
        <w:trPr>
          <w:cantSplit/>
        </w:trPr>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Morningstar Sustainalytics (ESG Risk Rating; E 4,07, S 8,39, G 5,12) [30]</w:t>
            </w:r>
          </w:p>
        </w:tc>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17,58 (riesgo bajo)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2026-09</w:t>
            </w:r>
          </w:p>
        </w:tc>
      </w:tr>
    </w:tbl>
    <w:p>
      <w:pPr>
        <w:spacing w:after="160" w:before="0"/>
      </w:pPr>
    </w:p>
    <w:p>
      <w:pPr>
        <w:pStyle w:val="Heading2"/>
      </w:pPr>
      <w:r>
        <w:t xml:space="preserve">Asuntos materiales</w:t>
      </w:r>
    </w:p>
    <w:p>
      <w:pPr>
        <w:spacing w:after="100"/>
      </w:pPr>
      <w:r>
        <w:t xml:space="preserve">La seguridad de los datos es el asunto que más pesa: Paychex guarda datos bancarios, números de la seguridad social, datos biométricos y de geolocalización de millones de empleados de sus clientes, y la ciberseguridad figura entre sus riesgos prioritarios, supervisada por la comisión de auditoría con un programa alineado con el NIST CSF 2.0 [1]. A mayo de 2026 no conocía incidentes con efecto material [1]. El segundo es el capital humano: ~17.600 empleados, sin convenios colectivos, y la remuneración supone ~52 % de los gastos, así que la rotación y los salarios mueven el margen [1]. El tercero es la gobernanza del riesgo del PEO (reservas de accidentes de trabajo y seguros de salud) y el uso responsable de la IA, sujeto a una regulación en evolución [1].</w:t>
      </w:r>
    </w:p>
    <w:p>
      <w:pPr>
        <w:pStyle w:val="Heading2"/>
      </w:pPr>
      <w:r>
        <w:t xml:space="preserve">Controversias</w:t>
      </w:r>
    </w:p>
    <w:p>
      <w:pPr>
        <w:spacing w:after="100"/>
      </w:pPr>
      <w:r>
        <w:t xml:space="preserve">Tras un incidente de datos en 2024, una demanda colectiva propuesta fue desestimada el 22 de octubre de 2025 por falta de legitimación de la demandante, sin perjuicio de que la vuelva a presentar (tribunal federal del Distrito Este de Pensilvania) [31]. El 10-K de FY2026 no recoge litigios materiales [1]. Ethisphere la reconoció en 2026 entre las empresas más éticas del mundo por 15.º año consecutivo [1].</w:t>
      </w:r>
    </w:p>
    <w:p>
      <w:pPr>
        <w:pStyle w:val="Heading1"/>
      </w:pPr>
      <w:r>
        <w:t xml:space="preserve">27. Preguntas abiertas para la dirección y la due diligence</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8"/>
        <w:gridCol w:w="1585"/>
        <w:gridCol w:w="4392"/>
        <w:gridCol w:w="3173"/>
      </w:tblGrid>
      <w:tr>
        <w:trPr>
          <w:cantSplit/>
          <w:tblHeader/>
        </w:trPr>
        <w:tc>
          <w:tcPr>
            <w:tcW w:type="dxa" w:w="4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43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Pregunta</w:t>
            </w:r>
          </w:p>
        </w:tc>
        <w:tc>
          <w:tcPr>
            <w:tcW w:type="dxa" w:w="31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Management Solutions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parte del +4 % del 1T27 es precio, qué parte módulos y qué parte pérdida de clientes o de empleados por cliente?</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caso base necesita volver al +5 %; cada punto sostenido mueve el valor en torno a un 10 %.</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IA y competencia</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¿Cuál es la tasa de bajas hacia plataformas en la nube (Gusto, Rippling) y cómo ha evolucionado la retención por tamaño de cliente?</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retención del 82-83 % es la defensa del foso; la empresa solo la da agregada [1].</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Paycor</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¿Cuántos clientes de Paycor se han perdido desde la compra y qué crecimiento tiene hoy esa base frente al 15-17 % que tenía como cotizada?</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 pagaron 4.085,7 M USD; el crecimiento de Paycor justifica parte del precio [1].</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Comisiones activadas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qué las comisiones activadas (342,5 M USD) superan tanto a su amortización (249,2 M USD) y cuándo convergerán?</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diferencia, un 1,4 % de las ventas, es caja que el EBITDA no ve; la hemos sumado al capex [1].</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Dividendo</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 un payout del 91 %, ¿se va a priorizar subir el dividendo, recomprar o bajar deuda?</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consenso espera un dividendo de 4,86 USD en FY2027 (+10 %) [54].</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Fondos de clientes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duración y qué rentabilidad de reinversión tiene la cartera de 4.500 M USD y cómo cambiaría el ingreso con una bajada de 200 pb?</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Son 200-210 M USD de ingresos con margen casi completo [1, 3].</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7</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Impuestos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¿Qué parte de los 240 M USD de impuestos devengados y no pagados en FY2026 se pagará en FY2027?</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Infló el flujo operativo de FY2026 un 34,5 % y ya se revirtió en parte en el 1T27 [1, 3].</w:t>
            </w:r>
          </w:p>
        </w:tc>
      </w:tr>
    </w:tbl>
    <w:p>
      <w:pPr>
        <w:spacing w:after="160" w:before="0"/>
      </w:pPr>
    </w:p>
    <w:p>
      <w:pPr>
        <w:pStyle w:val="Heading1"/>
      </w:pPr>
      <w:r>
        <w:t xml:space="preserve">28. Sentimiento en foros y comentarios</w:t>
      </w:r>
    </w:p>
    <w:p>
      <w:pPr>
        <w:pStyle w:val="Confianza"/>
        <w:spacing w:after="100"/>
      </w:pPr>
      <w:r>
        <w:t xml:space="preserve">Confianza: Media</w:t>
      </w:r>
    </w:p>
    <w:p>
      <w:pPr>
        <w:spacing w:after="100"/>
      </w:pPr>
      <w:r>
        <w:rPr>
          <w:b/>
          <w:bCs/>
        </w:rPr>
        <w:t xml:space="preserve">Tono:</w:t>
      </w:r>
      <w:r>
        <w:t xml:space="preserve"> Dividido · </w:t>
      </w:r>
      <w:r>
        <w:rPr>
          <w:b/>
          <w:bCs/>
        </w:rPr>
        <w:t xml:space="preserve">Tendencia:</w:t>
      </w:r>
      <w:r>
        <w:t xml:space="preserve"> Empeora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68"/>
        <w:gridCol w:w="963"/>
        <w:gridCol w:w="1084"/>
        <w:gridCol w:w="1084"/>
        <w:gridCol w:w="4339"/>
      </w:tblGrid>
      <w:tr>
        <w:trPr>
          <w:cantSplit/>
          <w:tblHeader/>
        </w:trPr>
        <w:tc>
          <w:tcPr>
            <w:tcW w:type="dxa" w:w="2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Dónde</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Comentarios</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Tono</w:t>
            </w:r>
          </w:p>
        </w:tc>
        <w:tc>
          <w:tcPr>
            <w:tcW w:type="dxa" w:w="43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dice</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Stocktwits (flujo de mensajes de PAYX)</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2026-09</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Negativo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Tras los resultados del 23-sep dominan los mensajes de venta y de cortos celebrando la caída, con la idea repetida de que la IA hará prescindible el software de nóminas; a partir del 25-sep aparecen compradores de rebote que destacan el dividendo y la infravaloración [86].</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Seeking Alpha (artículos de colaboradores, títulos del canal RSS)</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junio-julio los títulos eran mayoritariamente compradores (empleo, mejora de recomendación, valoración más atractiva); en septiembre-octubre conviven «la IA aún no está probada como palanca de crecimiento» y «mantenerse al margen» con «sigue siendo compra» y tesis de dividendo [75].</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Motley Fool (artículos de opinión)</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2026-09</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Uno ve cara la acción para un crecimiento del beneficio inferior al 10 % y critica la conversión de beneficio en caja del trimestre; otro cree que la caída tras resultados es una oportunidad para el inversor a largo plazo [76, 77].</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24/7 Wall St. (columnas sobre el dividendo)</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Neutro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Cuatro columnas en dos semanas sobre si el dividendo es seguro: lo consideran sostenible por el ingreso recurrente, pero avisan de que el flujo operativo del 1T no cubrió el dividendo, de la deuda de Paycor y de que las subidas futuras serán menores; frente a ADP, prefieren ADP por seguridad y Paychex solo por rentabilidad inmediata [79, 80, 81, 82].</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MarketBeat (columna y agregador de titulares)</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columna sostiene que el mercado exagera la vulnerabilidad a la IA y que la caída es una reacción impulsiva; el agregador muestra una oleada de recortes de precio objetivo tras resultados junto a una mejora a neutral por «venta excesiva» [78, 83].</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Simply Wall St (narrativas de la comunidad, vía Yahoo Finanzas)</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Dividido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Las narrativas de usuarios se reparten entre quienes ven recorrido por márgenes y sinergias de Paycor y quienes ven la acción a precio justo por ciclos de venta más largos en el segmento de empresas medianas; el lanzamiento de WISE Hire se presenta como posible cambio de tesis si se traduce en productividad [84, 85].</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2"/>
        <w:gridCol w:w="1239"/>
        <w:gridCol w:w="963"/>
        <w:gridCol w:w="5234"/>
      </w:tblGrid>
      <w:tr>
        <w:trPr>
          <w:cantSplit/>
          <w:tblHeader/>
        </w:trPr>
        <w:tc>
          <w:tcPr>
            <w:tcW w:type="dxa" w:w="22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Postura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Peso</w:t>
            </w:r>
          </w:p>
        </w:tc>
        <w:tc>
          <w:tcPr>
            <w:tcW w:type="dxa" w:w="523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dicen los datos</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La IA como amenaza o palanca (agentes que automatizan nóminas y RR. HH.)</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el argumento bajista más repetido en Stocktwits («la IA se comerá el software y los servicios») y el centro del debate en Seeking Alpha [75, 86]; la empresa responde con su motor WISE y el lanzamiento de WISE Hire, sin cifras de ingresos atribuibles a la IA [87], de modo que ni la amenaza ni la palanca se pueden medir todavía en las cuentas.</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Desaceleración de Management Solutions y crecimiento de un dígito tras Paycor</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la causa de la caída que citan casi todos [76, 77, 83]: el segmento creció un 4 % en el 1T FY27 frente a un 12 % de PEO e Insurance y la guía de ingresos total se mantuvo en +5-6 % [87]; los foros tienen razón en el dato, aunque la guía no se rebajó.</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Seguridad y crecimiento del dividendo</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flujo de explotación del 1T (413,5 M USD) quedó por debajo de los dividendos pagados (424,1 M USD) [87]; la empresa lo atribuye al calendario de pagos de impuestos [81, 82]. La preocupación es razonable para un trimestre, pero la prueba es el semestre (resultados de diciembre) [82].</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Valoración tras la caída de septiembre (oportunidad frente a trampa de valor)</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Alcista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Columnas y narrativas de comunidad hablan de descuento frente al valor intrínseco y de entrada atractiva [78, 84]; otros la ven cara para un BPA que crece un 7-9 % [76]. Contrastar con el DCF y los múltiplos del informe.</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Tipos de interés e ingresos por intereses de los fondos de clientes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 menciona poco; la prensa atribuye la mejora de la guía de intereses (200-210 M USD) a un entorno de tipos al alza [77, 82], y la empresa explica la subida del 5 % del 1T por tipos medios más altos [87]. El riesgo de bajadas de tipos aparece solo como advertencia genérica [80].</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Empleo en las pymes («low fire, low hire») y deuda de la compra de Paycor</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guía asume empleo plano y la clientela pyme es la primera en recortar plantilla [80, 82]; la deuda a largo plazo es de unos 4.600 M USD al cierre del 1T [87]. Es un riesgo cíclico real, no exagerado.</w:t>
            </w:r>
          </w:p>
        </w:tc>
      </w:tr>
    </w:tbl>
    <w:p>
      <w:pPr>
        <w:spacing w:after="160" w:before="0"/>
      </w:pPr>
    </w:p>
    <w:p>
      <w:pPr>
        <w:spacing w:after="100"/>
      </w:pPr>
      <w:r>
        <w:t xml:space="preserve">El sentimiento empeoró con los resultados del 1T FY27 (23-sep-2026): el inversor particular pasó del optimismo de junio-julio (empleo, mejora de recomendación, valoración) a un tono dividido con un núcleo bajista. Los foros castigan la desaceleración de Management Solutions y repiten que la IA puede hacer prescindible el servicio de nóminas, un temor que las cuentas no confirman ni descartan todavía. El otro bloque, orientado a rentas, discute si el dividendo es seguro tras un trimestre en que el flujo operativo no lo cubrió. No hay capitulación: aparecen compradores de rebote y la caída se presenta a menudo como oportunidad. El sentimiento coincide en tono con los recortes de precio objetivo de los analistas, por lo que no contradice al consenso. Anticipa dos catalizadores: el flujo de caja semestral en diciembre y cualquier dato de ingresos ligado a WISE.</w:t>
      </w:r>
    </w:p>
    <w:p>
      <w:pPr>
        <w:pStyle w:val="Nota"/>
        <w:spacing w:after="100"/>
      </w:pPr>
      <w:r>
        <w:t xml:space="preserve">Opiniones de inversores en foros, redes y comentarios de prensa: sirven para saber qué preocupa o entusiasma al mercado, no como fuente de cifras. No entran en la valoración.</w:t>
      </w:r>
    </w:p>
    <w:p>
      <w:r>
        <w:br w:type="page"/>
      </w:r>
    </w:p>
    <w:p>
      <w:pPr>
        <w:pStyle w:val="Parte"/>
      </w:pPr>
      <w:r>
        <w:t xml:space="preserve">Anexos</w:t>
      </w:r>
    </w:p>
    <w:p>
      <w:pPr>
        <w:pStyle w:val="Heading1"/>
      </w:pPr>
      <w:r>
        <w:t xml:space="preserve">A. Controles de calidad del análisis</w:t>
      </w:r>
    </w:p>
    <w:p>
      <w:pPr>
        <w:spacing w:after="100"/>
      </w:pPr>
      <w:r>
        <w:t xml:space="preserve">19 de 21 controles correctos y 2 explicados. Fuentes: 87 (50 primarias); citas distintas en el texto: 81.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5"/>
        <w:gridCol w:w="1126"/>
        <w:gridCol w:w="4507"/>
      </w:tblGrid>
      <w:tr>
        <w:trPr>
          <w:cantSplit/>
          <w:tblHeader/>
        </w:trPr>
        <w:tc>
          <w:tcPr>
            <w:tcW w:type="dxa" w:w="40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Control</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c>
          <w:tcPr>
            <w:tcW w:type="dxa" w:w="45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Detalle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Geografías suman 100 %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inverso calculable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Puente de ingresos (volumen + precio + otros) = crecimiento del DCF</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Circulante del primer año de proyección ≈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Supuesto 20,8 % frente a 20,8 % real: genera una variación de circulante de 76 M en el primer año. Converge de forma gradual.</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 80 % del valor empresa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63 %.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 perpetuidad ≤ 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3,00 %.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Probabilidades de los escenarios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Regresión múltiplo-crecimiento explicativa (R² ≥ 0,3)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R² = 0,15: el crecimiento no explica los múltiplos de estos comparables; no uses el valor de la regresión. Explicación: Con seis comparables de modelos distintos (nóminas con fondos de clientes, PEO de margen bajo, software de RR. HH. puro y Intuit) el crecimiento no explica el múltiplo: Workday cotiza a 22,1x con un margen EBITDA del 15,4 % y TriNet a 10,4x creciendo un 1,2 %. No se usa la regresión.</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5 comparables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comparables.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Comparables estables al quitar una empresa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mediana del EV/EBITDA NTM va de 10,4x a 14,6x según qué comparable se quite (86,40 a 125,40 por acción): la muestra es frágil; explícalo y no le des mucho peso. Explicación: La mediana del EV/EBITDA de los próximos 12 meses se mueve entre 10,4x y 14,6x según se quite Workday o Intuit: la muestra es pequeña y heterogénea. Por eso los comparables pesan solo un 20 % en el valor objetivo y se combinan con el PER.</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Pesos de la síntesis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Múltiplos del objetivo a 12 m según la regla común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Objetivo 12 m frente al consenso</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base se separa un 9,4 % del objetivo medio de los analistas: explícalo en diferencia_consenso (nunca se acerca la cifra).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del cierre de la fecha de corte (o de las dos sesiones anteriores)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coherente con la regla de decisión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síntesis explica la convicción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síntesis debe decir por qué tiene esa convicción y qué la subiría o la bajaría.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Capitalización calculada ≈ publicada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25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87 fuentes (50 primarias).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10 fuentes primarias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50.</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Toda cita [n] existe en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Fuentes sin citar ≤ 15 %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Sin citar: 60, 61, 62, 64, 65, 66.</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228"/>
        <w:gridCol w:w="2410"/>
      </w:tblGrid>
      <w:tr>
        <w:trPr>
          <w:cantSplit/>
          <w:tblHeader/>
        </w:trPr>
        <w:tc>
          <w:tcPr>
            <w:tcW w:type="dxa" w:w="72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 de fuente</w:t>
            </w:r>
          </w:p>
        </w:tc>
        <w:tc>
          <w:tcPr>
            <w:tcW w:type="dxa" w:w="24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Número</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Primaria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Prensa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Analistas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Sectorial</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Datos de mercado</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Foros y redes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w:t>
            </w:r>
          </w:p>
        </w:tc>
      </w:tr>
    </w:tbl>
    <w:p>
      <w:pPr>
        <w:spacing w:after="160" w:before="0"/>
      </w:pPr>
    </w:p>
    <w:p>
      <w:pPr>
        <w:pStyle w:val="Heading2"/>
      </w:pPr>
      <w:r>
        <w:t xml:space="preserve">B. Información no disponible</w:t>
      </w:r>
    </w:p>
    <w:p>
      <w:pPr>
        <w:spacing w:after="100"/>
      </w:pPr>
      <w:r>
        <w:t xml:space="preserve">Cuando un dato no aparece tras tres búsquedas distintas, el análisis lo deja fuera en lugar de estimarlo sin base. Las secciones de núcleo que faltan se avisan también en el resumen.</w:t>
      </w:r>
    </w:p>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50"/>
        <w:gridCol w:w="1994"/>
        <w:gridCol w:w="997"/>
        <w:gridCol w:w="3766"/>
        <w:gridCol w:w="1331"/>
      </w:tblGrid>
      <w:tr>
        <w:trPr>
          <w:cantSplit/>
          <w:tblHeader/>
        </w:trPr>
        <w:tc>
          <w:tcPr>
            <w:tcW w:type="dxa" w:w="155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w:t>
            </w:r>
          </w:p>
        </w:tc>
        <w:tc>
          <w:tcPr>
            <w:tcW w:type="dxa" w:w="199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Dato que falta</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c>
          <w:tcPr>
            <w:tcW w:type="dxa" w:w="37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Las tres búsquedas</w:t>
            </w:r>
          </w:p>
        </w:tc>
        <w:tc>
          <w:tcPr>
            <w:tcW w:type="dxa" w:w="13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Decisión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trimestres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vs_consenso (2T25-4T26) y transcripción de preguntas de analistas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Búsqueda de la estimación previa del 4T26 y lectura de Earnings Whispers (sin consenso en la página); 2) Chartmill y Stock Taper (403 y 429); 3) Bullfincher y Quartr (sin la parte de preguntas)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capital</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ev_ebitda de las adquisiciones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Nota D del 10-K FY2026 (Paycor); 2) Notas de adquisiciones de los 10-K FY2018 y FY2020 (Lessor, HROI, Oasis); 3) 10-K FY2024 (Alterna): ninguna publica el EBITDA de la adquirida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tcac_previsto_pct</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NAPEO y Census: solo series históricas, sin previsión; 2) 10-K de Paychex y presentación de Paycor: dan el mercado direccionable sin crecimiento; 3) informes de mercado HCM gratuitos: solo resúmenes de buscador sin documento abierto (regla 0)</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cr5_pct</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10-K de Paychex y ADP: describen el mercado como fragmentado sin cuotas; 2) NAPEO: solo CR5 del PEO (~39 % de los empleados en centro de trabajo, en extra); 3) cálculo con ingresos de los cotizados: mezcla ingresos fuera de EE. UU. y costes de seguros repercutidos, no comparable con el mercado direccionable</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esg</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calificaciones (MSCI)</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buscador de calificaciones de MSCI: página con JavaScript; 2) búsqueda web: solo agregadores sin fecha; 3) knowESG: HTTP 403</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competencia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competidores (ingresos y margen de Gusto, Rippling y Deel)</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EDGAR: no presentan cuentas; 2) webs de las empresas: sin cuentas auditadas; 3) prensa: solo estimaciones de terceros no verificables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identificacion</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proximos_resultados (fecha confirmada del 2T FY2027)</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Nota de resultados del 1T27 y 10-Q: sin fecha; 2) MarketScreener, calendario de publicaciones: sin fecha futura; 3) búsqueda de un anuncio de convocatoria del 2T FY2027: no publicado a 12-oct-2026</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Calculado y marcado como estimación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consenso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revisiones de BPA y EBITDA a 3 y 12 meses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MarketScreener, consenso: la revisión solo sale en gráfico; 2) Stock Analysis, previsiones: solo recuento de recomendaciones por mes; 3) MarketScreener, previsiones: sin columnas de variación</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Paychex-Oasis Outsourcing (2018-2019): valor y múltiplos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Nota de resultados del 2T FY2019 de Paychex: sin precio; 2) búsqueda del 8-K del anuncio en la lista de presentaciones de Paychex: solo el de resultados; 3) no se abrió el 10-K de FY2019 por presupuesto de tiempo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transacciones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ADP-WorkForce Software: múltiplos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10-Q de ADP a 31-dic-2024: precio sin ingresos de la adquirida; 2) búsqueda de la nota de prensa de ADP: términos no divulgados; 3) prensa: solo el precio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bl>
    <w:p>
      <w:pPr>
        <w:spacing w:after="160" w:before="0"/>
      </w:pPr>
    </w:p>
    <w:p>
      <w:pPr>
        <w:pStyle w:val="Heading1"/>
      </w:pPr>
      <w:r>
        <w:t xml:space="preserve">Fuentes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3"/>
        <w:gridCol w:w="3336"/>
        <w:gridCol w:w="1390"/>
        <w:gridCol w:w="926"/>
        <w:gridCol w:w="926"/>
        <w:gridCol w:w="2597"/>
      </w:tblGrid>
      <w:tr>
        <w:trPr>
          <w:cantSplit/>
          <w:tblHeader/>
        </w:trPr>
        <w:tc>
          <w:tcPr>
            <w:tcW w:type="dxa" w:w="4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Ref.</w:t>
            </w:r>
          </w:p>
        </w:tc>
        <w:tc>
          <w:tcPr>
            <w:tcW w:type="dxa" w:w="33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Documento</w:t>
            </w:r>
          </w:p>
        </w:tc>
        <w:tc>
          <w:tcPr>
            <w:tcW w:type="dxa" w:w="13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Editor</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25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Enlace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Paychex, Inc. Form 10-K del ejercicio cerrado el 31-may-2026 (FY2026)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Paychex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17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https://www.sec.gov/Archives/edgar/data/723531/000119312526307785/payx-20260531.htm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Paychex, Inc. Form 10-Q del trimestre cerrado el 31-ago-2026 (1T FY2027)</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Paychex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24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https://www.sec.gov/Archives/edgar/data/723531/000072353126000006/payx-20260831.htm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Paychex Reports First Quarter Fiscal 2027 Results (8-K, anexo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Paychex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https://www.sec.gov/Archives/edgar/data/723531/000072353126000004/payx-ex99_1.htm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Paychex Reports Fourth Quarter and Full-Year 2026 Results (8-K, anexo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Paychex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https://www.sec.gov/Archives/edgar/data/723531/000119312526280314/payx-ex99_1.htm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Paychex, Inc. Form 10-K del ejercicio cerrado el 31-may-2024 (FY2024)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Paychex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jul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https://www.sec.gov/Archives/edgar/data/723531/000095017024082958/payx-20240531.htm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Paychex, Inc. Form 10-K del ejercicio cerrado el 31-may-2022 (FY2022)</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Paychex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jul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https://www.sec.gov/Archives/edgar/data/723531/000095017022012734/payx-20220531.htm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Paychex, Inc. Form 10-K del ejercicio cerrado el 31-may-2020 (FY2020)</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Paychex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17 jul 2020</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https://www.sec.gov/Archives/edgar/data/723531/000072353120000048/payx-20200531x10k.htm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Paychex, Inc. Form 10-K del ejercicio cerrado el 31-may-2018 (FY2018)</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Paychex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jul 2018</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https://www.sec.gov/Archives/edgar/data/723531/000072353118000026/payx-20180531x10k.htm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Paychex, Inc. datos XBRL (companyfacts), series anuales y trimestrales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https://data.sec.gov/api/xbrl/companyfacts/CIK0000723531.json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Free Writing Prospectus: términos de la emisión de bonos de 4.200 M USD (abril de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Paychex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abr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https://www.sec.gov/Archives/edgar/data/723531/000119312525075892/d901430dfwp.htm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Paychex Says Key Segment Was 'Slightly Below' Expectations, Stock Sinks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Benzinga (vía Tiger Brokers)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https://www.itiger.com/news/2669333014</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Paychex (PAYX) Q4 2026 earnings summary</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Quartr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https://quartr.com/events/paychex-inc-payx-q4-2026_3eOHHRTr</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Paychex, presentación a inversores de la compra de Paycor (8-K, anexo 99.2)</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Paychex, Inc.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ene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https://www.sec.gov/Archives/edgar/data/723531/000095010325000267/dp223210_ex9902.htm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Paychex, 8-K del acuerdo de compra de Oasis Outsourcing</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Paychex, Inc.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 nov 2018</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https://www.sec.gov/Archives/edgar/data/723531/000072353118000043/payx-20181126x8k.htm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Paychex, 8-K del nombramiento de John B. Gibson como consejero delegado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Paychex, Inc.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ago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https://www.sec.gov/Archives/edgar/data/723531/000095017022017720/payx-20220823.htm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Paychex (historia de la empresa)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Wikipedia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https://en.wikipedia.org/wiki/Paychex</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PEO Industry Footprint 2023 (McBassi &amp; Company)</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NAPEO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https://napeo.org/wp-content/uploads/2025/03/peoindustryfootprint2023_finalweb.pdf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PEO Clients 2025 (white paper)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NAPEO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https://napeo.org/wp-content/uploads/2025/10/PEOClients2025_WhitePaper_Web.pdf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Total Revenue for Payroll Services, Employer Firms (REVEF541214TAXABL), Service Annual Survey</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U.S. Census Bureau vía FRED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31 ene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https://fred.stlouisfed.org/series/REVEF541214TAXABL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Business Applications: Total for All NAICS in the United States (BABATOTALSAUS), Business Formation Statistics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U.S. Census Bureau vía FRED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https://fred.stlouisfed.org/series/BABATOTALSAUS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All Employees, Total Private (USPRIV), Current Employment Statistics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U.S. Bureau of Labor Statistics vía FRED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https://fred.stlouisfed.org/series/USPRIV</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Automatic Data Processing, Form 10-K del ejercicio cerrado el 30 de junio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ADP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https://www.sec.gov/Archives/edgar/data/8670/000000867026000030/adp-20260630.htm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TriNet Group, Form 10-K de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TriNet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https://www.sec.gov/Archives/edgar/data/937098/000093709826000010/tnet-20251231.htm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Paycom Software, datos XBRL del Form 10-K de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 (companyfacts)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https://data.sec.gov/api/xbrl/companyfacts/CIK0001590955.json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Paylocity Holding, datos XBRL del Form 10-K del ejercicio cerrado el 30 de junio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 (companyfacts)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https://data.sec.gov/api/xbrl/companyfacts/CIK0001591698.json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Workday, datos XBRL del Form 10-K del ejercicio cerrado el 31 de enero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 (companyfacts)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https://data.sec.gov/api/xbrl/companyfacts/CIK0001327811.json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Insperity, datos XBRL del Form 10-K de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 (companyfacts)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https://data.sec.gov/api/xbrl/companyfacts/CIK0001000753.json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Dayforce, datos XBRL del Form 10-K de 2024 y lista de presentaciones (Form 15 de 17-feb-2026)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17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https://data.sec.gov/submissions/CIK0001725057.json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Intuit Inc. Form 10-K del ejercicio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Intuit Inc.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https://www.sec.gov/Archives/edgar/data/896878/000089687826000037/intu-20260731.htm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Paychex Inc (PAYX): ficha con la calificación ESG de Morningstar Sustainalytics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Saxo Bank</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https://www.home.saxo/en-sg/markets/stocks/payx-xnas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Paychex Escapes Proposed Class Action Over 2024 Data Breach</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Bloomberg Law</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oct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https://news.bloomberglaw.com/litigation/paychex-escapes-proposed-class-action-over-2024-data-breach</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Paychex, Inc. Proxy Statement 2026 (DEF 14A)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Paychex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https://www.sec.gov/Archives/edgar/data/723531/000119312526382805/d111983ddef14a.htm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Paychex, Inc. Proxy Statement 2025 (DEF 14A)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Paychex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ago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https://www.sec.gov/Archives/edgar/data/723531/000119312525191789/d946290ddef14a.htm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item 5.07: resultados de la junta de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Paychex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oct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https://www.sec.gov/Archives/edgar/data/723531/000119312525239171/payx-20251009.htm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item 5.07: resultados de la junta de 2024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Paychex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oct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https://www.sec.gov/Archives/edgar/data/723531/000095017024114406/payx-20241010.htm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item 5.07: resultados de la junta de 2023</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Paychex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oct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https://www.sec.gov/Archives/edgar/data/723531/000095017023053313/payx-20231012.htm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item 5.02: Kara Wilson no se presenta a la reelección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Paychex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https://www.sec.gov/Archives/edgar/data/723531/000119312526310277/payx-20260716.htm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items 5.02 y 8.01: nombramiento de J. Michael Hansen y programa de recompra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Paychex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ene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https://www.sec.gov/Archives/edgar/data/723531/000119312526016044/payx-20260116.htm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items 1.01, 1.02 y 2.03: modificación de las líneas de crédito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Paychex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 ene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https://www.sec.gov/Archives/edgar/data/723531/000119312526021794/payx-20260123.htm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items 5.02 y 7.01: jubilación de directivos y reducción del consejo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Paychex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jul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https://www.sec.gov/Archives/edgar/data/723531/000095017025095576/payx-20250708.htm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item 5.02: B. Thomas Golisano deja el consejo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Paychex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may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https://www.sec.gov/Archives/edgar/data/723531/000095010325006123/dp228939_8k.htm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4 de consejeros, directivos y accionistas de más del 10 % (12-oct-2025 a 12-oct-2026)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https://www.sec.gov/cgi-bin/browse-edgar?action=getcompany&amp;CIK=0000723531&amp;type=4&amp;dateb=&amp;owner=include&amp;count=40</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Nota de resultados del 4T y del ejercicio 2020 (Exhibit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Paychex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jul 2020</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https://www.sec.gov/Archives/edgar/data/723531/000072353120000045/payx-20200707xex99_1.htm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Nota de resultados del 4T y del ejercicio 2021 (Exhibit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Paychex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 jun 2021</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https://www.sec.gov/Archives/edgar/data/723531/000072353121000027/payx-20210625xex99_1.htm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Nota de resultados del 4T y del ejercicio 2022 (Exhibit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Paychex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jun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https://www.sec.gov/Archives/edgar/data/723531/000095017022012296/payx-ex99_1.htm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Nota de resultados del 4T y del ejercicio 2023 (Exhibit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Paychex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jun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https://www.sec.gov/Archives/edgar/data/723531/000095017023030544/payx-ex99_1.htm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Nota de resultados del 4T y del ejercicio 2024 (Exhibit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Paychex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 jun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https://www.sec.gov/Archives/edgar/data/723531/000095017024077622/payx-ex99_1.htm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Nota de resultados del 4T y del ejercicio 2025 (Exhibit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Paychex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 jun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https://www.sec.gov/Archives/edgar/data/723531/000095017025089743/payx-ex99_1.htm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Schedule 13G/A de The Vanguard Group sobre Paychex</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https://www.sec.gov/Archives/edgar/data/723531/000010290926002011/primary_doc.xml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Schedule 13G de Vanguard Capital Management sobre Paychex</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https://www.sec.gov/Archives/edgar/data/723531/000210011926000909/primary_doc.xml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Paychex, Inc. Form 10-K ejercicio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Paychex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jul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https://www.sec.gov/Archives/edgar/data/723531/000095017025095300/payx-20250531.htm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Históricos diarios de PAYX, SPY y XLI</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https://finance.yahoo.com/quote/PAYX/history/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Paychex, Inc.: previsiones financieras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https://www.marketscreener.com/quote/stock/PAYCHEX-INC-4894/finances/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Paychex, Inc.: consenso de analistas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https://www.marketscreener.com/quote/stock/PAYCHEX-INC-4894/consensus/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Paychex (PAYX) Stock Forecast &amp; Price Target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https://stockanalysis.com/stocks/payx/forecast/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Paychex (PAYX) Statistics &amp; Valuation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https://stockanalysis.com/stocks/payx/statistics/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 Yield on U.S. Treasury Securities at 10-Year Constant Maturity (DGS10)</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Federal Reserve Bank of St. Louis (FRED)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https://fred.stlouisfed.org/series/DGS10</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Implied ERP by month (ERPbymonth.xlsx)</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Aswath Damodaran, NYU Stern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https://pages.stern.nyu.edu/~adamodar/pc/implprem/ERPbymonth.xlsx</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Cotizaciones, cuentas anuales y de los últimos 12 meses de ADP, Paylocity, Workday, Insperity, TriNet y Barrett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Automatic Data Processing, Inc.: previsiones financieras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https://www.marketscreener.com/quote/stock/AUTOMATIC-DATA-PROCESSING-11713/finances/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Paylocity Holding Corporation: previsiones financieras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https://www.marketscreener.com/quote/stock/PAYLOCITY-HOLDING-CORPORA-16043784/finances/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Workday Inc.: previsiones financieras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https://www.marketscreener.com/quote/stock/WORKDAY-INC-37866670/finances/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Insperity, Inc.: previsiones financieras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https://www.marketscreener.com/quote/stock/INSPERITY-INC-7549422/finances/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TriNet Group, Inc.: previsiones financieras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https://www.marketscreener.com/quote/stock/TRINET-GROUP-INC-16113711/finances/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Paycom Software, Inc.: previsiones financieras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https://www.marketscreener.com/quote/stock/PAYCOM-SOFTWARE-INC-16253048/finances/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Intuit Inc.: previsiones financieras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https://www.marketscreener.com/quote/stock/INTUIT-INC-23277275/finances/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Paychex to Acquire Paycor (anexo 99.1 del 8-K)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Paychex, Inc.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ene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https://www.sec.gov/Archives/edgar/data/723531/000095010325000267/dp223210_ex9901.htm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Paychex Completes Acquisition of Paycor (anexo 99.1 del 8-K)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Paychex, Inc.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abr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https://www.sec.gov/Archives/edgar/data/723531/000095010325004790/dp227639_ex9901.htm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Dayforce Enters into US$12.3 Billion Definitive Agreement with Thoma Bravo (anexo 99.1 del 8-K)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Dayforce, Inc.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ago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https://www.sec.gov/Archives/edgar/data/1725057/000119312525184632/d949165dex991.htm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Dayforce, Inc.: proxy definitivo de la fusión (DEFM14A), con la opinión de Evercore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Dayforce, Inc.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sep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https://www.sec.gov/Archives/edgar/data/1725057/000114036125036413/ny20054883x2_defm14a.htm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Dayforce Reports Second Quarter 2025 Results (anexo 99.1 del 8-K)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Dayforce, Inc.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ago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https://www.sec.gov/Archives/edgar/data/1725057/000095017025103533/day-ex99_1.htm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Ultimate Software to Be Acquired by Investor Group Led by Hellman &amp; Friedman (anexo 99.1 del 8-K)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Ultimate Software Group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 feb 2019</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https://www.sec.gov/Archives/edgar/data/1016125/000089968119000030/p19-0028_ex991.htm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10-Q del trimestre cerrado el 31-dic-2024 (nota de adquisiciones)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Automatic Data Processing, Inc.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ene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https://www.sec.gov/Archives/edgar/data/8670/000000867025000007/adp-20241231.htm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Paychex Reports Second Quarter Fiscal 2019 Results (anexo 99.1 del 8-K)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Paychex, Inc.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dic 2018</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https://www.sec.gov/Archives/edgar/data/723531/000072353118000045/payx-20181219xex99_1.htm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Paychex, Inc. - News and Analysis on Seeking Alpha (canal RSS de PAYX)</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Seeking Alpha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https://seekingalpha.com/api/sa/combined/PAYX.xml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Why Paychex Stock Dropped Today</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Motley Fool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https://www.fool.com/investing/2026/09/23/why-paychex-stock-dropped-today/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Why Paychex Stock Slumped This Week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Motley Fool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https://www.fool.com/investing/2026/09/25/why-paychex-stock-slumped-this-week/</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Paychex (PAYX) News Today</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MarketBeat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https://www.marketbeat.com/stocks/NASDAQ/PAYX/news/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Paychex Shares Are Down Double Digits. Is the Dividend Still Safe?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24/7 Wall St.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https://247wallst.com/investing/2026/09/24/paychex-shares-are-down-double-digits-is-the-dividend-still-safe/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Paychex Just Fell 14%. How Does Its Dividend Stack Up Against ADP?</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24/7 Wall St.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https://247wallst.com/investing/2026/09/29/paychex-just-fell-14-how-does-its-dividend-stack-up-against-adp/</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Paychex (PAYX) Beat Earnings and Then Paid Shareholders Nearly Every Dollar It Made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24/7 Wall St.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https://247wallst.com/investing/2026/10/02/paychex-payx-beat-earnings-and-then-paid-shareholders-nearly-every-dollar-it-made/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Hidden Risks Behind Paychex's Attractive Dividend</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24/7 Wall St.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https://247wallst.com/investing/2026/10/07/the-hidden-risks-behind-paychexs-attractive-dividend/</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Paychex Plunges, Providing the Entry Investors Have Been Waiting For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MarketBeat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https://www.marketbeat.com/articles/paychex-plunges-providing-the-entry-investors-have-been-waiting-for/</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Does Paychex (PAYX) Deserve A Discount After Its 22% Slide?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Simply Wall St (Yahoo Finance UK)</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https://uk.finance.yahoo.com/news/does-paychex-payx-deserve-discount-170926746.html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Bull Case For Paychex (PAYX) Could Change Following AI WISE Hire Launch And Buyback Activity</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Simply Wall St (Yahoo Finance UK)</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https://uk.finance.yahoo.com/news/bull-case-paychex-payx-could-061039481.html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Flujo de mensajes de PAYX</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Stocktwits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https://api.stocktwits.com/api/2/streams/symbol/PAYX.json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Paychex, Inc. Reports First Quarter Fiscal 2027 Results (8-K, anexo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Paychex, Inc.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https://www.sec.gov/Archives/edgar/data/723531/000072353126000004/</w:t>
            </w:r>
          </w:p>
        </w:tc>
      </w:tr>
    </w:tbl>
    <w:p>
      <w:pPr>
        <w:spacing w:after="200" w:before="0"/>
      </w:pPr>
    </w:p>
    <w:p>
      <w:pPr>
        <w:pStyle w:val="Heading2"/>
      </w:pPr>
      <w:r>
        <w:t xml:space="preserve">Control de calidad del informe</w:t>
      </w:r>
    </w:p>
    <w:p>
      <w:pPr>
        <w:pStyle w:val="Nota"/>
        <w:spacing w:after="100"/>
      </w:pPr>
      <w:r>
        <w:t xml:space="preserve">Campos con dato: </w:t>
      </w:r>
      <w:r>
        <w:rPr>
          <w:b/>
          <w:bCs/>
        </w:rPr>
        <w:t xml:space="preserve">91,1 %</w:t>
      </w:r>
      <w:r>
        <w:t xml:space="preserve"> · Secciones con menos del 60 % de campos cubiertos: </w:t>
      </w:r>
      <w:r>
        <w:rPr>
          <w:b/>
          <w:bCs/>
        </w:rPr>
        <w:t xml:space="preserve">ninguna</w:t>
      </w:r>
      <w:r>
        <w:t xml:space="preserve"> · Generado el 14 oct 2026.</w:t>
      </w:r>
    </w:p>
    <w:p>
      <w:pPr>
        <w:pStyle w:val="Nota"/>
        <w:spacing w:after="100"/>
      </w:pPr>
      <w:r>
        <w:t xml:space="preserve">Cotiza solo en el NASDAQ (PAYX), en USD, la misma divisa de las cuentas (US GAAP, millones de USD). Ejercicio a 31 de mayo nombrado por el año en que termina (FY2026 = junio de 2025 a mayo de 2026); el 1T FY2027 (junio-agosto de 2026) es el último trimestre publicado [2, 3]. Precio de cierre del viernes 9-oct-2026: al preparar los datos, la sesión del lunes 12-oct no había cerrado [52]. Los fondos de clientes (4.348,4 M USD a 31-ago-2026) y sus obligaciones (4.440,7 M USD) quedan fuera de la caja y de la deuda del puente porque se anulan entre sí; la caja propia es solo la corporativa (934,2 M USD) [2]. La compra de Paycor (14-abr-2025) rompe la comparabilidad de FY2025 y FY2026: FY2025 lleva mes y medio de Paycor y FY2026 el año entero; el crecimiento orgánico de FY2026 (+4,9 %) es una estimación propia con los ingresos pro forma de la empresa [1]. FY2017-FY2018 son cifras reexpresadas por la norma de ingresos ASC 606 y el balance de FY2017 es el anterior a ella [8, 9]. No hay transcripción gratuita de las preguntas de los analistas en las dos últimas conferencias. El consenso de MarketScreener y el de Stock Analysis parecen salir de la misma base de datos [54, 55].</w:t>
      </w:r>
    </w:p>
    <w:p>
      <w:pPr>
        <w:pStyle w:val="Nota"/>
        <w:spacing w:after="100"/>
      </w:pPr>
      <w:r>
        <w:t xml:space="preserve">Este documento es un análisis elaborado de forma automatizada a partir de fuentes públicas. No constituye una recomendación personalizada de inversión ni una oferta de compra o venta. Las cifras marcadas como estimación y los escenarios son hipótesis de trabajo y deben verificarse antes de tomar cualquier decisión.</w:t>
      </w:r>
    </w:p>
    <w:sectPr>
      <w:headerReference w:type="default" r:id="rId6"/>
      <w:headerReference w:type="first" r:id="rId7"/>
      <w:footerReference w:type="default" r:id="rId8"/>
      <w:footerReference w:type="first" r:id="rId9"/>
      <w:pgSz w:w="11906" w:h="16838" w:orient="portrait"/>
      <w:pgMar w:top="1134" w:right="1134" w:bottom="1134" w:left="1134" w:header="567" w:footer="567"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color w:val="8A8984"/>
        <w:sz w:val="15"/>
        <w:szCs w:val="15"/>
      </w:rPr>
      <w:t xml:space="preserve">Datos a 12 oct 2026 · No constituye recomendación de inversión</w:t>
    </w:r>
    <w:r>
      <w:rPr>
        <w:color w:val="8A8984"/>
        <w:sz w:val="15"/>
        <w:szCs w:val="15"/>
      </w:rPr>
      <w:t xml:space="preserv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color w:val="8A8984"/>
        <w:sz w:val="15"/>
        <w:szCs w:val="15"/>
      </w:rPr>
      <w:t xml:space="preserve">No constituye recomendación de inversión.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638"/>
      </w:tabs>
    </w:pPr>
    <w:r>
      <w:rPr>
        <w:color w:val="8A8984"/>
        <w:sz w:val="16"/>
        <w:szCs w:val="16"/>
      </w:rPr>
      <w:t xml:space="preserve">Paychex, Inc. (PAYX)</w:t>
    </w:r>
    <w:r>
      <w:rPr>
        <w:color w:val="8A8984"/>
        <w:sz w:val="16"/>
        <w:szCs w:val="16"/>
      </w:rPr>
      <w:t xml:space="preserve">	Análisis de empresa cotizada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rPr>
        <w:color w:val="2A78D6"/>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docVars>
    <w:docVar w:name="graficos" w:val="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"/>
  </w:docVar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3C"/>
        <w:sz w:val="20"/>
        <w:szCs w:val="20"/>
      </w:rPr>
    </w:rPrDefault>
    <w:pPrDefault>
      <w:pPr>
        <w:spacing w:line="264"/>
      </w:pPr>
    </w:pPrDefault>
  </w:docDefaults>
  <w:style w:type="paragraph" w:styleId="Normal" w:default="1">
    <w:name w:val="Normal"/>
    <w:qFormat/>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80"/>
    </w:pPr>
    <w:rPr>
      <w:rFonts w:ascii="Calibri" w:cs="Calibri" w:eastAsia="Calibri" w:hAnsi="Calibri"/>
      <w:b/>
      <w:bCs/>
      <w:color w:val="1F3A5F"/>
      <w:sz w:val="52"/>
      <w:szCs w:val="52"/>
    </w:rPr>
  </w:style>
  <w:style w:type="paragraph" w:styleId="Heading1">
    <w:name w:val="Heading 1"/>
    <w:basedOn w:val="Normal"/>
    <w:next w:val="Normal"/>
    <w:qFormat/>
    <w:pPr>
      <w:keepNext/>
      <w:pBdr>
        <w:bottom w:val="single" w:color="2A78D6" w:sz="6" w:space="4"/>
      </w:pBdr>
      <w:spacing w:after="60" w:before="360"/>
      <w:outlineLvl w:val="0"/>
    </w:pPr>
    <w:rPr>
      <w:rFonts w:ascii="Calibri" w:cs="Calibri" w:eastAsia="Calibri" w:hAnsi="Calibri"/>
      <w:b/>
      <w:bCs/>
      <w:color w:val="1F3A5F"/>
      <w:sz w:val="30"/>
      <w:szCs w:val="30"/>
    </w:rPr>
  </w:style>
  <w:style w:type="paragraph" w:styleId="Heading2">
    <w:name w:val="Heading 2"/>
    <w:basedOn w:val="Normal"/>
    <w:next w:val="Normal"/>
    <w:qFormat/>
    <w:pPr>
      <w:keepNext/>
      <w:spacing w:after="80" w:before="220"/>
      <w:outlineLvl w:val="1"/>
    </w:pPr>
    <w:rPr>
      <w:rFonts w:ascii="Calibri" w:cs="Calibri" w:eastAsia="Calibri" w:hAnsi="Calibri"/>
      <w:b/>
      <w:bCs/>
      <w:color w:val="1F3A5F"/>
      <w:sz w:val="23"/>
      <w:szCs w:val="23"/>
    </w:rPr>
  </w:style>
  <w:style w:type="paragraph" w:styleId="Parte">
    <w:name w:val="Parte"/>
    <w:basedOn w:val="Normal"/>
    <w:next w:val="Normal"/>
    <w:pPr>
      <w:keepNext/>
      <w:pBdr>
        <w:bottom w:val="single" w:color="2A78D6" w:sz="12" w:space="6"/>
      </w:pBdr>
      <w:spacing w:after="400" w:before="2400"/>
      <w:outlineLvl w:val="0"/>
    </w:pPr>
    <w:rPr>
      <w:rFonts w:ascii="Calibri" w:cs="Calibri" w:eastAsia="Calibri" w:hAnsi="Calibri"/>
      <w:b/>
      <w:bCs/>
      <w:color w:val="2A78D6"/>
      <w:sz w:val="40"/>
      <w:szCs w:val="40"/>
    </w:rPr>
  </w:style>
  <w:style w:type="paragraph" w:styleId="Aviso">
    <w:name w:val="Aviso"/>
    <w:basedOn w:val="Normal"/>
    <w:next w:val="Normal"/>
    <w:pPr>
      <w:pBdr>
        <w:left w:val="single" w:color="D9772E" w:sz="24" w:space="8"/>
      </w:pBdr>
      <w:spacing w:after="200" w:before="120"/>
      <w:ind w:left="200"/>
    </w:pPr>
    <w:rPr>
      <w:b/>
      <w:bCs/>
      <w:color w:val="A3470F"/>
      <w:sz w:val="19"/>
      <w:szCs w:val="19"/>
    </w:rPr>
  </w:style>
  <w:style w:type="paragraph" w:styleId="Confianza">
    <w:name w:val="Confianza"/>
    <w:basedOn w:val="Normal"/>
    <w:next w:val="Normal"/>
    <w:pPr>
      <w:keepNext/>
      <w:spacing w:after="160" w:before="0"/>
    </w:pPr>
    <w:rPr>
      <w:i/>
      <w:iCs/>
      <w:color w:val="8A8984"/>
      <w:sz w:val="16"/>
      <w:szCs w:val="16"/>
    </w:rPr>
  </w:style>
  <w:style w:type="paragraph" w:styleId="Nota">
    <w:name w:val="Nota"/>
    <w:basedOn w:val="Normal"/>
    <w:next w:val="Normal"/>
    <w:pPr>
      <w:spacing w:after="80"/>
    </w:pPr>
    <w:rPr>
      <w:color w:val="52514E"/>
      <w:sz w:val="16"/>
      <w:szCs w:val="1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fontTable" Target="fontTable.xml"/><Relationship Id="rIdGrafico1" Type="http://schemas.openxmlformats.org/officeDocument/2006/relationships/chart" Target="charts/chart1.xml"/><Relationship Id="rIdGrafico2" Type="http://schemas.openxmlformats.org/officeDocument/2006/relationships/chart" Target="charts/chart2.xml"/><Relationship Id="rIdGrafico3" Type="http://schemas.openxmlformats.org/officeDocument/2006/relationships/chart" Target="charts/chart3.xml"/><Relationship Id="rIdGrafico4" Type="http://schemas.openxmlformats.org/officeDocument/2006/relationships/chart" Target="charts/chart4.xml"/><Relationship Id="rIdGrafico5" Type="http://schemas.openxmlformats.org/officeDocument/2006/relationships/chart" Target="charts/chart5.xml"/><Relationship Id="rIdGrafico6" Type="http://schemas.openxmlformats.org/officeDocument/2006/relationships/chart" Target="charts/chart6.xml"/><Relationship Id="rIdGrafico7" Type="http://schemas.openxmlformats.org/officeDocument/2006/relationships/chart" Target="charts/chart7.xml"/><Relationship Id="rIdGrafico8" Type="http://schemas.openxmlformats.org/officeDocument/2006/relationships/chart" Target="charts/chart8.xml"/><Relationship Id="rIdGrafico9" Type="http://schemas.openxmlformats.org/officeDocument/2006/relationships/chart" Target="charts/chart9.xml"/><Relationship Id="rIdGrafico10" Type="http://schemas.openxmlformats.org/officeDocument/2006/relationships/chart" Target="charts/chart10.xml"/><Relationship Id="rIdGrafico11" Type="http://schemas.openxmlformats.org/officeDocument/2006/relationships/chart" Target="charts/chart11.xml"/><Relationship Id="rIdGrafico12" Type="http://schemas.openxmlformats.org/officeDocument/2006/relationships/chart" Target="charts/chart12.xml"/><Relationship Id="rIdGrafico13" Type="http://schemas.openxmlformats.org/officeDocument/2006/relationships/chart" Target="charts/chart13.xml"/><Relationship Id="rIdGrafico14" Type="http://schemas.openxmlformats.org/officeDocument/2006/relationships/chart" Target="charts/chart14.xml"/><Relationship Id="rIdGrafico15" Type="http://schemas.openxmlformats.org/officeDocument/2006/relationships/chart" Target="charts/chart15.xml"/><Relationship Id="rIdGrafico16" Type="http://schemas.openxmlformats.org/officeDocument/2006/relationships/chart" Target="charts/chart16.xml"/><Relationship Id="rIdGrafico17" Type="http://schemas.openxmlformats.org/officeDocument/2006/relationships/chart" Target="charts/chart17.xml"/><Relationship Id="rIdGrafico18" Type="http://schemas.openxmlformats.org/officeDocument/2006/relationships/chart" Target="charts/chart18.xml"/><Relationship Id="rIdGrafico19" Type="http://schemas.openxmlformats.org/officeDocument/2006/relationships/chart" Target="charts/chart19.xml"/><Relationship Id="rIdGrafico20" Type="http://schemas.openxmlformats.org/officeDocument/2006/relationships/chart" Target="charts/chart20.xml"/><Relationship Id="rIdGrafico21" Type="http://schemas.openxmlformats.org/officeDocument/2006/relationships/chart" Target="charts/chart21.xml"/><Relationship Id="rIdGrafico22" Type="http://schemas.openxmlformats.org/officeDocument/2006/relationships/chart" Target="charts/chart22.xml"/><Relationship Id="rIdGrafico23" Type="http://schemas.openxmlformats.org/officeDocument/2006/relationships/chart" Target="charts/chart23.xml"/><Relationship Id="rIdGrafico24" Type="http://schemas.openxmlformats.org/officeDocument/2006/relationships/chart" Target="charts/chart24.xml"/><Relationship Id="rIdGrafico25" Type="http://schemas.openxmlformats.org/officeDocument/2006/relationships/chart" Target="charts/chart25.xml"/><Relationship Id="rIdGrafico26" Type="http://schemas.openxmlformats.org/officeDocument/2006/relationships/chart" Target="charts/chart26.xml"/><Relationship Id="rIdGrafico27" Type="http://schemas.openxmlformats.org/officeDocument/2006/relationships/chart" Target="charts/chart27.xml"/><Relationship Id="rIdGrafico28" Type="http://schemas.openxmlformats.org/officeDocument/2006/relationships/chart" Target="charts/chart28.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charts/_rels/chart1.xml.rels><?xml version="1.0" encoding="UTF-8" standalone="yes"?><Relationships xmlns="http://schemas.openxmlformats.org/package/2006/relationships"><Relationship Id="rId1" Type="http://schemas.openxmlformats.org/officeDocument/2006/relationships/package" Target="../embeddings/Hoja_grafico1.xlsx"/></Relationships>
</file>

<file path=word/charts/_rels/chart2.xml.rels><?xml version="1.0" encoding="UTF-8" standalone="yes"?><Relationships xmlns="http://schemas.openxmlformats.org/package/2006/relationships"><Relationship Id="rId1" Type="http://schemas.openxmlformats.org/officeDocument/2006/relationships/package" Target="../embeddings/Hoja_grafico2.xlsx"/></Relationships>
</file>

<file path=word/charts/_rels/chart3.xml.rels><?xml version="1.0" encoding="UTF-8" standalone="yes"?><Relationships xmlns="http://schemas.openxmlformats.org/package/2006/relationships"><Relationship Id="rId1" Type="http://schemas.openxmlformats.org/officeDocument/2006/relationships/package" Target="../embeddings/Hoja_grafico3.xlsx"/></Relationships>
</file>

<file path=word/charts/_rels/chart4.xml.rels><?xml version="1.0" encoding="UTF-8" standalone="yes"?><Relationships xmlns="http://schemas.openxmlformats.org/package/2006/relationships"><Relationship Id="rId1" Type="http://schemas.openxmlformats.org/officeDocument/2006/relationships/package" Target="../embeddings/Hoja_grafico4.xlsx"/></Relationships>
</file>

<file path=word/charts/_rels/chart5.xml.rels><?xml version="1.0" encoding="UTF-8" standalone="yes"?><Relationships xmlns="http://schemas.openxmlformats.org/package/2006/relationships"><Relationship Id="rId1" Type="http://schemas.openxmlformats.org/officeDocument/2006/relationships/package" Target="../embeddings/Hoja_grafico5.xlsx"/></Relationships>
</file>

<file path=word/charts/_rels/chart6.xml.rels><?xml version="1.0" encoding="UTF-8" standalone="yes"?><Relationships xmlns="http://schemas.openxmlformats.org/package/2006/relationships"><Relationship Id="rId1" Type="http://schemas.openxmlformats.org/officeDocument/2006/relationships/package" Target="../embeddings/Hoja_grafico6.xlsx"/></Relationships>
</file>

<file path=word/charts/_rels/chart7.xml.rels><?xml version="1.0" encoding="UTF-8" standalone="yes"?><Relationships xmlns="http://schemas.openxmlformats.org/package/2006/relationships"><Relationship Id="rId1" Type="http://schemas.openxmlformats.org/officeDocument/2006/relationships/package" Target="../embeddings/Hoja_grafico7.xlsx"/></Relationships>
</file>

<file path=word/charts/_rels/chart8.xml.rels><?xml version="1.0" encoding="UTF-8" standalone="yes"?><Relationships xmlns="http://schemas.openxmlformats.org/package/2006/relationships"><Relationship Id="rId1" Type="http://schemas.openxmlformats.org/officeDocument/2006/relationships/package" Target="../embeddings/Hoja_grafico8.xlsx"/></Relationships>
</file>

<file path=word/charts/_rels/chart9.xml.rels><?xml version="1.0" encoding="UTF-8" standalone="yes"?><Relationships xmlns="http://schemas.openxmlformats.org/package/2006/relationships"><Relationship Id="rId1" Type="http://schemas.openxmlformats.org/officeDocument/2006/relationships/package" Target="../embeddings/Hoja_grafico9.xlsx"/></Relationships>
</file>

<file path=word/charts/_rels/chart10.xml.rels><?xml version="1.0" encoding="UTF-8" standalone="yes"?><Relationships xmlns="http://schemas.openxmlformats.org/package/2006/relationships"><Relationship Id="rId1" Type="http://schemas.openxmlformats.org/officeDocument/2006/relationships/package" Target="../embeddings/Hoja_grafico10.xlsx"/></Relationships>
</file>

<file path=word/charts/_rels/chart11.xml.rels><?xml version="1.0" encoding="UTF-8" standalone="yes"?><Relationships xmlns="http://schemas.openxmlformats.org/package/2006/relationships"><Relationship Id="rId1" Type="http://schemas.openxmlformats.org/officeDocument/2006/relationships/package" Target="../embeddings/Hoja_grafico11.xlsx"/></Relationships>
</file>

<file path=word/charts/_rels/chart12.xml.rels><?xml version="1.0" encoding="UTF-8" standalone="yes"?><Relationships xmlns="http://schemas.openxmlformats.org/package/2006/relationships"><Relationship Id="rId1" Type="http://schemas.openxmlformats.org/officeDocument/2006/relationships/package" Target="../embeddings/Hoja_grafico12.xlsx"/></Relationships>
</file>

<file path=word/charts/_rels/chart13.xml.rels><?xml version="1.0" encoding="UTF-8" standalone="yes"?><Relationships xmlns="http://schemas.openxmlformats.org/package/2006/relationships"><Relationship Id="rId1" Type="http://schemas.openxmlformats.org/officeDocument/2006/relationships/package" Target="../embeddings/Hoja_grafico13.xlsx"/></Relationships>
</file>

<file path=word/charts/_rels/chart14.xml.rels><?xml version="1.0" encoding="UTF-8" standalone="yes"?><Relationships xmlns="http://schemas.openxmlformats.org/package/2006/relationships"><Relationship Id="rId1" Type="http://schemas.openxmlformats.org/officeDocument/2006/relationships/package" Target="../embeddings/Hoja_grafico14.xlsx"/></Relationships>
</file>

<file path=word/charts/_rels/chart15.xml.rels><?xml version="1.0" encoding="UTF-8" standalone="yes"?><Relationships xmlns="http://schemas.openxmlformats.org/package/2006/relationships"><Relationship Id="rId1" Type="http://schemas.openxmlformats.org/officeDocument/2006/relationships/package" Target="../embeddings/Hoja_grafico15.xlsx"/></Relationships>
</file>

<file path=word/charts/_rels/chart16.xml.rels><?xml version="1.0" encoding="UTF-8" standalone="yes"?><Relationships xmlns="http://schemas.openxmlformats.org/package/2006/relationships"><Relationship Id="rId1" Type="http://schemas.openxmlformats.org/officeDocument/2006/relationships/package" Target="../embeddings/Hoja_grafico16.xlsx"/></Relationships>
</file>

<file path=word/charts/_rels/chart17.xml.rels><?xml version="1.0" encoding="UTF-8" standalone="yes"?><Relationships xmlns="http://schemas.openxmlformats.org/package/2006/relationships"><Relationship Id="rId1" Type="http://schemas.openxmlformats.org/officeDocument/2006/relationships/package" Target="../embeddings/Hoja_grafico17.xlsx"/></Relationships>
</file>

<file path=word/charts/_rels/chart18.xml.rels><?xml version="1.0" encoding="UTF-8" standalone="yes"?><Relationships xmlns="http://schemas.openxmlformats.org/package/2006/relationships"><Relationship Id="rId1" Type="http://schemas.openxmlformats.org/officeDocument/2006/relationships/package" Target="../embeddings/Hoja_grafico18.xlsx"/></Relationships>
</file>

<file path=word/charts/_rels/chart19.xml.rels><?xml version="1.0" encoding="UTF-8" standalone="yes"?><Relationships xmlns="http://schemas.openxmlformats.org/package/2006/relationships"><Relationship Id="rId1" Type="http://schemas.openxmlformats.org/officeDocument/2006/relationships/package" Target="../embeddings/Hoja_grafico19.xlsx"/></Relationships>
</file>

<file path=word/charts/_rels/chart20.xml.rels><?xml version="1.0" encoding="UTF-8" standalone="yes"?><Relationships xmlns="http://schemas.openxmlformats.org/package/2006/relationships"><Relationship Id="rId1" Type="http://schemas.openxmlformats.org/officeDocument/2006/relationships/package" Target="../embeddings/Hoja_grafico20.xlsx"/></Relationships>
</file>

<file path=word/charts/_rels/chart21.xml.rels><?xml version="1.0" encoding="UTF-8" standalone="yes"?><Relationships xmlns="http://schemas.openxmlformats.org/package/2006/relationships"><Relationship Id="rId1" Type="http://schemas.openxmlformats.org/officeDocument/2006/relationships/package" Target="../embeddings/Hoja_grafico21.xlsx"/></Relationships>
</file>

<file path=word/charts/_rels/chart22.xml.rels><?xml version="1.0" encoding="UTF-8" standalone="yes"?><Relationships xmlns="http://schemas.openxmlformats.org/package/2006/relationships"><Relationship Id="rId1" Type="http://schemas.openxmlformats.org/officeDocument/2006/relationships/package" Target="../embeddings/Hoja_grafico22.xlsx"/></Relationships>
</file>

<file path=word/charts/_rels/chart23.xml.rels><?xml version="1.0" encoding="UTF-8" standalone="yes"?><Relationships xmlns="http://schemas.openxmlformats.org/package/2006/relationships"><Relationship Id="rId1" Type="http://schemas.openxmlformats.org/officeDocument/2006/relationships/package" Target="../embeddings/Hoja_grafico23.xlsx"/></Relationships>
</file>

<file path=word/charts/_rels/chart24.xml.rels><?xml version="1.0" encoding="UTF-8" standalone="yes"?><Relationships xmlns="http://schemas.openxmlformats.org/package/2006/relationships"><Relationship Id="rId1" Type="http://schemas.openxmlformats.org/officeDocument/2006/relationships/package" Target="../embeddings/Hoja_grafico24.xlsx"/></Relationships>
</file>

<file path=word/charts/_rels/chart25.xml.rels><?xml version="1.0" encoding="UTF-8" standalone="yes"?><Relationships xmlns="http://schemas.openxmlformats.org/package/2006/relationships"><Relationship Id="rId1" Type="http://schemas.openxmlformats.org/officeDocument/2006/relationships/package" Target="../embeddings/Hoja_grafico25.xlsx"/></Relationships>
</file>

<file path=word/charts/_rels/chart26.xml.rels><?xml version="1.0" encoding="UTF-8" standalone="yes"?><Relationships xmlns="http://schemas.openxmlformats.org/package/2006/relationships"><Relationship Id="rId1" Type="http://schemas.openxmlformats.org/officeDocument/2006/relationships/package" Target="../embeddings/Hoja_grafico26.xlsx"/></Relationships>
</file>

<file path=word/charts/_rels/chart27.xml.rels><?xml version="1.0" encoding="UTF-8" standalone="yes"?><Relationships xmlns="http://schemas.openxmlformats.org/package/2006/relationships"><Relationship Id="rId1" Type="http://schemas.openxmlformats.org/officeDocument/2006/relationships/package" Target="../embeddings/Hoja_grafico27.xlsx"/></Relationships>
</file>

<file path=word/charts/_rels/chart28.xml.rels><?xml version="1.0" encoding="UTF-8" standalone="yes"?><Relationships xmlns="http://schemas.openxmlformats.org/package/2006/relationships"><Relationship Id="rId1" Type="http://schemas.openxmlformats.org/officeDocument/2006/relationships/package" Target="../embeddings/Hoja_grafico28.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(USD) · precio actual 103,98</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Hoja1!$A$2:$A$10</c:f>
              <c:strCache>
                <c:ptCount val="9"/>
                <c:pt idx="0">
                  <c:v>Cotización 52 semanas (85,45 – 129,24)</c:v>
                </c:pt>
                <c:pt idx="1">
                  <c:v>Precio objetivo de los analistas (96,00 – 150,00)</c:v>
                </c:pt>
                <c:pt idx="2">
                  <c:v>Comparables: EV/EBITDA NTM (85,01 – 130,27)</c:v>
                </c:pt>
                <c:pt idx="3">
                  <c:v>Comparables: PER NTM (112,33 – 136,68)</c:v>
                </c:pt>
                <c:pt idx="4">
                  <c:v>Transacciones precedentes (EV/ventas) (106,70 – 140,84)</c:v>
                </c:pt>
                <c:pt idx="5">
                  <c:v>DCF (WACC y g ± 0,5) (82,05 – 109,13)</c:v>
                </c:pt>
                <c:pt idx="6">
                  <c:v>Escenarios (bajista – alcista) (67,05 – 113,78)</c:v>
                </c:pt>
                <c:pt idx="7">
                  <c:v>DCF con la prima implícita del mercado (4,2 %)</c:v>
                </c:pt>
                <c:pt idx="8">
                  <c:v>Precio actual (103,98)</c:v>
                </c:pt>
              </c:strCache>
            </c:strRef>
          </c:cat>
          <c:val>
            <c:numRef>
              <c:f>Hoja1!$B$2:$B$10</c:f>
              <c:numCache>
                <c:formatCode>#,##0</c:formatCode>
                <c:ptCount val="9"/>
                <c:pt idx="0">
                  <c:v>85.45</c:v>
                </c:pt>
                <c:pt idx="1">
                  <c:v>96</c:v>
                </c:pt>
                <c:pt idx="2">
                  <c:v>85.01</c:v>
                </c:pt>
                <c:pt idx="3">
                  <c:v>112.33</c:v>
                </c:pt>
                <c:pt idx="4">
                  <c:v>106.7</c:v>
                </c:pt>
                <c:pt idx="5">
                  <c:v>82.05</c:v>
                </c:pt>
                <c:pt idx="6">
                  <c:v>67.05</c:v>
                </c:pt>
                <c:pt idx="7">
                  <c:v>102.9</c:v>
                </c:pt>
                <c:pt idx="8">
                  <c:v>103.46</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8"/>
            <c:invertIfNegative val="0"/>
            <c:bubble3D val="0"/>
            <c:spPr>
              <a:solidFill>
                <a:srgbClr val="C9C8C2"/>
              </a:solidFill>
            </c:spPr>
          </c:dPt>
          <c:cat>
            <c:strRef>
              <c:f>Hoja1!$A$2:$A$10</c:f>
              <c:strCache>
                <c:ptCount val="9"/>
                <c:pt idx="0">
                  <c:v>Cotización 52 semanas (85,45 – 129,24)</c:v>
                </c:pt>
                <c:pt idx="1">
                  <c:v>Precio objetivo de los analistas (96,00 – 150,00)</c:v>
                </c:pt>
                <c:pt idx="2">
                  <c:v>Comparables: EV/EBITDA NTM (85,01 – 130,27)</c:v>
                </c:pt>
                <c:pt idx="3">
                  <c:v>Comparables: PER NTM (112,33 – 136,68)</c:v>
                </c:pt>
                <c:pt idx="4">
                  <c:v>Transacciones precedentes (EV/ventas) (106,70 – 140,84)</c:v>
                </c:pt>
                <c:pt idx="5">
                  <c:v>DCF (WACC y g ± 0,5) (82,05 – 109,13)</c:v>
                </c:pt>
                <c:pt idx="6">
                  <c:v>Escenarios (bajista – alcista) (67,05 – 113,78)</c:v>
                </c:pt>
                <c:pt idx="7">
                  <c:v>DCF con la prima implícita del mercado (4,2 %)</c:v>
                </c:pt>
                <c:pt idx="8">
                  <c:v>Precio actual (103,98)</c:v>
                </c:pt>
              </c:strCache>
            </c:strRef>
          </c:cat>
          <c:val>
            <c:numRef>
              <c:f>Hoja1!$C$2:$C$10</c:f>
              <c:numCache>
                <c:formatCode>#,##0</c:formatCode>
                <c:ptCount val="9"/>
                <c:pt idx="0">
                  <c:v>43.790000000000006</c:v>
                </c:pt>
                <c:pt idx="1">
                  <c:v>54</c:v>
                </c:pt>
                <c:pt idx="2">
                  <c:v>45.260000000000005</c:v>
                </c:pt>
                <c:pt idx="3">
                  <c:v>24.35000000000001</c:v>
                </c:pt>
                <c:pt idx="4">
                  <c:v>34.14</c:v>
                </c:pt>
                <c:pt idx="5">
                  <c:v>27.08</c:v>
                </c:pt>
                <c:pt idx="6">
                  <c:v>46.730000000000004</c:v>
                </c:pt>
                <c:pt idx="7">
                  <c:v>22.679999999999993</c:v>
                </c:pt>
                <c:pt idx="8">
                  <c:v>1.0400000000000063</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5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segmento (USD, millones)</a:t>
            </a:r>
          </a:p>
        </c:rich>
      </c:tx>
      <c:overlay val="0"/>
    </c:title>
    <c:autoTitleDeleted val="0"/>
    <c:plotArea>
      <c:layout/>
      <c:barChart>
        <c:barDir val="col"/>
        <c:grouping val="stacked"/>
        <c:varyColors val="0"/>
        <c:ser>
          <c:idx val="0"/>
          <c:order val="0"/>
          <c:tx>
            <c:strRef>
              <c:f>Hoja1!$B$1</c:f>
              <c:strCache>
                <c:ptCount val="1"/>
                <c:pt idx="0">
                  <c:v>Management Solutions</c:v>
                </c:pt>
              </c:strCache>
            </c:strRef>
          </c:tx>
          <c:spPr>
            <a:solidFill>
              <a:srgbClr val="2A78D6"/>
            </a:solidFill>
            <a:ln w="12700">
              <a:solidFill>
                <a:srgbClr val="FFFFFF"/>
              </a:solidFill>
            </a:ln>
          </c:spPr>
          <c:invertIfNegative val="0"/>
          <c:cat>
            <c:strRef>
              <c:f>Hoja1!$A$2:$A$10</c:f>
              <c:strCache>
                <c:ptCount val="9"/>
                <c:pt idx="0">
                  <c:v>FY2018</c:v>
                </c:pt>
                <c:pt idx="1">
                  <c:v>FY2019</c:v>
                </c:pt>
                <c:pt idx="2">
                  <c:v>FY2020</c:v>
                </c:pt>
                <c:pt idx="3">
                  <c:v>FY2021</c:v>
                </c:pt>
                <c:pt idx="4">
                  <c:v>FY2022</c:v>
                </c:pt>
                <c:pt idx="5">
                  <c:v>FY2023</c:v>
                </c:pt>
                <c:pt idx="6">
                  <c:v>FY2024</c:v>
                </c:pt>
                <c:pt idx="7">
                  <c:v>FY2025</c:v>
                </c:pt>
                <c:pt idx="8">
                  <c:v>FY2026</c:v>
                </c:pt>
              </c:strCache>
            </c:strRef>
          </c:cat>
          <c:val>
            <c:numRef>
              <c:f>Hoja1!$B$2:$B$10</c:f>
              <c:numCache>
                <c:formatCode>#,##0</c:formatCode>
                <c:ptCount val="9"/>
                <c:pt idx="0">
                  <c:v>2758.4</c:v>
                </c:pt>
                <c:pt idx="1">
                  <c:v>2877.7</c:v>
                </c:pt>
                <c:pt idx="2">
                  <c:v>2963</c:v>
                </c:pt>
                <c:pt idx="3">
                  <c:v>3023.4</c:v>
                </c:pt>
                <c:pt idx="4">
                  <c:v>3442.7</c:v>
                </c:pt>
                <c:pt idx="5">
                  <c:v>3730.5</c:v>
                </c:pt>
                <c:pt idx="6">
                  <c:v>3866.4</c:v>
                </c:pt>
                <c:pt idx="7">
                  <c:v>4067.1</c:v>
                </c:pt>
                <c:pt idx="8">
                  <c:v>4867.9</c:v>
                </c:pt>
              </c:numCache>
            </c:numRef>
          </c:val>
        </c:ser>
        <c:ser>
          <c:idx val="1"/>
          <c:order val="1"/>
          <c:tx>
            <c:strRef>
              <c:f>Hoja1!$C$1</c:f>
              <c:strCache>
                <c:ptCount val="1"/>
                <c:pt idx="0">
                  <c:v>PEO and Insurance Solutions</c:v>
                </c:pt>
              </c:strCache>
            </c:strRef>
          </c:tx>
          <c:spPr>
            <a:solidFill>
              <a:srgbClr val="EB6834"/>
            </a:solidFill>
            <a:ln w="12700">
              <a:solidFill>
                <a:srgbClr val="FFFFFF"/>
              </a:solidFill>
            </a:ln>
          </c:spPr>
          <c:invertIfNegative val="0"/>
          <c:cat>
            <c:strRef>
              <c:f>Hoja1!$A$2:$A$10</c:f>
              <c:strCache>
                <c:ptCount val="9"/>
                <c:pt idx="0">
                  <c:v>FY2018</c:v>
                </c:pt>
                <c:pt idx="1">
                  <c:v>FY2019</c:v>
                </c:pt>
                <c:pt idx="2">
                  <c:v>FY2020</c:v>
                </c:pt>
                <c:pt idx="3">
                  <c:v>FY2021</c:v>
                </c:pt>
                <c:pt idx="4">
                  <c:v>FY2022</c:v>
                </c:pt>
                <c:pt idx="5">
                  <c:v>FY2023</c:v>
                </c:pt>
                <c:pt idx="6">
                  <c:v>FY2024</c:v>
                </c:pt>
                <c:pt idx="7">
                  <c:v>FY2025</c:v>
                </c:pt>
                <c:pt idx="8">
                  <c:v>FY2026</c:v>
                </c:pt>
              </c:strCache>
            </c:strRef>
          </c:cat>
          <c:val>
            <c:numRef>
              <c:f>Hoja1!$C$2:$C$10</c:f>
              <c:numCache>
                <c:formatCode>#,##0</c:formatCode>
                <c:ptCount val="9"/>
                <c:pt idx="0">
                  <c:v>555.8</c:v>
                </c:pt>
                <c:pt idx="1">
                  <c:v>814.2</c:v>
                </c:pt>
                <c:pt idx="2">
                  <c:v>990.6</c:v>
                </c:pt>
                <c:pt idx="3">
                  <c:v>974.1</c:v>
                </c:pt>
                <c:pt idx="4">
                  <c:v>1111.3</c:v>
                </c:pt>
                <c:pt idx="5">
                  <c:v>1176.8</c:v>
                </c:pt>
                <c:pt idx="6">
                  <c:v>1265.6</c:v>
                </c:pt>
                <c:pt idx="7">
                  <c:v>1342.9</c:v>
                </c:pt>
                <c:pt idx="8">
                  <c:v>1433.2</c:v>
                </c:pt>
              </c:numCache>
            </c:numRef>
          </c:val>
        </c:ser>
        <c:ser>
          <c:idx val="2"/>
          <c:order val="2"/>
          <c:tx>
            <c:strRef>
              <c:f>Hoja1!$D$1</c:f>
              <c:strCache>
                <c:ptCount val="1"/>
                <c:pt idx="0">
                  <c:v>Interest on funds held for clients</c:v>
                </c:pt>
              </c:strCache>
            </c:strRef>
          </c:tx>
          <c:spPr>
            <a:solidFill>
              <a:srgbClr val="1BAF7A"/>
            </a:solidFill>
            <a:ln w="12700">
              <a:solidFill>
                <a:srgbClr val="FFFFFF"/>
              </a:solidFill>
            </a:ln>
          </c:spPr>
          <c:invertIfNegative val="0"/>
          <c:cat>
            <c:strRef>
              <c:f>Hoja1!$A$2:$A$10</c:f>
              <c:strCache>
                <c:ptCount val="9"/>
                <c:pt idx="0">
                  <c:v>FY2018</c:v>
                </c:pt>
                <c:pt idx="1">
                  <c:v>FY2019</c:v>
                </c:pt>
                <c:pt idx="2">
                  <c:v>FY2020</c:v>
                </c:pt>
                <c:pt idx="3">
                  <c:v>FY2021</c:v>
                </c:pt>
                <c:pt idx="4">
                  <c:v>FY2022</c:v>
                </c:pt>
                <c:pt idx="5">
                  <c:v>FY2023</c:v>
                </c:pt>
                <c:pt idx="6">
                  <c:v>FY2024</c:v>
                </c:pt>
                <c:pt idx="7">
                  <c:v>FY2025</c:v>
                </c:pt>
                <c:pt idx="8">
                  <c:v>FY2026</c:v>
                </c:pt>
              </c:strCache>
            </c:strRef>
          </c:cat>
          <c:val>
            <c:numRef>
              <c:f>Hoja1!$D$2:$D$10</c:f>
              <c:numCache>
                <c:formatCode>#,##0</c:formatCode>
                <c:ptCount val="9"/>
                <c:pt idx="0">
                  <c:v>63.5</c:v>
                </c:pt>
                <c:pt idx="1">
                  <c:v>80.6</c:v>
                </c:pt>
                <c:pt idx="2">
                  <c:v>86.9</c:v>
                </c:pt>
                <c:pt idx="3">
                  <c:v>59.3</c:v>
                </c:pt>
                <c:pt idx="4">
                  <c:v>57.7</c:v>
                </c:pt>
                <c:pt idx="5">
                  <c:v>99.8</c:v>
                </c:pt>
                <c:pt idx="6">
                  <c:v>146.3</c:v>
                </c:pt>
                <c:pt idx="7">
                  <c:v>161.7</c:v>
                </c:pt>
                <c:pt idx="8">
                  <c:v>210.9</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Peso de cada segmento en los ingresos (FY2026)</a:t>
            </a:r>
          </a:p>
        </c:rich>
      </c:tx>
      <c:overlay val="0"/>
    </c:title>
    <c:autoTitleDeleted val="0"/>
    <c:plotArea>
      <c:layout/>
      <c:doughnutChart>
        <c:varyColors val="1"/>
        <c:ser>
          <c:idx val="0"/>
          <c:order val="0"/>
          <c:tx>
            <c:strRef>
              <c:f>Hoja1!$B$1</c:f>
              <c:strCache>
                <c:ptCount val="1"/>
                <c:pt idx="0">
                  <c:v>% de ingresos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Pt>
            <c:idx val="2"/>
            <c:bubble3D val="0"/>
            <c:spPr>
              <a:solidFill>
                <a:srgbClr val="1BAF7A"/>
              </a:solidFill>
              <a:ln w="19050">
                <a:solidFill>
                  <a:srgbClr val="FFFFFF"/>
                </a:solidFill>
              </a:ln>
            </c:spPr>
          </c:dPt>
          <c:dLbls>
            <c:numFmt formatCode="0.0&quot;%&quot;"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Hoja1!$A$2:$A$4</c:f>
              <c:strCache>
                <c:ptCount val="3"/>
                <c:pt idx="0">
                  <c:v>Management Solutions</c:v>
                </c:pt>
                <c:pt idx="1">
                  <c:v>PEO and Insurance Solutions</c:v>
                </c:pt>
                <c:pt idx="2">
                  <c:v>Interest on funds held for clients</c:v>
                </c:pt>
              </c:strCache>
            </c:strRef>
          </c:cat>
          <c:val>
            <c:numRef>
              <c:f>Hoja1!$B$2:$B$4</c:f>
              <c:numCache>
                <c:formatCode>General</c:formatCode>
                <c:ptCount val="3"/>
                <c:pt idx="0">
                  <c:v>74.8</c:v>
                </c:pt>
                <c:pt idx="1">
                  <c:v>22</c:v>
                </c:pt>
                <c:pt idx="2">
                  <c:v>3.2</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geografía, según origen (% del total)</a:t>
            </a:r>
          </a:p>
        </c:rich>
      </c:tx>
      <c:overlay val="0"/>
    </c:title>
    <c:autoTitleDeleted val="0"/>
    <c:plotArea>
      <c:layout/>
      <c:barChart>
        <c:barDir val="bar"/>
        <c:grouping val="clustered"/>
        <c:varyColors val="0"/>
        <c:ser>
          <c:idx val="0"/>
          <c:order val="0"/>
          <c:tx>
            <c:strRef>
              <c:f>Hoja1!$B$1</c:f>
              <c:strCache>
                <c:ptCount val="1"/>
                <c:pt idx="0">
                  <c:v>% de ingresos</c:v>
                </c:pt>
              </c:strCache>
            </c:strRef>
          </c:tx>
          <c:spPr>
            <a:solidFill>
              <a:srgbClr val="2A78D6"/>
            </a:solidFill>
            <a:ln w="9525">
              <a:noFill/>
            </a:ln>
          </c:spPr>
          <c:invertIfNegative val="0"/>
          <c:dLbls>
            <c:numFmt formatCode="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Hoja1!$A$2:$A$3</c:f>
              <c:strCache>
                <c:ptCount val="2"/>
                <c:pt idx="0">
                  <c:v>Estados Unidos</c:v>
                </c:pt>
                <c:pt idx="1">
                  <c:v>Europa</c:v>
                </c:pt>
              </c:strCache>
            </c:strRef>
          </c:cat>
          <c:val>
            <c:numRef>
              <c:f>Hoja1!$B$2:$B$3</c:f>
              <c:numCache>
                <c:formatCode>0"%"</c:formatCode>
                <c:ptCount val="2"/>
                <c:pt idx="0">
                  <c:v>99</c:v>
                </c:pt>
                <c:pt idx="1">
                  <c:v>1</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Tamaño del mercado (millones de USD (ingresos de las empresas de servicios de nóminas de EE. UU., NAICS 541214, Census)) · «e» = previsión</a:t>
            </a:r>
          </a:p>
        </c:rich>
      </c:tx>
      <c:overlay val="0"/>
    </c:title>
    <c:autoTitleDeleted val="0"/>
    <c:plotArea>
      <c:layout/>
      <c:barChart>
        <c:barDir val="col"/>
        <c:grouping val="clustered"/>
        <c:varyColors val="0"/>
        <c:ser>
          <c:idx val="0"/>
          <c:order val="0"/>
          <c:tx>
            <c:strRef>
              <c:f>Hoja1!$B$1</c:f>
              <c:strCache>
                <c:ptCount val="1"/>
                <c:pt idx="0">
                  <c:v>Tamaño del mercado</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Hoja1!$A$2:$A$7</c:f>
              <c:strCache>
                <c:ptCount val="6"/>
                <c:pt idx="0">
                  <c:v>2017</c:v>
                </c:pt>
                <c:pt idx="1">
                  <c:v>2018</c:v>
                </c:pt>
                <c:pt idx="2">
                  <c:v>2019</c:v>
                </c:pt>
                <c:pt idx="3">
                  <c:v>2020</c:v>
                </c:pt>
                <c:pt idx="4">
                  <c:v>2021</c:v>
                </c:pt>
                <c:pt idx="5">
                  <c:v>2022</c:v>
                </c:pt>
              </c:strCache>
            </c:strRef>
          </c:cat>
          <c:val>
            <c:numRef>
              <c:f>Hoja1!$B$2:$B$7</c:f>
              <c:numCache>
                <c:formatCode>#,##0</c:formatCode>
                <c:ptCount val="6"/>
                <c:pt idx="0">
                  <c:v>21946</c:v>
                </c:pt>
                <c:pt idx="1">
                  <c:v>21794</c:v>
                </c:pt>
                <c:pt idx="2">
                  <c:v>23929</c:v>
                </c:pt>
                <c:pt idx="3">
                  <c:v>24637</c:v>
                </c:pt>
                <c:pt idx="4">
                  <c:v>26729</c:v>
                </c:pt>
                <c:pt idx="5">
                  <c:v>27589</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Cinco fuerzas: intensidad (1 = favorable, 5 = desfavorable)</a:t>
            </a:r>
          </a:p>
        </c:rich>
      </c:tx>
      <c:overlay val="0"/>
    </c:title>
    <c:autoTitleDeleted val="0"/>
    <c:plotArea>
      <c:layout/>
      <c:radarChart>
        <c:radarStyle val="marker"/>
        <c:varyColors val="0"/>
        <c:ser>
          <c:idx val="0"/>
          <c:order val="0"/>
          <c:tx>
            <c:strRef>
              <c:f>Hoja1!$B$1</c:f>
              <c:strCache>
                <c:ptCount val="1"/>
                <c:pt idx="0">
                  <c:v>Intensidad</c:v>
                </c:pt>
              </c:strCache>
            </c:strRef>
          </c:tx>
          <c:spPr>
            <a:ln w="25400">
              <a:solidFill>
                <a:srgbClr val="2A78D6"/>
              </a:solidFill>
            </a:ln>
          </c:spPr>
          <c:marker>
            <c:symbol val="circle"/>
            <c:size val="6"/>
            <c:spPr>
              <a:solidFill>
                <a:srgbClr val="2A78D6"/>
              </a:solidFill>
            </c:spPr>
          </c:marker>
          <c:cat>
            <c:strRef>
              <c:f>Hoja1!$A$2:$A$6</c:f>
              <c:strCache>
                <c:ptCount val="5"/>
                <c:pt idx="0">
                  <c:v>Rivalidad</c:v>
                </c:pt>
                <c:pt idx="1">
                  <c:v>Poder de los clientes</c:v>
                </c:pt>
                <c:pt idx="2">
                  <c:v>Poder de los proveedores</c:v>
                </c:pt>
                <c:pt idx="3">
                  <c:v>Amenaza de entrada</c:v>
                </c:pt>
                <c:pt idx="4">
                  <c:v>Amenaza de sustitutos</c:v>
                </c:pt>
              </c:strCache>
            </c:strRef>
          </c:cat>
          <c:val>
            <c:numRef>
              <c:f>Hoja1!$B$2:$B$6</c:f>
              <c:numCache>
                <c:formatCode>General</c:formatCode>
                <c:ptCount val="5"/>
                <c:pt idx="0">
                  <c:v>4</c:v>
                </c:pt>
                <c:pt idx="1">
                  <c:v>2</c:v>
                </c:pt>
                <c:pt idx="2">
                  <c:v>2</c:v>
                </c:pt>
                <c:pt idx="3">
                  <c:v>3</c:v>
                </c:pt>
                <c:pt idx="4">
                  <c:v>2</c:v>
                </c:pt>
              </c:numCache>
            </c:numRef>
          </c:val>
        </c:ser>
        <c:axId val="10"/>
        <c:axId val="20"/>
      </c:radarChart>
      <c:catAx>
        <c:axId val="10"/>
        <c:scaling>
          <c:orientation val="minMax"/>
        </c:scaling>
        <c:delete val="0"/>
        <c:axPos val="b"/>
        <c:majorGridlines>
          <c:spPr>
            <a:ln w="6350">
              <a:solidFill>
                <a:srgbClr val="E4E3DF"/>
              </a:solidFill>
            </a:ln>
          </c:spPr>
        </c:majorGridlines>
        <c:numFmt formatCode="General" sourceLinked="0"/>
        <c:majorTickMark val="none"/>
        <c:minorTickMark val="none"/>
        <c:tickLblPos val="nextTo"/>
        <c:spPr>
          <a:ln w="6350">
            <a:solidFill>
              <a:srgbClr val="E4E3DF"/>
            </a:solidFill>
          </a:ln>
        </c:spPr>
        <c:txPr>
          <a:bodyPr/>
          <a:lstStyle/>
          <a:p>
            <a:pPr>
              <a:defRPr sz="850">
                <a:solidFill>
                  <a:srgbClr val="1F2A3C"/>
                </a:solidFill>
              </a:defRPr>
            </a:pPr>
            <a:endParaRPr lang="es-ES"/>
          </a:p>
        </c:txPr>
        <c:crossAx val="20"/>
        <c:crosses val="autoZero"/>
        <c:auto val="1"/>
        <c:lblAlgn val="ctr"/>
        <c:lblOffset val="100"/>
        <c:noMultiLvlLbl val="0"/>
      </c:catAx>
      <c:valAx>
        <c:axId val="20"/>
        <c:scaling>
          <c:orientation val="minMax"/>
          <c:max val="5"/>
          <c:min val="0"/>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750">
                <a:solidFill>
                  <a:srgbClr val="52514E"/>
                </a:solidFill>
              </a:defRPr>
            </a:pPr>
            <a:endParaRPr lang="es-ES"/>
          </a:p>
        </c:txPr>
        <c:crossAx val="10"/>
        <c:crosses val="autoZero"/>
        <c:crossBetween val="between"/>
        <c:majorUnit val="1"/>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Margen EBIT: la empresa frente a sus competidores (%)</a:t>
            </a:r>
          </a:p>
        </c:rich>
      </c:tx>
      <c:overlay val="0"/>
    </c:title>
    <c:autoTitleDeleted val="0"/>
    <c:plotArea>
      <c:layout/>
      <c:barChart>
        <c:barDir val="bar"/>
        <c:grouping val="clustered"/>
        <c:varyColors val="0"/>
        <c:ser>
          <c:idx val="0"/>
          <c:order val="0"/>
          <c:tx>
            <c:strRef>
              <c:f>Hoja1!$B$1</c:f>
              <c:strCache>
                <c:ptCount val="1"/>
                <c:pt idx="0">
                  <c:v>Margen EBIT</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Pt>
            <c:idx val="7"/>
            <c:invertIfNegative val="0"/>
            <c:bubble3D val="0"/>
            <c:spPr>
              <a:solidFill>
                <a:srgbClr val="C9C8C2"/>
              </a:solidFill>
            </c:spPr>
          </c:dPt>
          <c:dPt>
            <c:idx val="8"/>
            <c:invertIfNegative val="0"/>
            <c:bubble3D val="0"/>
            <c:spPr>
              <a:solidFill>
                <a:srgbClr val="C9C8C2"/>
              </a:solidFill>
            </c:spPr>
          </c:dPt>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Hoja1!$A$2:$A$10</c:f>
              <c:strCache>
                <c:ptCount val="9"/>
                <c:pt idx="0">
                  <c:v>Paychex</c:v>
                </c:pt>
                <c:pt idx="1">
                  <c:v>Automatic Data Processing (ADP)</c:v>
                </c:pt>
                <c:pt idx="2">
                  <c:v>Intuit (QuickBooks Payroll)</c:v>
                </c:pt>
                <c:pt idx="3">
                  <c:v>Workday</c:v>
                </c:pt>
                <c:pt idx="4">
                  <c:v>Insperity</c:v>
                </c:pt>
                <c:pt idx="5">
                  <c:v>TriNet</c:v>
                </c:pt>
                <c:pt idx="6">
                  <c:v>Paycom Software</c:v>
                </c:pt>
                <c:pt idx="7">
                  <c:v>Paylocity</c:v>
                </c:pt>
                <c:pt idx="8">
                  <c:v>Gusto</c:v>
                </c:pt>
              </c:strCache>
            </c:strRef>
          </c:cat>
          <c:val>
            <c:numRef>
              <c:f>Hoja1!$B$2:$B$10</c:f>
              <c:numCache>
                <c:formatCode>0.0"%"</c:formatCode>
                <c:ptCount val="9"/>
                <c:pt idx="0">
                  <c:v>39.5</c:v>
                </c:pt>
                <c:pt idx="1">
                  <c:v>26.1</c:v>
                </c:pt>
                <c:pt idx="2">
                  <c:v>27.4</c:v>
                </c:pt>
                <c:pt idx="3">
                  <c:v>7.5</c:v>
                </c:pt>
                <c:pt idx="4">
                  <c:v>-0.1</c:v>
                </c:pt>
                <c:pt idx="5">
                  <c:v>4.3</c:v>
                </c:pt>
                <c:pt idx="6">
                  <c:v>27.6</c:v>
                </c:pt>
                <c:pt idx="7">
                  <c:v>21.8</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Fuentes de ventaja competitiva (0 = inexistente, 5 = muy fuerte)</a:t>
            </a:r>
          </a:p>
        </c:rich>
      </c:tx>
      <c:overlay val="0"/>
    </c:title>
    <c:autoTitleDeleted val="0"/>
    <c:plotArea>
      <c:layout/>
      <c:barChart>
        <c:barDir val="bar"/>
        <c:grouping val="clustered"/>
        <c:varyColors val="0"/>
        <c:ser>
          <c:idx val="0"/>
          <c:order val="0"/>
          <c:tx>
            <c:strRef>
              <c:f>Hoja1!$B$1</c:f>
              <c:strCache>
                <c:ptCount val="1"/>
                <c:pt idx="0">
                  <c:v>Puntuación</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Efectos de red</c:v>
                </c:pt>
                <c:pt idx="1">
                  <c:v>Costes de cambio</c:v>
                </c:pt>
                <c:pt idx="2">
                  <c:v>Intangibles (marca, patentes, licencias)</c:v>
                </c:pt>
                <c:pt idx="3">
                  <c:v>Ventaja en costes</c:v>
                </c:pt>
                <c:pt idx="4">
                  <c:v>Escala eficiente</c:v>
                </c:pt>
              </c:strCache>
            </c:strRef>
          </c:cat>
          <c:val>
            <c:numRef>
              <c:f>Hoja1!$B$2:$B$6</c:f>
              <c:numCache>
                <c:formatCode>0</c:formatCode>
                <c:ptCount val="5"/>
                <c:pt idx="0">
                  <c:v>1</c:v>
                </c:pt>
                <c:pt idx="1">
                  <c:v>3</c:v>
                </c:pt>
                <c:pt idx="2">
                  <c:v>2</c:v>
                </c:pt>
                <c:pt idx="3">
                  <c:v>4</c:v>
                </c:pt>
                <c:pt idx="4">
                  <c:v>3</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ax val="5"/>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y EBITDA (USD, millones) · «e» = proyección propia del DCF</a:t>
            </a:r>
          </a:p>
        </c:rich>
      </c:tx>
      <c:overlay val="0"/>
    </c:title>
    <c:autoTitleDeleted val="0"/>
    <c:plotArea>
      <c:layout/>
      <c:barChart>
        <c:barDir val="col"/>
        <c:grouping val="clustered"/>
        <c:varyColors val="0"/>
        <c:ser>
          <c:idx val="0"/>
          <c:order val="0"/>
          <c:tx>
            <c:strRef>
              <c:f>Hoja1!$B$1</c:f>
              <c:strCache>
                <c:ptCount val="1"/>
                <c:pt idx="0">
                  <c:v>Ingresos</c:v>
                </c:pt>
              </c:strCache>
            </c:strRef>
          </c:tx>
          <c:spPr>
            <a:solidFill>
              <a:srgbClr val="2A78D6"/>
            </a:solidFill>
            <a:ln w="9525">
              <a:noFill/>
            </a:ln>
          </c:spPr>
          <c:invertIfNegative val="0"/>
          <c:cat>
            <c:strRef>
              <c:f>Hoja1!$A$2:$A$19</c:f>
              <c:strCache>
                <c:ptCount val="18"/>
                <c:pt idx="0">
                  <c:v>FY2017</c:v>
                </c:pt>
                <c:pt idx="1">
                  <c:v>FY2018</c:v>
                </c:pt>
                <c:pt idx="2">
                  <c:v>FY2019</c:v>
                </c:pt>
                <c:pt idx="3">
                  <c:v>FY2020</c:v>
                </c:pt>
                <c:pt idx="4">
                  <c:v>FY2021</c:v>
                </c:pt>
                <c:pt idx="5">
                  <c:v>FY2022</c:v>
                </c:pt>
                <c:pt idx="6">
                  <c:v>FY2023</c:v>
                </c:pt>
                <c:pt idx="7">
                  <c:v>FY2024</c:v>
                </c:pt>
                <c:pt idx="8">
                  <c:v>FY2025</c:v>
                </c:pt>
                <c:pt idx="9">
                  <c:v>FY2026</c:v>
                </c:pt>
                <c:pt idx="10">
                  <c:v>FY2027e</c:v>
                </c:pt>
                <c:pt idx="11">
                  <c:v>FY2028e</c:v>
                </c:pt>
                <c:pt idx="12">
                  <c:v>FY2029e</c:v>
                </c:pt>
                <c:pt idx="13">
                  <c:v>FY2030e</c:v>
                </c:pt>
                <c:pt idx="14">
                  <c:v>FY2031e</c:v>
                </c:pt>
                <c:pt idx="15">
                  <c:v>FY2032e</c:v>
                </c:pt>
                <c:pt idx="16">
                  <c:v>FY2033e</c:v>
                </c:pt>
                <c:pt idx="17">
                  <c:v>FY2034e</c:v>
                </c:pt>
              </c:strCache>
            </c:strRef>
          </c:cat>
          <c:val>
            <c:numRef>
              <c:f>Hoja1!$B$2:$B$19</c:f>
              <c:numCache>
                <c:formatCode>#,##0</c:formatCode>
                <c:ptCount val="18"/>
                <c:pt idx="0">
                  <c:v>3153</c:v>
                </c:pt>
                <c:pt idx="1">
                  <c:v>3377.7</c:v>
                </c:pt>
                <c:pt idx="2">
                  <c:v>3772.5</c:v>
                </c:pt>
                <c:pt idx="3">
                  <c:v>4040.5</c:v>
                </c:pt>
                <c:pt idx="4">
                  <c:v>4056.8</c:v>
                </c:pt>
                <c:pt idx="5">
                  <c:v>4611.7</c:v>
                </c:pt>
                <c:pt idx="6">
                  <c:v>5007.1</c:v>
                </c:pt>
                <c:pt idx="7">
                  <c:v>5278.3</c:v>
                </c:pt>
                <c:pt idx="8">
                  <c:v>5571.7</c:v>
                </c:pt>
                <c:pt idx="9">
                  <c:v>6512</c:v>
                </c:pt>
                <c:pt idx="10">
                  <c:v>6870</c:v>
                </c:pt>
                <c:pt idx="11">
                  <c:v>7248</c:v>
                </c:pt>
                <c:pt idx="12">
                  <c:v>7610</c:v>
                </c:pt>
                <c:pt idx="13">
                  <c:v>7976</c:v>
                </c:pt>
                <c:pt idx="14">
                  <c:v>8335</c:v>
                </c:pt>
                <c:pt idx="15">
                  <c:v>8668</c:v>
                </c:pt>
                <c:pt idx="16">
                  <c:v>8971</c:v>
                </c:pt>
                <c:pt idx="17">
                  <c:v>9285</c:v>
                </c:pt>
              </c:numCache>
            </c:numRef>
          </c:val>
        </c:ser>
        <c:ser>
          <c:idx val="1"/>
          <c:order val="1"/>
          <c:tx>
            <c:strRef>
              <c:f>Hoja1!$C$1</c:f>
              <c:strCache>
                <c:ptCount val="1"/>
                <c:pt idx="0">
                  <c:v>EBITDA</c:v>
                </c:pt>
              </c:strCache>
            </c:strRef>
          </c:tx>
          <c:spPr>
            <a:solidFill>
              <a:srgbClr val="EB6834"/>
            </a:solidFill>
            <a:ln w="9525">
              <a:noFill/>
            </a:ln>
          </c:spPr>
          <c:invertIfNegative val="0"/>
          <c:cat>
            <c:strRef>
              <c:f>Hoja1!$A$2:$A$19</c:f>
              <c:strCache>
                <c:ptCount val="18"/>
                <c:pt idx="0">
                  <c:v>FY2017</c:v>
                </c:pt>
                <c:pt idx="1">
                  <c:v>FY2018</c:v>
                </c:pt>
                <c:pt idx="2">
                  <c:v>FY2019</c:v>
                </c:pt>
                <c:pt idx="3">
                  <c:v>FY2020</c:v>
                </c:pt>
                <c:pt idx="4">
                  <c:v>FY2021</c:v>
                </c:pt>
                <c:pt idx="5">
                  <c:v>FY2022</c:v>
                </c:pt>
                <c:pt idx="6">
                  <c:v>FY2023</c:v>
                </c:pt>
                <c:pt idx="7">
                  <c:v>FY2024</c:v>
                </c:pt>
                <c:pt idx="8">
                  <c:v>FY2025</c:v>
                </c:pt>
                <c:pt idx="9">
                  <c:v>FY2026</c:v>
                </c:pt>
                <c:pt idx="10">
                  <c:v>FY2027e</c:v>
                </c:pt>
                <c:pt idx="11">
                  <c:v>FY2028e</c:v>
                </c:pt>
                <c:pt idx="12">
                  <c:v>FY2029e</c:v>
                </c:pt>
                <c:pt idx="13">
                  <c:v>FY2030e</c:v>
                </c:pt>
                <c:pt idx="14">
                  <c:v>FY2031e</c:v>
                </c:pt>
                <c:pt idx="15">
                  <c:v>FY2032e</c:v>
                </c:pt>
                <c:pt idx="16">
                  <c:v>FY2033e</c:v>
                </c:pt>
                <c:pt idx="17">
                  <c:v>FY2034e</c:v>
                </c:pt>
              </c:strCache>
            </c:strRef>
          </c:cat>
          <c:val>
            <c:numRef>
              <c:f>Hoja1!$C$2:$C$19</c:f>
              <c:numCache>
                <c:formatCode>#,##0</c:formatCode>
                <c:ptCount val="18"/>
                <c:pt idx="0">
                  <c:v>1380.8</c:v>
                </c:pt>
                <c:pt idx="1">
                  <c:v>1462.1</c:v>
                </c:pt>
                <c:pt idx="2">
                  <c:v>1552.8</c:v>
                </c:pt>
                <c:pt idx="3">
                  <c:v>1670.2</c:v>
                </c:pt>
                <c:pt idx="4">
                  <c:v>1652.7</c:v>
                </c:pt>
                <c:pt idx="5">
                  <c:v>2031.8</c:v>
                </c:pt>
                <c:pt idx="6">
                  <c:v>2209.7</c:v>
                </c:pt>
                <c:pt idx="7">
                  <c:v>2390.1</c:v>
                </c:pt>
                <c:pt idx="8">
                  <c:v>2538.7999999999997</c:v>
                </c:pt>
                <c:pt idx="9">
                  <c:v>3015.2999999999997</c:v>
                </c:pt>
                <c:pt idx="10">
                  <c:v>3229</c:v>
                </c:pt>
                <c:pt idx="11">
                  <c:v>3443</c:v>
                </c:pt>
                <c:pt idx="12">
                  <c:v>3615</c:v>
                </c:pt>
                <c:pt idx="13">
                  <c:v>3788</c:v>
                </c:pt>
                <c:pt idx="14">
                  <c:v>3959</c:v>
                </c:pt>
                <c:pt idx="15">
                  <c:v>4117</c:v>
                </c:pt>
                <c:pt idx="16">
                  <c:v>4261</c:v>
                </c:pt>
                <c:pt idx="17">
                  <c:v>4411</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Márgenes (% de ingresos)</a:t>
            </a:r>
          </a:p>
        </c:rich>
      </c:tx>
      <c:overlay val="0"/>
    </c:title>
    <c:autoTitleDeleted val="0"/>
    <c:plotArea>
      <c:layout/>
      <c:lineChart>
        <c:grouping val="standard"/>
        <c:varyColors val="0"/>
        <c:ser>
          <c:idx val="0"/>
          <c:order val="0"/>
          <c:tx>
            <c:strRef>
              <c:f>Hoja1!$B$1</c:f>
              <c:strCache>
                <c:ptCount val="1"/>
                <c:pt idx="0">
                  <c:v>Bruto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Hoja1!$A$2:$A$11</c:f>
              <c:strCache>
                <c:ptCount val="10"/>
                <c:pt idx="0">
                  <c:v>FY2017</c:v>
                </c:pt>
                <c:pt idx="1">
                  <c:v>FY2018</c:v>
                </c:pt>
                <c:pt idx="2">
                  <c:v>FY2019</c:v>
                </c:pt>
                <c:pt idx="3">
                  <c:v>FY2020</c:v>
                </c:pt>
                <c:pt idx="4">
                  <c:v>FY2021</c:v>
                </c:pt>
                <c:pt idx="5">
                  <c:v>FY2022</c:v>
                </c:pt>
                <c:pt idx="6">
                  <c:v>FY2023</c:v>
                </c:pt>
                <c:pt idx="7">
                  <c:v>FY2024</c:v>
                </c:pt>
                <c:pt idx="8">
                  <c:v>FY2025</c:v>
                </c:pt>
                <c:pt idx="9">
                  <c:v>FY2026</c:v>
                </c:pt>
              </c:strCache>
            </c:strRef>
          </c:cat>
          <c:val>
            <c:numRef>
              <c:f>Hoja1!$B$2:$B$11</c:f>
              <c:numCache>
                <c:formatCode>0"%"</c:formatCode>
                <c:ptCount val="10"/>
                <c:pt idx="0">
                  <c:v>70.8</c:v>
                </c:pt>
                <c:pt idx="1">
                  <c:v>69.9</c:v>
                </c:pt>
                <c:pt idx="2">
                  <c:v>68.8</c:v>
                </c:pt>
                <c:pt idx="3">
                  <c:v>68.3</c:v>
                </c:pt>
                <c:pt idx="4">
                  <c:v>68.7</c:v>
                </c:pt>
                <c:pt idx="5">
                  <c:v>70.6</c:v>
                </c:pt>
                <c:pt idx="6">
                  <c:v>71</c:v>
                </c:pt>
                <c:pt idx="7">
                  <c:v>72</c:v>
                </c:pt>
                <c:pt idx="8">
                  <c:v>72.4</c:v>
                </c:pt>
                <c:pt idx="9">
                  <c:v>74.3</c:v>
                </c:pt>
              </c:numCache>
            </c:numRef>
          </c:val>
          <c:smooth val="0"/>
        </c:ser>
        <c:ser>
          <c:idx val="1"/>
          <c:order val="1"/>
          <c:tx>
            <c:strRef>
              <c:f>Hoja1!$C$1</c:f>
              <c:strCache>
                <c:ptCount val="1"/>
                <c:pt idx="0">
                  <c:v>EBITDA</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Hoja1!$A$2:$A$11</c:f>
              <c:strCache>
                <c:ptCount val="10"/>
                <c:pt idx="0">
                  <c:v>FY2017</c:v>
                </c:pt>
                <c:pt idx="1">
                  <c:v>FY2018</c:v>
                </c:pt>
                <c:pt idx="2">
                  <c:v>FY2019</c:v>
                </c:pt>
                <c:pt idx="3">
                  <c:v>FY2020</c:v>
                </c:pt>
                <c:pt idx="4">
                  <c:v>FY2021</c:v>
                </c:pt>
                <c:pt idx="5">
                  <c:v>FY2022</c:v>
                </c:pt>
                <c:pt idx="6">
                  <c:v>FY2023</c:v>
                </c:pt>
                <c:pt idx="7">
                  <c:v>FY2024</c:v>
                </c:pt>
                <c:pt idx="8">
                  <c:v>FY2025</c:v>
                </c:pt>
                <c:pt idx="9">
                  <c:v>FY2026</c:v>
                </c:pt>
              </c:strCache>
            </c:strRef>
          </c:cat>
          <c:val>
            <c:numRef>
              <c:f>Hoja1!$C$2:$C$11</c:f>
              <c:numCache>
                <c:formatCode>0"%"</c:formatCode>
                <c:ptCount val="10"/>
                <c:pt idx="0">
                  <c:v>43.8</c:v>
                </c:pt>
                <c:pt idx="1">
                  <c:v>43.3</c:v>
                </c:pt>
                <c:pt idx="2">
                  <c:v>41.2</c:v>
                </c:pt>
                <c:pt idx="3">
                  <c:v>41.3</c:v>
                </c:pt>
                <c:pt idx="4">
                  <c:v>40.7</c:v>
                </c:pt>
                <c:pt idx="5">
                  <c:v>44.1</c:v>
                </c:pt>
                <c:pt idx="6">
                  <c:v>44.1</c:v>
                </c:pt>
                <c:pt idx="7">
                  <c:v>45.3</c:v>
                </c:pt>
                <c:pt idx="8">
                  <c:v>45.6</c:v>
                </c:pt>
                <c:pt idx="9">
                  <c:v>46.3</c:v>
                </c:pt>
              </c:numCache>
            </c:numRef>
          </c:val>
          <c:smooth val="0"/>
        </c:ser>
        <c:ser>
          <c:idx val="2"/>
          <c:order val="2"/>
          <c:tx>
            <c:strRef>
              <c:f>Hoja1!$D$1</c:f>
              <c:strCache>
                <c:ptCount val="1"/>
                <c:pt idx="0">
                  <c:v>EBIT</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Hoja1!$A$2:$A$11</c:f>
              <c:strCache>
                <c:ptCount val="10"/>
                <c:pt idx="0">
                  <c:v>FY2017</c:v>
                </c:pt>
                <c:pt idx="1">
                  <c:v>FY2018</c:v>
                </c:pt>
                <c:pt idx="2">
                  <c:v>FY2019</c:v>
                </c:pt>
                <c:pt idx="3">
                  <c:v>FY2020</c:v>
                </c:pt>
                <c:pt idx="4">
                  <c:v>FY2021</c:v>
                </c:pt>
                <c:pt idx="5">
                  <c:v>FY2022</c:v>
                </c:pt>
                <c:pt idx="6">
                  <c:v>FY2023</c:v>
                </c:pt>
                <c:pt idx="7">
                  <c:v>FY2024</c:v>
                </c:pt>
                <c:pt idx="8">
                  <c:v>FY2025</c:v>
                </c:pt>
                <c:pt idx="9">
                  <c:v>FY2026</c:v>
                </c:pt>
              </c:strCache>
            </c:strRef>
          </c:cat>
          <c:val>
            <c:numRef>
              <c:f>Hoja1!$D$2:$D$11</c:f>
              <c:numCache>
                <c:formatCode>0"%"</c:formatCode>
                <c:ptCount val="10"/>
                <c:pt idx="0">
                  <c:v>39.8</c:v>
                </c:pt>
                <c:pt idx="1">
                  <c:v>39.2</c:v>
                </c:pt>
                <c:pt idx="2">
                  <c:v>36.3</c:v>
                </c:pt>
                <c:pt idx="3">
                  <c:v>36.1</c:v>
                </c:pt>
                <c:pt idx="4">
                  <c:v>36</c:v>
                </c:pt>
                <c:pt idx="5">
                  <c:v>39.9</c:v>
                </c:pt>
                <c:pt idx="6">
                  <c:v>40.6</c:v>
                </c:pt>
                <c:pt idx="7">
                  <c:v>41.9</c:v>
                </c:pt>
                <c:pt idx="8">
                  <c:v>41.8</c:v>
                </c:pt>
                <c:pt idx="9">
                  <c:v>39.5</c:v>
                </c:pt>
              </c:numCache>
            </c:numRef>
          </c:val>
          <c:smooth val="0"/>
        </c:ser>
        <c:ser>
          <c:idx val="3"/>
          <c:order val="3"/>
          <c:tx>
            <c:strRef>
              <c:f>Hoja1!$E$1</c:f>
              <c:strCache>
                <c:ptCount val="1"/>
                <c:pt idx="0">
                  <c:v>Neto</c:v>
                </c:pt>
              </c:strCache>
            </c:strRef>
          </c:tx>
          <c:spPr>
            <a:ln w="25400" cap="rnd">
              <a:solidFill>
                <a:srgbClr val="EDA100"/>
              </a:solidFill>
              <a:round/>
            </a:ln>
          </c:spPr>
          <c:marker>
            <c:symbol val="circle"/>
            <c:size val="6"/>
            <c:spPr>
              <a:solidFill>
                <a:srgbClr val="EDA100"/>
              </a:solidFill>
              <a:ln w="9525">
                <a:solidFill>
                  <a:srgbClr val="FFFFFF"/>
                </a:solidFill>
              </a:ln>
            </c:spPr>
          </c:marker>
          <c:cat>
            <c:strRef>
              <c:f>Hoja1!$A$2:$A$11</c:f>
              <c:strCache>
                <c:ptCount val="10"/>
                <c:pt idx="0">
                  <c:v>FY2017</c:v>
                </c:pt>
                <c:pt idx="1">
                  <c:v>FY2018</c:v>
                </c:pt>
                <c:pt idx="2">
                  <c:v>FY2019</c:v>
                </c:pt>
                <c:pt idx="3">
                  <c:v>FY2020</c:v>
                </c:pt>
                <c:pt idx="4">
                  <c:v>FY2021</c:v>
                </c:pt>
                <c:pt idx="5">
                  <c:v>FY2022</c:v>
                </c:pt>
                <c:pt idx="6">
                  <c:v>FY2023</c:v>
                </c:pt>
                <c:pt idx="7">
                  <c:v>FY2024</c:v>
                </c:pt>
                <c:pt idx="8">
                  <c:v>FY2025</c:v>
                </c:pt>
                <c:pt idx="9">
                  <c:v>FY2026</c:v>
                </c:pt>
              </c:strCache>
            </c:strRef>
          </c:cat>
          <c:val>
            <c:numRef>
              <c:f>Hoja1!$E$2:$E$11</c:f>
              <c:numCache>
                <c:formatCode>0"%"</c:formatCode>
                <c:ptCount val="10"/>
                <c:pt idx="0">
                  <c:v>26.2</c:v>
                </c:pt>
                <c:pt idx="1">
                  <c:v>29.4</c:v>
                </c:pt>
                <c:pt idx="2">
                  <c:v>27.4</c:v>
                </c:pt>
                <c:pt idx="3">
                  <c:v>27.2</c:v>
                </c:pt>
                <c:pt idx="4">
                  <c:v>27.1</c:v>
                </c:pt>
                <c:pt idx="5">
                  <c:v>30.2</c:v>
                </c:pt>
                <c:pt idx="6">
                  <c:v>31.1</c:v>
                </c:pt>
                <c:pt idx="7">
                  <c:v>32</c:v>
                </c:pt>
                <c:pt idx="8">
                  <c:v>29.7</c:v>
                </c:pt>
                <c:pt idx="9">
                  <c:v>27</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interanual por trimestre (%)</a:t>
            </a:r>
          </a:p>
        </c:rich>
      </c:tx>
      <c:overlay val="0"/>
    </c:title>
    <c:autoTitleDeleted val="0"/>
    <c:plotArea>
      <c:layout/>
      <c:barChart>
        <c:barDir val="col"/>
        <c:grouping val="clustered"/>
        <c:varyColors val="0"/>
        <c:ser>
          <c:idx val="0"/>
          <c:order val="0"/>
          <c:tx>
            <c:strRef>
              <c:f>Hoja1!$B$1</c:f>
              <c:strCache>
                <c:ptCount val="1"/>
                <c:pt idx="0">
                  <c:v>Reportado</c:v>
                </c:pt>
              </c:strCache>
            </c:strRef>
          </c:tx>
          <c:spPr>
            <a:solidFill>
              <a:srgbClr val="2A78D6"/>
            </a:solidFill>
            <a:ln w="9525">
              <a:noFill/>
            </a:ln>
          </c:spPr>
          <c:invertIfNegative val="0"/>
          <c:cat>
            <c:strRef>
              <c:f>Hoja1!$A$2:$A$9</c:f>
              <c:strCache>
                <c:ptCount val="8"/>
                <c:pt idx="0">
                  <c:v>2T25</c:v>
                </c:pt>
                <c:pt idx="1">
                  <c:v>3T25</c:v>
                </c:pt>
                <c:pt idx="2">
                  <c:v>4T25</c:v>
                </c:pt>
                <c:pt idx="3">
                  <c:v>1T26</c:v>
                </c:pt>
                <c:pt idx="4">
                  <c:v>2T26</c:v>
                </c:pt>
                <c:pt idx="5">
                  <c:v>3T26</c:v>
                </c:pt>
                <c:pt idx="6">
                  <c:v>4T26</c:v>
                </c:pt>
                <c:pt idx="7">
                  <c:v>1T27</c:v>
                </c:pt>
              </c:strCache>
            </c:strRef>
          </c:cat>
          <c:val>
            <c:numRef>
              <c:f>Hoja1!$B$2:$B$9</c:f>
              <c:numCache>
                <c:formatCode>0.0"%"</c:formatCode>
                <c:ptCount val="8"/>
                <c:pt idx="0">
                  <c:v>4.7</c:v>
                </c:pt>
                <c:pt idx="1">
                  <c:v>4.8</c:v>
                </c:pt>
                <c:pt idx="2">
                  <c:v>10.2</c:v>
                </c:pt>
                <c:pt idx="3">
                  <c:v>16.8</c:v>
                </c:pt>
                <c:pt idx="4">
                  <c:v>18.3</c:v>
                </c:pt>
                <c:pt idx="5">
                  <c:v>19.9</c:v>
                </c:pt>
                <c:pt idx="6">
                  <c:v>12.5</c:v>
                </c:pt>
                <c:pt idx="7">
                  <c:v>5.9</c:v>
                </c:pt>
              </c:numCache>
            </c:numRef>
          </c:val>
        </c:ser>
        <c:ser>
          <c:idx val="1"/>
          <c:order val="1"/>
          <c:tx>
            <c:strRef>
              <c:f>Hoja1!$C$1</c:f>
              <c:strCache>
                <c:ptCount val="1"/>
                <c:pt idx="0">
                  <c:v>Orgánico</c:v>
                </c:pt>
              </c:strCache>
            </c:strRef>
          </c:tx>
          <c:spPr>
            <a:solidFill>
              <a:srgbClr val="EB6834"/>
            </a:solidFill>
            <a:ln w="9525">
              <a:noFill/>
            </a:ln>
          </c:spPr>
          <c:invertIfNegative val="0"/>
          <c:cat>
            <c:strRef>
              <c:f>Hoja1!$A$2:$A$9</c:f>
              <c:strCache>
                <c:ptCount val="8"/>
                <c:pt idx="0">
                  <c:v>2T25</c:v>
                </c:pt>
                <c:pt idx="1">
                  <c:v>3T25</c:v>
                </c:pt>
                <c:pt idx="2">
                  <c:v>4T25</c:v>
                </c:pt>
                <c:pt idx="3">
                  <c:v>1T26</c:v>
                </c:pt>
                <c:pt idx="4">
                  <c:v>2T26</c:v>
                </c:pt>
                <c:pt idx="5">
                  <c:v>3T26</c:v>
                </c:pt>
                <c:pt idx="6">
                  <c:v>4T26</c:v>
                </c:pt>
                <c:pt idx="7">
                  <c:v>1T27</c:v>
                </c:pt>
              </c:strCache>
            </c:strRef>
          </c:cat>
          <c:val>
            <c:numRef>
              <c:f>Hoja1!$C$2:$C$9</c:f>
              <c:numCache>
                <c:formatCode>0.0"%"</c:formatCode>
                <c:ptCount val="8"/>
                <c:pt idx="7">
                  <c:v>5.9</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Capital circulante en días</a:t>
            </a:r>
          </a:p>
        </c:rich>
      </c:tx>
      <c:overlay val="0"/>
    </c:title>
    <c:autoTitleDeleted val="0"/>
    <c:plotArea>
      <c:layout/>
      <c:lineChart>
        <c:grouping val="standard"/>
        <c:varyColors val="0"/>
        <c:ser>
          <c:idx val="0"/>
          <c:order val="0"/>
          <c:tx>
            <c:strRef>
              <c:f>Hoja1!$B$1</c:f>
              <c:strCache>
                <c:ptCount val="1"/>
                <c:pt idx="0">
                  <c:v>Días de cobro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Hoja1!$A$2:$A$11</c:f>
              <c:strCache>
                <c:ptCount val="10"/>
                <c:pt idx="0">
                  <c:v>FY2017</c:v>
                </c:pt>
                <c:pt idx="1">
                  <c:v>FY2018</c:v>
                </c:pt>
                <c:pt idx="2">
                  <c:v>FY2019</c:v>
                </c:pt>
                <c:pt idx="3">
                  <c:v>FY2020</c:v>
                </c:pt>
                <c:pt idx="4">
                  <c:v>FY2021</c:v>
                </c:pt>
                <c:pt idx="5">
                  <c:v>FY2022</c:v>
                </c:pt>
                <c:pt idx="6">
                  <c:v>FY2023</c:v>
                </c:pt>
                <c:pt idx="7">
                  <c:v>FY2024</c:v>
                </c:pt>
                <c:pt idx="8">
                  <c:v>FY2025</c:v>
                </c:pt>
                <c:pt idx="9">
                  <c:v>FY2026</c:v>
                </c:pt>
              </c:strCache>
            </c:strRef>
          </c:cat>
          <c:val>
            <c:numRef>
              <c:f>Hoja1!$B$2:$B$11</c:f>
              <c:numCache>
                <c:formatCode>0</c:formatCode>
                <c:ptCount val="10"/>
                <c:pt idx="0">
                  <c:v>59</c:v>
                </c:pt>
                <c:pt idx="1">
                  <c:v>40</c:v>
                </c:pt>
                <c:pt idx="2">
                  <c:v>41</c:v>
                </c:pt>
                <c:pt idx="3">
                  <c:v>35</c:v>
                </c:pt>
                <c:pt idx="4">
                  <c:v>52</c:v>
                </c:pt>
                <c:pt idx="5">
                  <c:v>57</c:v>
                </c:pt>
                <c:pt idx="6">
                  <c:v>64</c:v>
                </c:pt>
                <c:pt idx="7">
                  <c:v>73</c:v>
                </c:pt>
                <c:pt idx="8">
                  <c:v>87</c:v>
                </c:pt>
                <c:pt idx="9">
                  <c:v>85</c:v>
                </c:pt>
              </c:numCache>
            </c:numRef>
          </c:val>
          <c:smooth val="0"/>
        </c:ser>
        <c:ser>
          <c:idx val="1"/>
          <c:order val="1"/>
          <c:tx>
            <c:strRef>
              <c:f>Hoja1!$C$1</c:f>
              <c:strCache>
                <c:ptCount val="1"/>
                <c:pt idx="0">
                  <c:v>Días de inventario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Hoja1!$A$2:$A$11</c:f>
              <c:strCache>
                <c:ptCount val="10"/>
                <c:pt idx="0">
                  <c:v>FY2017</c:v>
                </c:pt>
                <c:pt idx="1">
                  <c:v>FY2018</c:v>
                </c:pt>
                <c:pt idx="2">
                  <c:v>FY2019</c:v>
                </c:pt>
                <c:pt idx="3">
                  <c:v>FY2020</c:v>
                </c:pt>
                <c:pt idx="4">
                  <c:v>FY2021</c:v>
                </c:pt>
                <c:pt idx="5">
                  <c:v>FY2022</c:v>
                </c:pt>
                <c:pt idx="6">
                  <c:v>FY2023</c:v>
                </c:pt>
                <c:pt idx="7">
                  <c:v>FY2024</c:v>
                </c:pt>
                <c:pt idx="8">
                  <c:v>FY2025</c:v>
                </c:pt>
                <c:pt idx="9">
                  <c:v>FY2026</c:v>
                </c:pt>
              </c:strCache>
            </c:strRef>
          </c:cat>
          <c:val>
            <c:numRef>
              <c:f>Hoja1!$C$2:$C$11</c:f>
              <c:numCache>
                <c:formatCode>0</c:formatCode>
                <c:ptCount val="10"/>
                <c:pt idx="0">
                  <c:v>0</c:v>
                </c:pt>
                <c:pt idx="1">
                  <c:v>0</c:v>
                </c:pt>
                <c:pt idx="2">
                  <c:v>0</c:v>
                </c:pt>
                <c:pt idx="3">
                  <c:v>0</c:v>
                </c:pt>
                <c:pt idx="4">
                  <c:v>0</c:v>
                </c:pt>
                <c:pt idx="5">
                  <c:v>0</c:v>
                </c:pt>
                <c:pt idx="6">
                  <c:v>0</c:v>
                </c:pt>
                <c:pt idx="7">
                  <c:v>0</c:v>
                </c:pt>
                <c:pt idx="8">
                  <c:v>0</c:v>
                </c:pt>
                <c:pt idx="9">
                  <c:v>0</c:v>
                </c:pt>
              </c:numCache>
            </c:numRef>
          </c:val>
          <c:smooth val="0"/>
        </c:ser>
        <c:ser>
          <c:idx val="2"/>
          <c:order val="2"/>
          <c:tx>
            <c:strRef>
              <c:f>Hoja1!$D$1</c:f>
              <c:strCache>
                <c:ptCount val="1"/>
                <c:pt idx="0">
                  <c:v>Días de pago</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Hoja1!$A$2:$A$11</c:f>
              <c:strCache>
                <c:ptCount val="10"/>
                <c:pt idx="0">
                  <c:v>FY2017</c:v>
                </c:pt>
                <c:pt idx="1">
                  <c:v>FY2018</c:v>
                </c:pt>
                <c:pt idx="2">
                  <c:v>FY2019</c:v>
                </c:pt>
                <c:pt idx="3">
                  <c:v>FY2020</c:v>
                </c:pt>
                <c:pt idx="4">
                  <c:v>FY2021</c:v>
                </c:pt>
                <c:pt idx="5">
                  <c:v>FY2022</c:v>
                </c:pt>
                <c:pt idx="6">
                  <c:v>FY2023</c:v>
                </c:pt>
                <c:pt idx="7">
                  <c:v>FY2024</c:v>
                </c:pt>
                <c:pt idx="8">
                  <c:v>FY2025</c:v>
                </c:pt>
                <c:pt idx="9">
                  <c:v>FY2026</c:v>
                </c:pt>
              </c:strCache>
            </c:strRef>
          </c:cat>
          <c:val>
            <c:numRef>
              <c:f>Hoja1!$D$2:$D$11</c:f>
              <c:numCache>
                <c:formatCode>0</c:formatCode>
                <c:ptCount val="10"/>
                <c:pt idx="0">
                  <c:v>23</c:v>
                </c:pt>
                <c:pt idx="1">
                  <c:v>26</c:v>
                </c:pt>
                <c:pt idx="2">
                  <c:v>24</c:v>
                </c:pt>
                <c:pt idx="3">
                  <c:v>23</c:v>
                </c:pt>
                <c:pt idx="4">
                  <c:v>26</c:v>
                </c:pt>
                <c:pt idx="5">
                  <c:v>28</c:v>
                </c:pt>
                <c:pt idx="6">
                  <c:v>21</c:v>
                </c:pt>
                <c:pt idx="7">
                  <c:v>26</c:v>
                </c:pt>
                <c:pt idx="8">
                  <c:v>31</c:v>
                </c:pt>
                <c:pt idx="9">
                  <c:v>34</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frente a beneficio neto (USD, millones)</a:t>
            </a:r>
          </a:p>
        </c:rich>
      </c:tx>
      <c:overlay val="0"/>
    </c:title>
    <c:autoTitleDeleted val="0"/>
    <c:plotArea>
      <c:layout/>
      <c:barChart>
        <c:barDir val="col"/>
        <c:grouping val="clustered"/>
        <c:varyColors val="0"/>
        <c:ser>
          <c:idx val="0"/>
          <c:order val="0"/>
          <c:tx>
            <c:strRef>
              <c:f>Hoja1!$B$1</c:f>
              <c:strCache>
                <c:ptCount val="1"/>
                <c:pt idx="0">
                  <c:v>Flujo de caja libre</c:v>
                </c:pt>
              </c:strCache>
            </c:strRef>
          </c:tx>
          <c:spPr>
            <a:solidFill>
              <a:srgbClr val="2A78D6"/>
            </a:solidFill>
            <a:ln w="9525">
              <a:noFill/>
            </a:ln>
          </c:spPr>
          <c:invertIfNegative val="0"/>
          <c:cat>
            <c:strRef>
              <c:f>Hoja1!$A$2:$A$11</c:f>
              <c:strCache>
                <c:ptCount val="10"/>
                <c:pt idx="0">
                  <c:v>FY2017</c:v>
                </c:pt>
                <c:pt idx="1">
                  <c:v>FY2018</c:v>
                </c:pt>
                <c:pt idx="2">
                  <c:v>FY2019</c:v>
                </c:pt>
                <c:pt idx="3">
                  <c:v>FY2020</c:v>
                </c:pt>
                <c:pt idx="4">
                  <c:v>FY2021</c:v>
                </c:pt>
                <c:pt idx="5">
                  <c:v>FY2022</c:v>
                </c:pt>
                <c:pt idx="6">
                  <c:v>FY2023</c:v>
                </c:pt>
                <c:pt idx="7">
                  <c:v>FY2024</c:v>
                </c:pt>
                <c:pt idx="8">
                  <c:v>FY2025</c:v>
                </c:pt>
                <c:pt idx="9">
                  <c:v>FY2026</c:v>
                </c:pt>
              </c:strCache>
            </c:strRef>
          </c:cat>
          <c:val>
            <c:numRef>
              <c:f>Hoja1!$B$2:$B$11</c:f>
              <c:numCache>
                <c:formatCode>#,##0</c:formatCode>
                <c:ptCount val="10"/>
                <c:pt idx="0">
                  <c:v>857.5</c:v>
                </c:pt>
                <c:pt idx="1">
                  <c:v>1082.6000000000001</c:v>
                </c:pt>
                <c:pt idx="2">
                  <c:v>1142.4</c:v>
                </c:pt>
                <c:pt idx="3">
                  <c:v>1304.1000000000001</c:v>
                </c:pt>
                <c:pt idx="4">
                  <c:v>1133.2</c:v>
                </c:pt>
                <c:pt idx="5">
                  <c:v>1445.3</c:v>
                </c:pt>
                <c:pt idx="6">
                  <c:v>1552.8</c:v>
                </c:pt>
                <c:pt idx="7">
                  <c:v>1706.2</c:v>
                </c:pt>
                <c:pt idx="8">
                  <c:v>1679.3000000000002</c:v>
                </c:pt>
                <c:pt idx="9">
                  <c:v>2279.3999999999996</c:v>
                </c:pt>
              </c:numCache>
            </c:numRef>
          </c:val>
        </c:ser>
        <c:ser>
          <c:idx val="1"/>
          <c:order val="1"/>
          <c:tx>
            <c:strRef>
              <c:f>Hoja1!$C$1</c:f>
              <c:strCache>
                <c:ptCount val="1"/>
                <c:pt idx="0">
                  <c:v>Beneficio neto</c:v>
                </c:pt>
              </c:strCache>
            </c:strRef>
          </c:tx>
          <c:spPr>
            <a:solidFill>
              <a:srgbClr val="EB6834"/>
            </a:solidFill>
            <a:ln w="9525">
              <a:noFill/>
            </a:ln>
          </c:spPr>
          <c:invertIfNegative val="0"/>
          <c:cat>
            <c:strRef>
              <c:f>Hoja1!$A$2:$A$11</c:f>
              <c:strCache>
                <c:ptCount val="10"/>
                <c:pt idx="0">
                  <c:v>FY2017</c:v>
                </c:pt>
                <c:pt idx="1">
                  <c:v>FY2018</c:v>
                </c:pt>
                <c:pt idx="2">
                  <c:v>FY2019</c:v>
                </c:pt>
                <c:pt idx="3">
                  <c:v>FY2020</c:v>
                </c:pt>
                <c:pt idx="4">
                  <c:v>FY2021</c:v>
                </c:pt>
                <c:pt idx="5">
                  <c:v>FY2022</c:v>
                </c:pt>
                <c:pt idx="6">
                  <c:v>FY2023</c:v>
                </c:pt>
                <c:pt idx="7">
                  <c:v>FY2024</c:v>
                </c:pt>
                <c:pt idx="8">
                  <c:v>FY2025</c:v>
                </c:pt>
                <c:pt idx="9">
                  <c:v>FY2026</c:v>
                </c:pt>
              </c:strCache>
            </c:strRef>
          </c:cat>
          <c:val>
            <c:numRef>
              <c:f>Hoja1!$C$2:$C$11</c:f>
              <c:numCache>
                <c:formatCode>#,##0</c:formatCode>
                <c:ptCount val="10"/>
                <c:pt idx="0">
                  <c:v>826.3</c:v>
                </c:pt>
                <c:pt idx="1">
                  <c:v>994.1</c:v>
                </c:pt>
                <c:pt idx="2">
                  <c:v>1034.4</c:v>
                </c:pt>
                <c:pt idx="3">
                  <c:v>1098.1</c:v>
                </c:pt>
                <c:pt idx="4">
                  <c:v>1097.5</c:v>
                </c:pt>
                <c:pt idx="5">
                  <c:v>1392.8</c:v>
                </c:pt>
                <c:pt idx="6">
                  <c:v>1557.3</c:v>
                </c:pt>
                <c:pt idx="7">
                  <c:v>1690.4</c:v>
                </c:pt>
                <c:pt idx="8">
                  <c:v>1657.3</c:v>
                </c:pt>
                <c:pt idx="9">
                  <c:v>1760.1</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ROIC y ROE frente al coste del capital (%)</a:t>
            </a:r>
          </a:p>
        </c:rich>
      </c:tx>
      <c:overlay val="0"/>
    </c:title>
    <c:autoTitleDeleted val="0"/>
    <c:plotArea>
      <c:layout/>
      <c:lineChart>
        <c:grouping val="standard"/>
        <c:varyColors val="0"/>
        <c:ser>
          <c:idx val="0"/>
          <c:order val="0"/>
          <c:tx>
            <c:strRef>
              <c:f>Hoja1!$B$1</c:f>
              <c:strCache>
                <c:ptCount val="1"/>
                <c:pt idx="0">
                  <c:v>ROIC</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Hoja1!$A$2:$A$11</c:f>
              <c:strCache>
                <c:ptCount val="10"/>
                <c:pt idx="0">
                  <c:v>FY2017</c:v>
                </c:pt>
                <c:pt idx="1">
                  <c:v>FY2018</c:v>
                </c:pt>
                <c:pt idx="2">
                  <c:v>FY2019</c:v>
                </c:pt>
                <c:pt idx="3">
                  <c:v>FY2020</c:v>
                </c:pt>
                <c:pt idx="4">
                  <c:v>FY2021</c:v>
                </c:pt>
                <c:pt idx="5">
                  <c:v>FY2022</c:v>
                </c:pt>
                <c:pt idx="6">
                  <c:v>FY2023</c:v>
                </c:pt>
                <c:pt idx="7">
                  <c:v>FY2024</c:v>
                </c:pt>
                <c:pt idx="8">
                  <c:v>FY2025</c:v>
                </c:pt>
                <c:pt idx="9">
                  <c:v>FY2026</c:v>
                </c:pt>
              </c:strCache>
            </c:strRef>
          </c:cat>
          <c:val>
            <c:numRef>
              <c:f>Hoja1!$B$2:$B$11</c:f>
              <c:numCache>
                <c:formatCode>0"%"</c:formatCode>
                <c:ptCount val="10"/>
                <c:pt idx="0">
                  <c:v>69.9</c:v>
                </c:pt>
                <c:pt idx="1">
                  <c:v>71.9</c:v>
                </c:pt>
                <c:pt idx="2">
                  <c:v>47.9</c:v>
                </c:pt>
                <c:pt idx="3">
                  <c:v>41.8</c:v>
                </c:pt>
                <c:pt idx="4">
                  <c:v>41.8</c:v>
                </c:pt>
                <c:pt idx="5">
                  <c:v>52.2</c:v>
                </c:pt>
                <c:pt idx="6">
                  <c:v>57.6</c:v>
                </c:pt>
                <c:pt idx="7">
                  <c:v>58</c:v>
                </c:pt>
                <c:pt idx="8">
                  <c:v>33.7</c:v>
                </c:pt>
                <c:pt idx="9">
                  <c:v>26.8</c:v>
                </c:pt>
              </c:numCache>
            </c:numRef>
          </c:val>
          <c:smooth val="0"/>
        </c:ser>
        <c:ser>
          <c:idx val="1"/>
          <c:order val="1"/>
          <c:tx>
            <c:strRef>
              <c:f>Hoja1!$C$1</c:f>
              <c:strCache>
                <c:ptCount val="1"/>
                <c:pt idx="0">
                  <c:v>WACC actual</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Hoja1!$A$2:$A$11</c:f>
              <c:strCache>
                <c:ptCount val="10"/>
                <c:pt idx="0">
                  <c:v>FY2017</c:v>
                </c:pt>
                <c:pt idx="1">
                  <c:v>FY2018</c:v>
                </c:pt>
                <c:pt idx="2">
                  <c:v>FY2019</c:v>
                </c:pt>
                <c:pt idx="3">
                  <c:v>FY2020</c:v>
                </c:pt>
                <c:pt idx="4">
                  <c:v>FY2021</c:v>
                </c:pt>
                <c:pt idx="5">
                  <c:v>FY2022</c:v>
                </c:pt>
                <c:pt idx="6">
                  <c:v>FY2023</c:v>
                </c:pt>
                <c:pt idx="7">
                  <c:v>FY2024</c:v>
                </c:pt>
                <c:pt idx="8">
                  <c:v>FY2025</c:v>
                </c:pt>
                <c:pt idx="9">
                  <c:v>FY2026</c:v>
                </c:pt>
              </c:strCache>
            </c:strRef>
          </c:cat>
          <c:val>
            <c:numRef>
              <c:f>Hoja1!$C$2:$C$11</c:f>
              <c:numCache>
                <c:formatCode>0"%"</c:formatCode>
                <c:ptCount val="10"/>
                <c:pt idx="0">
                  <c:v>9.5</c:v>
                </c:pt>
                <c:pt idx="1">
                  <c:v>9.5</c:v>
                </c:pt>
                <c:pt idx="2">
                  <c:v>9.5</c:v>
                </c:pt>
                <c:pt idx="3">
                  <c:v>9.5</c:v>
                </c:pt>
                <c:pt idx="4">
                  <c:v>9.5</c:v>
                </c:pt>
                <c:pt idx="5">
                  <c:v>9.5</c:v>
                </c:pt>
                <c:pt idx="6">
                  <c:v>9.5</c:v>
                </c:pt>
                <c:pt idx="7">
                  <c:v>9.5</c:v>
                </c:pt>
                <c:pt idx="8">
                  <c:v>9.5</c:v>
                </c:pt>
                <c:pt idx="9">
                  <c:v>9.5</c:v>
                </c:pt>
              </c:numCache>
            </c:numRef>
          </c:val>
          <c:smooth val="0"/>
        </c:ser>
        <c:ser>
          <c:idx val="2"/>
          <c:order val="2"/>
          <c:tx>
            <c:strRef>
              <c:f>Hoja1!$D$1</c:f>
              <c:strCache>
                <c:ptCount val="1"/>
                <c:pt idx="0">
                  <c:v>ROE</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Hoja1!$A$2:$A$11</c:f>
              <c:strCache>
                <c:ptCount val="10"/>
                <c:pt idx="0">
                  <c:v>FY2017</c:v>
                </c:pt>
                <c:pt idx="1">
                  <c:v>FY2018</c:v>
                </c:pt>
                <c:pt idx="2">
                  <c:v>FY2019</c:v>
                </c:pt>
                <c:pt idx="3">
                  <c:v>FY2020</c:v>
                </c:pt>
                <c:pt idx="4">
                  <c:v>FY2021</c:v>
                </c:pt>
                <c:pt idx="5">
                  <c:v>FY2022</c:v>
                </c:pt>
                <c:pt idx="6">
                  <c:v>FY2023</c:v>
                </c:pt>
                <c:pt idx="7">
                  <c:v>FY2024</c:v>
                </c:pt>
                <c:pt idx="8">
                  <c:v>FY2025</c:v>
                </c:pt>
                <c:pt idx="9">
                  <c:v>FY2026</c:v>
                </c:pt>
              </c:strCache>
            </c:strRef>
          </c:cat>
          <c:val>
            <c:numRef>
              <c:f>Hoja1!$D$2:$D$11</c:f>
              <c:numCache>
                <c:formatCode>0"%"</c:formatCode>
                <c:ptCount val="10"/>
                <c:pt idx="0">
                  <c:v>42.3</c:v>
                </c:pt>
                <c:pt idx="1">
                  <c:v>46.1</c:v>
                </c:pt>
                <c:pt idx="2">
                  <c:v>41.6</c:v>
                </c:pt>
                <c:pt idx="3">
                  <c:v>40.7</c:v>
                </c:pt>
                <c:pt idx="4">
                  <c:v>38.3</c:v>
                </c:pt>
                <c:pt idx="5">
                  <c:v>46.2</c:v>
                </c:pt>
                <c:pt idx="6">
                  <c:v>47.3</c:v>
                </c:pt>
                <c:pt idx="7">
                  <c:v>46.3</c:v>
                </c:pt>
                <c:pt idx="8">
                  <c:v>41.8</c:v>
                </c:pt>
                <c:pt idx="9">
                  <c:v>44.8</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Deuda neta / EBITDA al cierre de cada ejercicio (veces)</a:t>
            </a:r>
          </a:p>
        </c:rich>
      </c:tx>
      <c:overlay val="0"/>
    </c:title>
    <c:autoTitleDeleted val="0"/>
    <c:plotArea>
      <c:layout/>
      <c:barChart>
        <c:barDir val="col"/>
        <c:grouping val="clustered"/>
        <c:varyColors val="0"/>
        <c:ser>
          <c:idx val="0"/>
          <c:order val="0"/>
          <c:tx>
            <c:strRef>
              <c:f>Hoja1!$B$1</c:f>
              <c:strCache>
                <c:ptCount val="1"/>
                <c:pt idx="0">
                  <c:v>Deuda neta / 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Hoja1!$A$2:$A$11</c:f>
              <c:strCache>
                <c:ptCount val="10"/>
                <c:pt idx="0">
                  <c:v>FY2017</c:v>
                </c:pt>
                <c:pt idx="1">
                  <c:v>FY2018</c:v>
                </c:pt>
                <c:pt idx="2">
                  <c:v>FY2019</c:v>
                </c:pt>
                <c:pt idx="3">
                  <c:v>FY2020</c:v>
                </c:pt>
                <c:pt idx="4">
                  <c:v>FY2021</c:v>
                </c:pt>
                <c:pt idx="5">
                  <c:v>FY2022</c:v>
                </c:pt>
                <c:pt idx="6">
                  <c:v>FY2023</c:v>
                </c:pt>
                <c:pt idx="7">
                  <c:v>FY2024</c:v>
                </c:pt>
                <c:pt idx="8">
                  <c:v>FY2025</c:v>
                </c:pt>
                <c:pt idx="9">
                  <c:v>FY2026</c:v>
                </c:pt>
              </c:strCache>
            </c:strRef>
          </c:cat>
          <c:val>
            <c:numRef>
              <c:f>Hoja1!$B$2:$B$11</c:f>
              <c:numCache>
                <c:formatCode>0.0"x"</c:formatCode>
                <c:ptCount val="10"/>
                <c:pt idx="0">
                  <c:v>-0.56</c:v>
                </c:pt>
                <c:pt idx="1">
                  <c:v>-0.49</c:v>
                </c:pt>
                <c:pt idx="2">
                  <c:v>0.05</c:v>
                </c:pt>
                <c:pt idx="3">
                  <c:v>-0.08</c:v>
                </c:pt>
                <c:pt idx="4">
                  <c:v>-0.14</c:v>
                </c:pt>
                <c:pt idx="5">
                  <c:v>-0.21</c:v>
                </c:pt>
                <c:pt idx="6">
                  <c:v>-0.36</c:v>
                </c:pt>
                <c:pt idx="7">
                  <c:v>-0.29</c:v>
                </c:pt>
                <c:pt idx="8">
                  <c:v>1.3</c:v>
                </c:pt>
                <c:pt idx="9">
                  <c:v>1.14</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Vencimientos de la deuda bruta (USD, millones)</a:t>
            </a:r>
          </a:p>
        </c:rich>
      </c:tx>
      <c:overlay val="0"/>
    </c:title>
    <c:autoTitleDeleted val="0"/>
    <c:plotArea>
      <c:layout/>
      <c:barChart>
        <c:barDir val="col"/>
        <c:grouping val="clustered"/>
        <c:varyColors val="0"/>
        <c:ser>
          <c:idx val="0"/>
          <c:order val="0"/>
          <c:tx>
            <c:strRef>
              <c:f>Hoja1!$B$1</c:f>
              <c:strCache>
                <c:ptCount val="1"/>
                <c:pt idx="0">
                  <c:v>Vencimientos</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Hoja1!$A$2:$A$5</c:f>
              <c:strCache>
                <c:ptCount val="4"/>
                <c:pt idx="0">
                  <c:v>2029</c:v>
                </c:pt>
                <c:pt idx="1">
                  <c:v>2030</c:v>
                </c:pt>
                <c:pt idx="2">
                  <c:v>2032</c:v>
                </c:pt>
                <c:pt idx="3">
                  <c:v>2035</c:v>
                </c:pt>
              </c:strCache>
            </c:strRef>
          </c:cat>
          <c:val>
            <c:numRef>
              <c:f>Hoja1!$B$2:$B$5</c:f>
              <c:numCache>
                <c:formatCode>#,##0</c:formatCode>
                <c:ptCount val="4"/>
                <c:pt idx="0">
                  <c:v>400</c:v>
                </c:pt>
                <c:pt idx="1">
                  <c:v>1500</c:v>
                </c:pt>
                <c:pt idx="2">
                  <c:v>1500</c:v>
                </c:pt>
                <c:pt idx="3">
                  <c:v>1200</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Usos de la caja (USD, millones)</a:t>
            </a:r>
          </a:p>
        </c:rich>
      </c:tx>
      <c:overlay val="0"/>
    </c:title>
    <c:autoTitleDeleted val="0"/>
    <c:plotArea>
      <c:layout/>
      <c:barChart>
        <c:barDir val="col"/>
        <c:grouping val="stacked"/>
        <c:varyColors val="0"/>
        <c:ser>
          <c:idx val="0"/>
          <c:order val="0"/>
          <c:tx>
            <c:strRef>
              <c:f>Hoja1!$B$1</c:f>
              <c:strCache>
                <c:ptCount val="1"/>
                <c:pt idx="0">
                  <c:v>Adquisiciones</c:v>
                </c:pt>
              </c:strCache>
            </c:strRef>
          </c:tx>
          <c:spPr>
            <a:solidFill>
              <a:srgbClr val="2A78D6"/>
            </a:solidFill>
            <a:ln w="12700">
              <a:solidFill>
                <a:srgbClr val="FFFFFF"/>
              </a:solidFill>
            </a:ln>
          </c:spPr>
          <c:invertIfNegative val="0"/>
          <c:cat>
            <c:strRef>
              <c:f>Hoja1!$A$2:$A$11</c:f>
              <c:strCache>
                <c:ptCount val="10"/>
                <c:pt idx="0">
                  <c:v>FY2017</c:v>
                </c:pt>
                <c:pt idx="1">
                  <c:v>FY2018</c:v>
                </c:pt>
                <c:pt idx="2">
                  <c:v>FY2019</c:v>
                </c:pt>
                <c:pt idx="3">
                  <c:v>FY2020</c:v>
                </c:pt>
                <c:pt idx="4">
                  <c:v>FY2021</c:v>
                </c:pt>
                <c:pt idx="5">
                  <c:v>FY2022</c:v>
                </c:pt>
                <c:pt idx="6">
                  <c:v>FY2023</c:v>
                </c:pt>
                <c:pt idx="7">
                  <c:v>FY2024</c:v>
                </c:pt>
                <c:pt idx="8">
                  <c:v>FY2025</c:v>
                </c:pt>
                <c:pt idx="9">
                  <c:v>FY2026</c:v>
                </c:pt>
              </c:strCache>
            </c:strRef>
          </c:cat>
          <c:val>
            <c:numRef>
              <c:f>Hoja1!$B$2:$B$11</c:f>
              <c:numCache>
                <c:formatCode>#,##0</c:formatCode>
                <c:ptCount val="10"/>
                <c:pt idx="0">
                  <c:v>0</c:v>
                </c:pt>
                <c:pt idx="1">
                  <c:v>180.4</c:v>
                </c:pt>
                <c:pt idx="2">
                  <c:v>992.2</c:v>
                </c:pt>
                <c:pt idx="3">
                  <c:v>6.1</c:v>
                </c:pt>
                <c:pt idx="4">
                  <c:v>19.5</c:v>
                </c:pt>
                <c:pt idx="5">
                  <c:v>24.9</c:v>
                </c:pt>
                <c:pt idx="6">
                  <c:v>2.7</c:v>
                </c:pt>
                <c:pt idx="7">
                  <c:v>208.3</c:v>
                </c:pt>
                <c:pt idx="8">
                  <c:v>2967.5</c:v>
                </c:pt>
                <c:pt idx="9">
                  <c:v>0.4</c:v>
                </c:pt>
              </c:numCache>
            </c:numRef>
          </c:val>
        </c:ser>
        <c:ser>
          <c:idx val="1"/>
          <c:order val="1"/>
          <c:tx>
            <c:strRef>
              <c:f>Hoja1!$C$1</c:f>
              <c:strCache>
                <c:ptCount val="1"/>
                <c:pt idx="0">
                  <c:v>Dividendos</c:v>
                </c:pt>
              </c:strCache>
            </c:strRef>
          </c:tx>
          <c:spPr>
            <a:solidFill>
              <a:srgbClr val="EB6834"/>
            </a:solidFill>
            <a:ln w="12700">
              <a:solidFill>
                <a:srgbClr val="FFFFFF"/>
              </a:solidFill>
            </a:ln>
          </c:spPr>
          <c:invertIfNegative val="0"/>
          <c:cat>
            <c:strRef>
              <c:f>Hoja1!$A$2:$A$11</c:f>
              <c:strCache>
                <c:ptCount val="10"/>
                <c:pt idx="0">
                  <c:v>FY2017</c:v>
                </c:pt>
                <c:pt idx="1">
                  <c:v>FY2018</c:v>
                </c:pt>
                <c:pt idx="2">
                  <c:v>FY2019</c:v>
                </c:pt>
                <c:pt idx="3">
                  <c:v>FY2020</c:v>
                </c:pt>
                <c:pt idx="4">
                  <c:v>FY2021</c:v>
                </c:pt>
                <c:pt idx="5">
                  <c:v>FY2022</c:v>
                </c:pt>
                <c:pt idx="6">
                  <c:v>FY2023</c:v>
                </c:pt>
                <c:pt idx="7">
                  <c:v>FY2024</c:v>
                </c:pt>
                <c:pt idx="8">
                  <c:v>FY2025</c:v>
                </c:pt>
                <c:pt idx="9">
                  <c:v>FY2026</c:v>
                </c:pt>
              </c:strCache>
            </c:strRef>
          </c:cat>
          <c:val>
            <c:numRef>
              <c:f>Hoja1!$C$2:$C$11</c:f>
              <c:numCache>
                <c:formatCode>#,##0</c:formatCode>
                <c:ptCount val="10"/>
                <c:pt idx="0">
                  <c:v>662.3</c:v>
                </c:pt>
                <c:pt idx="1">
                  <c:v>739.7</c:v>
                </c:pt>
                <c:pt idx="2">
                  <c:v>826.8</c:v>
                </c:pt>
                <c:pt idx="3">
                  <c:v>889.4</c:v>
                </c:pt>
                <c:pt idx="4">
                  <c:v>908.7</c:v>
                </c:pt>
                <c:pt idx="5">
                  <c:v>999.6</c:v>
                </c:pt>
                <c:pt idx="6">
                  <c:v>1175</c:v>
                </c:pt>
                <c:pt idx="7">
                  <c:v>1315.3</c:v>
                </c:pt>
                <c:pt idx="8">
                  <c:v>1448.5</c:v>
                </c:pt>
                <c:pt idx="9">
                  <c:v>1589.6</c:v>
                </c:pt>
              </c:numCache>
            </c:numRef>
          </c:val>
        </c:ser>
        <c:ser>
          <c:idx val="2"/>
          <c:order val="2"/>
          <c:tx>
            <c:strRef>
              <c:f>Hoja1!$D$1</c:f>
              <c:strCache>
                <c:ptCount val="1"/>
                <c:pt idx="0">
                  <c:v>Recompras</c:v>
                </c:pt>
              </c:strCache>
            </c:strRef>
          </c:tx>
          <c:spPr>
            <a:solidFill>
              <a:srgbClr val="1BAF7A"/>
            </a:solidFill>
            <a:ln w="12700">
              <a:solidFill>
                <a:srgbClr val="FFFFFF"/>
              </a:solidFill>
            </a:ln>
          </c:spPr>
          <c:invertIfNegative val="0"/>
          <c:cat>
            <c:strRef>
              <c:f>Hoja1!$A$2:$A$11</c:f>
              <c:strCache>
                <c:ptCount val="10"/>
                <c:pt idx="0">
                  <c:v>FY2017</c:v>
                </c:pt>
                <c:pt idx="1">
                  <c:v>FY2018</c:v>
                </c:pt>
                <c:pt idx="2">
                  <c:v>FY2019</c:v>
                </c:pt>
                <c:pt idx="3">
                  <c:v>FY2020</c:v>
                </c:pt>
                <c:pt idx="4">
                  <c:v>FY2021</c:v>
                </c:pt>
                <c:pt idx="5">
                  <c:v>FY2022</c:v>
                </c:pt>
                <c:pt idx="6">
                  <c:v>FY2023</c:v>
                </c:pt>
                <c:pt idx="7">
                  <c:v>FY2024</c:v>
                </c:pt>
                <c:pt idx="8">
                  <c:v>FY2025</c:v>
                </c:pt>
                <c:pt idx="9">
                  <c:v>FY2026</c:v>
                </c:pt>
              </c:strCache>
            </c:strRef>
          </c:cat>
          <c:val>
            <c:numRef>
              <c:f>Hoja1!$D$2:$D$11</c:f>
              <c:numCache>
                <c:formatCode>#,##0</c:formatCode>
                <c:ptCount val="10"/>
                <c:pt idx="0">
                  <c:v>166.2</c:v>
                </c:pt>
                <c:pt idx="1">
                  <c:v>143.1</c:v>
                </c:pt>
                <c:pt idx="2">
                  <c:v>56.9</c:v>
                </c:pt>
                <c:pt idx="3">
                  <c:v>171.9</c:v>
                </c:pt>
                <c:pt idx="4">
                  <c:v>155.7</c:v>
                </c:pt>
                <c:pt idx="5">
                  <c:v>145.2</c:v>
                </c:pt>
                <c:pt idx="6">
                  <c:v>0</c:v>
                </c:pt>
                <c:pt idx="7">
                  <c:v>169.2</c:v>
                </c:pt>
                <c:pt idx="8">
                  <c:v>104.5</c:v>
                </c:pt>
                <c:pt idx="9">
                  <c:v>611</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Composición del consejo (número de consejeros)</a:t>
            </a:r>
          </a:p>
        </c:rich>
      </c:tx>
      <c:overlay val="0"/>
    </c:title>
    <c:autoTitleDeleted val="0"/>
    <c:plotArea>
      <c:layout/>
      <c:doughnutChart>
        <c:varyColors val="1"/>
        <c:ser>
          <c:idx val="0"/>
          <c:order val="0"/>
          <c:tx>
            <c:strRef>
              <c:f>Hoja1!$B$1</c:f>
              <c:strCache>
                <c:ptCount val="1"/>
                <c:pt idx="0">
                  <c:v>Consejeros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Pt>
            <c:idx val="2"/>
            <c:bubble3D val="0"/>
            <c:spPr>
              <a:solidFill>
                <a:srgbClr val="1BAF7A"/>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Hoja1!$A$2:$A$4</c:f>
              <c:strCache>
                <c:ptCount val="3"/>
                <c:pt idx="0">
                  <c:v>Otro externo</c:v>
                </c:pt>
                <c:pt idx="1">
                  <c:v>Ejecutivo</c:v>
                </c:pt>
                <c:pt idx="2">
                  <c:v>Independiente</c:v>
                </c:pt>
              </c:strCache>
            </c:strRef>
          </c:cat>
          <c:val>
            <c:numRef>
              <c:f>Hoja1!$B$2:$B$4</c:f>
              <c:numCache>
                <c:formatCode>0</c:formatCode>
                <c:ptCount val="3"/>
                <c:pt idx="0">
                  <c:v>1</c:v>
                </c:pt>
                <c:pt idx="1">
                  <c:v>1</c:v>
                </c:pt>
                <c:pt idx="2">
                  <c:v>9</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Accionistas significativos (% del capital)</a:t>
            </a:r>
          </a:p>
        </c:rich>
      </c:tx>
      <c:overlay val="0"/>
    </c:title>
    <c:autoTitleDeleted val="0"/>
    <c:plotArea>
      <c:layout/>
      <c:barChart>
        <c:barDir val="bar"/>
        <c:grouping val="clustered"/>
        <c:varyColors val="0"/>
        <c:ser>
          <c:idx val="0"/>
          <c:order val="0"/>
          <c:tx>
            <c:strRef>
              <c:f>Hoja1!$B$1</c:f>
              <c:strCache>
                <c:ptCount val="1"/>
                <c:pt idx="0">
                  <c:v>% del capital</c:v>
                </c:pt>
              </c:strCache>
            </c:strRef>
          </c:tx>
          <c:spPr>
            <a:solidFill>
              <a:srgbClr val="2A78D6"/>
            </a:solidFill>
            <a:ln w="9525">
              <a:noFill/>
            </a:ln>
          </c:spPr>
          <c:invertIfNegative val="0"/>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Hoja1!$A$2:$A$7</c:f>
              <c:strCache>
                <c:ptCount val="6"/>
                <c:pt idx="0">
                  <c:v>B. Thomas Golisano (fundador; incluye fideicomiso, familia y fundación)</c:v>
                </c:pt>
                <c:pt idx="1">
                  <c:v>Capital International Investors</c:v>
                </c:pt>
                <c:pt idx="2">
                  <c:v>BlackRock, Inc.</c:v>
                </c:pt>
                <c:pt idx="3">
                  <c:v>Vanguard Capital Management</c:v>
                </c:pt>
                <c:pt idx="4">
                  <c:v>Consejeros y directivos (19 personas)</c:v>
                </c:pt>
                <c:pt idx="5">
                  <c:v>Autocartera</c:v>
                </c:pt>
              </c:strCache>
            </c:strRef>
          </c:cat>
          <c:val>
            <c:numRef>
              <c:f>Hoja1!$B$2:$B$7</c:f>
              <c:numCache>
                <c:formatCode>0.0"%"</c:formatCode>
                <c:ptCount val="6"/>
                <c:pt idx="0">
                  <c:v>10.1</c:v>
                </c:pt>
                <c:pt idx="1">
                  <c:v>8.6</c:v>
                </c:pt>
                <c:pt idx="2">
                  <c:v>7.8</c:v>
                </c:pt>
                <c:pt idx="3">
                  <c:v>6.8</c:v>
                </c:pt>
                <c:pt idx="4">
                  <c:v>0.6</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Rentabilidad total por año: acción frente a su índice (%)</a:t>
            </a:r>
          </a:p>
        </c:rich>
      </c:tx>
      <c:overlay val="0"/>
    </c:title>
    <c:autoTitleDeleted val="0"/>
    <c:plotArea>
      <c:layout/>
      <c:barChart>
        <c:barDir val="col"/>
        <c:grouping val="clustered"/>
        <c:varyColors val="0"/>
        <c:ser>
          <c:idx val="0"/>
          <c:order val="0"/>
          <c:tx>
            <c:strRef>
              <c:f>Hoja1!$B$1</c:f>
              <c:strCache>
                <c:ptCount val="1"/>
                <c:pt idx="0">
                  <c:v>Acción</c:v>
                </c:pt>
              </c:strCache>
            </c:strRef>
          </c:tx>
          <c:spPr>
            <a:solidFill>
              <a:srgbClr val="2A78D6"/>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c:formatCode>
                <c:ptCount val="10"/>
                <c:pt idx="0">
                  <c:v>19</c:v>
                </c:pt>
                <c:pt idx="1">
                  <c:v>15.4</c:v>
                </c:pt>
                <c:pt idx="2">
                  <c:v>-1.1</c:v>
                </c:pt>
                <c:pt idx="3">
                  <c:v>34.5</c:v>
                </c:pt>
                <c:pt idx="4">
                  <c:v>13.3</c:v>
                </c:pt>
                <c:pt idx="5">
                  <c:v>50.2</c:v>
                </c:pt>
                <c:pt idx="6">
                  <c:v>-13.2</c:v>
                </c:pt>
                <c:pt idx="7">
                  <c:v>6.2</c:v>
                </c:pt>
                <c:pt idx="8">
                  <c:v>21.3</c:v>
                </c:pt>
                <c:pt idx="9">
                  <c:v>-17.5</c:v>
                </c:pt>
              </c:numCache>
            </c:numRef>
          </c:val>
        </c:ser>
        <c:ser>
          <c:idx val="1"/>
          <c:order val="1"/>
          <c:tx>
            <c:strRef>
              <c:f>Hoja1!$C$1</c:f>
              <c:strCache>
                <c:ptCount val="1"/>
                <c:pt idx="0">
                  <c:v>Índice</c:v>
                </c:pt>
              </c:strCache>
            </c:strRef>
          </c:tx>
          <c:spPr>
            <a:solidFill>
              <a:srgbClr val="EB6834"/>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c:formatCode>
                <c:ptCount val="10"/>
                <c:pt idx="0">
                  <c:v>12</c:v>
                </c:pt>
                <c:pt idx="1">
                  <c:v>21.7</c:v>
                </c:pt>
                <c:pt idx="2">
                  <c:v>-4.6</c:v>
                </c:pt>
                <c:pt idx="3">
                  <c:v>31.2</c:v>
                </c:pt>
                <c:pt idx="4">
                  <c:v>18.3</c:v>
                </c:pt>
                <c:pt idx="5">
                  <c:v>28.7</c:v>
                </c:pt>
                <c:pt idx="6">
                  <c:v>-18.2</c:v>
                </c:pt>
                <c:pt idx="7">
                  <c:v>26.2</c:v>
                </c:pt>
                <c:pt idx="8">
                  <c:v>24.9</c:v>
                </c:pt>
                <c:pt idx="9">
                  <c:v>17.7</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últimos 12 meses (cierre de cada año): historia y mediana (veces)</a:t>
            </a:r>
          </a:p>
        </c:rich>
      </c:tx>
      <c:overlay val="0"/>
    </c:title>
    <c:autoTitleDeleted val="0"/>
    <c:plotArea>
      <c:layout/>
      <c:lineChart>
        <c:grouping val="standard"/>
        <c:varyColors val="0"/>
        <c:ser>
          <c:idx val="0"/>
          <c:order val="0"/>
          <c:tx>
            <c:strRef>
              <c:f>Hoja1!$B$1</c:f>
              <c:strCache>
                <c:ptCount val="1"/>
                <c:pt idx="0">
                  <c:v>Múltiplo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Hoja1!$A$2:$A$11</c:f>
              <c:strCache>
                <c:ptCount val="10"/>
                <c:pt idx="0">
                  <c:v>FY2017</c:v>
                </c:pt>
                <c:pt idx="1">
                  <c:v>FY2018</c:v>
                </c:pt>
                <c:pt idx="2">
                  <c:v>FY2019</c:v>
                </c:pt>
                <c:pt idx="3">
                  <c:v>FY2020</c:v>
                </c:pt>
                <c:pt idx="4">
                  <c:v>FY2021</c:v>
                </c:pt>
                <c:pt idx="5">
                  <c:v>FY2022</c:v>
                </c:pt>
                <c:pt idx="6">
                  <c:v>FY2023</c:v>
                </c:pt>
                <c:pt idx="7">
                  <c:v>FY2024</c:v>
                </c:pt>
                <c:pt idx="8">
                  <c:v>FY2025</c:v>
                </c:pt>
                <c:pt idx="9">
                  <c:v>FY2026</c:v>
                </c:pt>
              </c:strCache>
            </c:strRef>
          </c:cat>
          <c:val>
            <c:numRef>
              <c:f>Hoja1!$B$2:$B$11</c:f>
              <c:numCache>
                <c:formatCode>0.0"x"</c:formatCode>
                <c:ptCount val="10"/>
                <c:pt idx="0">
                  <c:v>15</c:v>
                </c:pt>
                <c:pt idx="1">
                  <c:v>15.7</c:v>
                </c:pt>
                <c:pt idx="2">
                  <c:v>20</c:v>
                </c:pt>
                <c:pt idx="3">
                  <c:v>15.5</c:v>
                </c:pt>
                <c:pt idx="4">
                  <c:v>22</c:v>
                </c:pt>
                <c:pt idx="5">
                  <c:v>21.9</c:v>
                </c:pt>
                <c:pt idx="6">
                  <c:v>16.8</c:v>
                </c:pt>
                <c:pt idx="7">
                  <c:v>17.9</c:v>
                </c:pt>
                <c:pt idx="8">
                  <c:v>23.8</c:v>
                </c:pt>
                <c:pt idx="9">
                  <c:v>12.7</c:v>
                </c:pt>
              </c:numCache>
            </c:numRef>
          </c:val>
          <c:smooth val="0"/>
        </c:ser>
        <c:ser>
          <c:idx val="1"/>
          <c:order val="1"/>
          <c:tx>
            <c:strRef>
              <c:f>Hoja1!$C$1</c:f>
              <c:strCache>
                <c:ptCount val="1"/>
                <c:pt idx="0">
                  <c:v>Mediana del periodo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Hoja1!$A$2:$A$11</c:f>
              <c:strCache>
                <c:ptCount val="10"/>
                <c:pt idx="0">
                  <c:v>FY2017</c:v>
                </c:pt>
                <c:pt idx="1">
                  <c:v>FY2018</c:v>
                </c:pt>
                <c:pt idx="2">
                  <c:v>FY2019</c:v>
                </c:pt>
                <c:pt idx="3">
                  <c:v>FY2020</c:v>
                </c:pt>
                <c:pt idx="4">
                  <c:v>FY2021</c:v>
                </c:pt>
                <c:pt idx="5">
                  <c:v>FY2022</c:v>
                </c:pt>
                <c:pt idx="6">
                  <c:v>FY2023</c:v>
                </c:pt>
                <c:pt idx="7">
                  <c:v>FY2024</c:v>
                </c:pt>
                <c:pt idx="8">
                  <c:v>FY2025</c:v>
                </c:pt>
                <c:pt idx="9">
                  <c:v>FY2026</c:v>
                </c:pt>
              </c:strCache>
            </c:strRef>
          </c:cat>
          <c:val>
            <c:numRef>
              <c:f>Hoja1!$C$2:$C$11</c:f>
              <c:numCache>
                <c:formatCode>0.0"x"</c:formatCode>
                <c:ptCount val="10"/>
                <c:pt idx="0">
                  <c:v>17.4</c:v>
                </c:pt>
                <c:pt idx="1">
                  <c:v>17.4</c:v>
                </c:pt>
                <c:pt idx="2">
                  <c:v>17.4</c:v>
                </c:pt>
                <c:pt idx="3">
                  <c:v>17.4</c:v>
                </c:pt>
                <c:pt idx="4">
                  <c:v>17.4</c:v>
                </c:pt>
                <c:pt idx="5">
                  <c:v>17.4</c:v>
                </c:pt>
                <c:pt idx="6">
                  <c:v>17.4</c:v>
                </c:pt>
                <c:pt idx="7">
                  <c:v>17.4</c:v>
                </c:pt>
                <c:pt idx="8">
                  <c:v>17.4</c:v>
                </c:pt>
                <c:pt idx="9">
                  <c:v>17.4</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de los próximos 12 meses: empresa y comparables (veces)</a:t>
            </a:r>
          </a:p>
        </c:rich>
      </c:tx>
      <c:overlay val="0"/>
    </c:title>
    <c:autoTitleDeleted val="0"/>
    <c:plotArea>
      <c:layout/>
      <c:barChart>
        <c:barDir val="bar"/>
        <c:grouping val="clustered"/>
        <c:varyColors val="0"/>
        <c:ser>
          <c:idx val="0"/>
          <c:order val="0"/>
          <c:tx>
            <c:strRef>
              <c:f>Hoja1!$B$1</c:f>
              <c:strCache>
                <c:ptCount val="1"/>
                <c:pt idx="0">
                  <c:v>EV/EBITDA NTM</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Hoja1!$A$2:$A$8</c:f>
              <c:strCache>
                <c:ptCount val="7"/>
                <c:pt idx="0">
                  <c:v>Paychex</c:v>
                </c:pt>
                <c:pt idx="1">
                  <c:v>ADP</c:v>
                </c:pt>
                <c:pt idx="2">
                  <c:v>Paycom Software</c:v>
                </c:pt>
                <c:pt idx="3">
                  <c:v>Paylocity</c:v>
                </c:pt>
                <c:pt idx="4">
                  <c:v>Workday</c:v>
                </c:pt>
                <c:pt idx="5">
                  <c:v>Intuit</c:v>
                </c:pt>
                <c:pt idx="6">
                  <c:v>TriNet</c:v>
                </c:pt>
              </c:strCache>
            </c:strRef>
          </c:cat>
          <c:val>
            <c:numRef>
              <c:f>Hoja1!$B$2:$B$8</c:f>
              <c:numCache>
                <c:formatCode>0.0"x"</c:formatCode>
                <c:ptCount val="7"/>
                <c:pt idx="0">
                  <c:v>12.3</c:v>
                </c:pt>
                <c:pt idx="1">
                  <c:v>15.3</c:v>
                </c:pt>
                <c:pt idx="2">
                  <c:v>10.2</c:v>
                </c:pt>
                <c:pt idx="3">
                  <c:v>14.6</c:v>
                </c:pt>
                <c:pt idx="4">
                  <c:v>22.1</c:v>
                </c:pt>
                <c:pt idx="5">
                  <c:v>9.5</c:v>
                </c:pt>
                <c:pt idx="6">
                  <c:v>10.4</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esperado frente a múltiplo</a:t>
            </a:r>
          </a:p>
        </c:rich>
      </c:tx>
      <c:overlay val="0"/>
    </c:title>
    <c:autoTitleDeleted val="0"/>
    <c:plotArea>
      <c:layout/>
      <c:scatterChart>
        <c:scatterStyle val="lineMarker"/>
        <c:varyColors val="0"/>
        <c:ser>
          <c:idx val="0"/>
          <c:order val="0"/>
          <c:tx>
            <c:strRef>
              <c:f>Hoja1!$A$2</c:f>
              <c:strCache>
                <c:ptCount val="1"/>
                <c:pt idx="0">
                  <c:v>Paychex</c:v>
                </c:pt>
              </c:strCache>
            </c:strRef>
          </c:tx>
          <c:spPr>
            <a:ln w="19050">
              <a:noFill/>
            </a:ln>
          </c:spPr>
          <c:marker>
            <c:symbol val="circle"/>
            <c:size val="10"/>
            <c:spPr>
              <a:solidFill>
                <a:srgbClr val="2A78D6"/>
              </a:solidFill>
              <a:ln w="9525">
                <a:solidFill>
                  <a:srgbClr val="FFFFFF"/>
                </a:solidFill>
              </a:ln>
            </c:spPr>
          </c:marker>
          <c:dLbls>
            <c:spPr>
              <a:noFill/>
              <a:ln>
                <a:noFill/>
              </a:ln>
            </c:spPr>
            <c:txPr>
              <a:bodyPr/>
              <a:lstStyle/>
              <a:p>
                <a:pPr>
                  <a:defRPr sz="800">
                    <a:solidFill>
                      <a:srgbClr val="1F2A3C"/>
                    </a:solidFill>
                  </a:defRPr>
                </a:pPr>
                <a:endParaRPr lang="es-ES"/>
              </a:p>
            </c:txPr>
            <c:dLblPos val="r"/>
            <c:showLegendKey val="0"/>
            <c:showVal val="0"/>
            <c:showCatName val="0"/>
            <c:showSerName val="1"/>
            <c:showPercent val="0"/>
            <c:showBubbleSize val="0"/>
          </c:dLbls>
          <c:xVal>
            <c:numRef>
              <c:f>Hoja1!$B$2</c:f>
              <c:numCache>
                <c:formatCode>0"%"</c:formatCode>
                <c:ptCount val="1"/>
                <c:pt idx="0">
                  <c:v>5.4</c:v>
                </c:pt>
              </c:numCache>
            </c:numRef>
          </c:xVal>
          <c:yVal>
            <c:numRef>
              <c:f>Hoja1!$C$2</c:f>
              <c:numCache>
                <c:formatCode>0.0"x"</c:formatCode>
                <c:ptCount val="1"/>
                <c:pt idx="0">
                  <c:v>12.3</c:v>
                </c:pt>
              </c:numCache>
            </c:numRef>
          </c:yVal>
          <c:smooth val="0"/>
        </c:ser>
        <c:ser>
          <c:idx val="1"/>
          <c:order val="1"/>
          <c:tx>
            <c:strRef>
              <c:f>Hoja1!$A$3</c:f>
              <c:strCache>
                <c:ptCount val="1"/>
                <c:pt idx="0">
                  <c:v>ADP</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Hoja1!$B$3</c:f>
              <c:numCache>
                <c:formatCode>0"%"</c:formatCode>
                <c:ptCount val="1"/>
                <c:pt idx="0">
                  <c:v>5.8</c:v>
                </c:pt>
              </c:numCache>
            </c:numRef>
          </c:xVal>
          <c:yVal>
            <c:numRef>
              <c:f>Hoja1!$C$3</c:f>
              <c:numCache>
                <c:formatCode>0.0"x"</c:formatCode>
                <c:ptCount val="1"/>
                <c:pt idx="0">
                  <c:v>15.3</c:v>
                </c:pt>
              </c:numCache>
            </c:numRef>
          </c:yVal>
          <c:smooth val="0"/>
        </c:ser>
        <c:ser>
          <c:idx val="2"/>
          <c:order val="2"/>
          <c:tx>
            <c:strRef>
              <c:f>Hoja1!$A$4</c:f>
              <c:strCache>
                <c:ptCount val="1"/>
                <c:pt idx="0">
                  <c:v>Paycom Software</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Hoja1!$B$4</c:f>
              <c:numCache>
                <c:formatCode>0"%"</c:formatCode>
                <c:ptCount val="1"/>
                <c:pt idx="0">
                  <c:v>9</c:v>
                </c:pt>
              </c:numCache>
            </c:numRef>
          </c:xVal>
          <c:yVal>
            <c:numRef>
              <c:f>Hoja1!$C$4</c:f>
              <c:numCache>
                <c:formatCode>0.0"x"</c:formatCode>
                <c:ptCount val="1"/>
                <c:pt idx="0">
                  <c:v>10.2</c:v>
                </c:pt>
              </c:numCache>
            </c:numRef>
          </c:yVal>
          <c:smooth val="0"/>
        </c:ser>
        <c:ser>
          <c:idx val="3"/>
          <c:order val="3"/>
          <c:tx>
            <c:strRef>
              <c:f>Hoja1!$A$5</c:f>
              <c:strCache>
                <c:ptCount val="1"/>
                <c:pt idx="0">
                  <c:v>Paylocity</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Hoja1!$B$5</c:f>
              <c:numCache>
                <c:formatCode>0"%"</c:formatCode>
                <c:ptCount val="1"/>
                <c:pt idx="0">
                  <c:v>7.2</c:v>
                </c:pt>
              </c:numCache>
            </c:numRef>
          </c:xVal>
          <c:yVal>
            <c:numRef>
              <c:f>Hoja1!$C$5</c:f>
              <c:numCache>
                <c:formatCode>0.0"x"</c:formatCode>
                <c:ptCount val="1"/>
                <c:pt idx="0">
                  <c:v>14.6</c:v>
                </c:pt>
              </c:numCache>
            </c:numRef>
          </c:yVal>
          <c:smooth val="0"/>
        </c:ser>
        <c:ser>
          <c:idx val="4"/>
          <c:order val="4"/>
          <c:tx>
            <c:strRef>
              <c:f>Hoja1!$A$6</c:f>
              <c:strCache>
                <c:ptCount val="1"/>
                <c:pt idx="0">
                  <c:v>Workday</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Hoja1!$B$6</c:f>
              <c:numCache>
                <c:formatCode>0"%"</c:formatCode>
                <c:ptCount val="1"/>
                <c:pt idx="0">
                  <c:v>10.5</c:v>
                </c:pt>
              </c:numCache>
            </c:numRef>
          </c:xVal>
          <c:yVal>
            <c:numRef>
              <c:f>Hoja1!$C$6</c:f>
              <c:numCache>
                <c:formatCode>0.0"x"</c:formatCode>
                <c:ptCount val="1"/>
                <c:pt idx="0">
                  <c:v>22.1</c:v>
                </c:pt>
              </c:numCache>
            </c:numRef>
          </c:yVal>
          <c:smooth val="0"/>
        </c:ser>
        <c:ser>
          <c:idx val="5"/>
          <c:order val="5"/>
          <c:tx>
            <c:strRef>
              <c:f>Hoja1!$A$7</c:f>
              <c:strCache>
                <c:ptCount val="1"/>
                <c:pt idx="0">
                  <c:v>Intuit</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Hoja1!$B$7</c:f>
              <c:numCache>
                <c:formatCode>0"%"</c:formatCode>
                <c:ptCount val="1"/>
                <c:pt idx="0">
                  <c:v>9.2</c:v>
                </c:pt>
              </c:numCache>
            </c:numRef>
          </c:xVal>
          <c:yVal>
            <c:numRef>
              <c:f>Hoja1!$C$7</c:f>
              <c:numCache>
                <c:formatCode>0.0"x"</c:formatCode>
                <c:ptCount val="1"/>
                <c:pt idx="0">
                  <c:v>9.5</c:v>
                </c:pt>
              </c:numCache>
            </c:numRef>
          </c:yVal>
          <c:smooth val="0"/>
        </c:ser>
        <c:ser>
          <c:idx val="6"/>
          <c:order val="6"/>
          <c:tx>
            <c:strRef>
              <c:f>Hoja1!$A$8</c:f>
              <c:strCache>
                <c:ptCount val="1"/>
                <c:pt idx="0">
                  <c:v>TriNet</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Hoja1!$B$8</c:f>
              <c:numCache>
                <c:formatCode>0"%"</c:formatCode>
                <c:ptCount val="1"/>
                <c:pt idx="0">
                  <c:v>1.2</c:v>
                </c:pt>
              </c:numCache>
            </c:numRef>
          </c:xVal>
          <c:yVal>
            <c:numRef>
              <c:f>Hoja1!$C$8</c:f>
              <c:numCache>
                <c:formatCode>0.0"x"</c:formatCode>
                <c:ptCount val="1"/>
                <c:pt idx="0">
                  <c:v>10.4</c:v>
                </c:pt>
              </c:numCache>
            </c:numRef>
          </c:yVal>
          <c:smooth val="0"/>
        </c:ser>
        <c:axId val="10"/>
        <c:axId val="20"/>
      </c:scatterChart>
      <c:valAx>
        <c:axId val="10"/>
        <c:scaling>
          <c:orientation val="minMax"/>
          <c:max val="13"/>
        </c:scaling>
        <c:delete val="0"/>
        <c:axPos val="b"/>
        <c:title>
          <c:tx>
            <c:rich>
              <a:bodyPr/>
              <a:lstStyle/>
              <a:p>
                <a:pPr>
                  <a:defRPr sz="850" b="0">
                    <a:solidFill>
                      <a:srgbClr val="52514E"/>
                    </a:solidFill>
                  </a:defRPr>
                </a:pPr>
                <a:r>
                  <a:rPr lang="es-ES" sz="850" b="0">
                    <a:solidFill>
                      <a:srgbClr val="52514E"/>
                    </a:solidFill>
                  </a:rPr>
                  <a:t>Crecimiento de ingresos próximos 12 meses (%)</a:t>
                </a:r>
              </a:p>
            </c:rich>
          </c:tx>
          <c:overlay val="0"/>
        </c:title>
        <c:numFmt formatCode="0&quot;%&quot;"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crossBetween val="midCat"/>
      </c:valAx>
      <c:valAx>
        <c:axId val="20"/>
        <c:scaling>
          <c:orientation val="minMax"/>
          <c:min val="6"/>
        </c:scaling>
        <c:delete val="0"/>
        <c:axPos val="l"/>
        <c:majorGridlines>
          <c:spPr>
            <a:ln w="6350">
              <a:solidFill>
                <a:srgbClr val="E4E3DF"/>
              </a:solidFill>
            </a:ln>
          </c:spPr>
        </c:majorGridlines>
        <c:title>
          <c:tx>
            <c:rich>
              <a:bodyPr rot="-5400000" vert="horz"/>
              <a:lstStyle/>
              <a:p>
                <a:pPr>
                  <a:defRPr sz="850" b="0">
                    <a:solidFill>
                      <a:srgbClr val="52514E"/>
                    </a:solidFill>
                  </a:defRPr>
                </a:pPr>
                <a:r>
                  <a:rPr lang="es-ES" sz="850" b="0">
                    <a:solidFill>
                      <a:srgbClr val="52514E"/>
                    </a:solidFill>
                  </a:rPr>
                  <a:t>EV/EBITDA NTM (x)</a:t>
                </a:r>
              </a:p>
            </c:rich>
          </c:tx>
          <c:overlay val="0"/>
        </c:title>
        <c:numFmt formatCode="0.0&quot;x&quot;" sourceLinked="0"/>
        <c:majorTickMark val="none"/>
        <c:minorTickMark val="none"/>
        <c:tickLblPos val="low"/>
        <c:spPr>
          <a:ln>
            <a:noFill/>
          </a:ln>
        </c:spPr>
        <c:txPr>
          <a:bodyPr/>
          <a:lstStyle/>
          <a:p>
            <a:pPr>
              <a:defRPr sz="850">
                <a:solidFill>
                  <a:srgbClr val="52514E"/>
                </a:solidFill>
              </a:defRPr>
            </a:pPr>
            <a:endParaRPr lang="es-ES"/>
          </a:p>
        </c:txPr>
        <c:crossAx val="10"/>
        <c:crosses val="autoZero"/>
        <c:crossBetween val="midCat"/>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pagado en transacciones del sector (veces)</a:t>
            </a:r>
          </a:p>
        </c:rich>
      </c:tx>
      <c:overlay val="0"/>
    </c:title>
    <c:autoTitleDeleted val="0"/>
    <c:plotArea>
      <c:layout/>
      <c:barChart>
        <c:barDir val="bar"/>
        <c:grouping val="clustered"/>
        <c:varyColors val="0"/>
        <c:ser>
          <c:idx val="0"/>
          <c:order val="0"/>
          <c:tx>
            <c:strRef>
              <c:f>Hoja1!$B$1</c:f>
              <c:strCache>
                <c:ptCount val="1"/>
                <c:pt idx="0">
                  <c:v>EV/EBITDA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Hoja1!$A$2:$A$5</c:f>
              <c:strCache>
                <c:ptCount val="4"/>
                <c:pt idx="0">
                  <c:v>Dayforce (antes Ceridian HCM)</c:v>
                </c:pt>
                <c:pt idx="1">
                  <c:v>Paycor HCM</c:v>
                </c:pt>
                <c:pt idx="2">
                  <c:v>WorkForce Software</c:v>
                </c:pt>
                <c:pt idx="3">
                  <c:v>Ultimate Software</c:v>
                </c:pt>
              </c:strCache>
            </c:strRef>
          </c:cat>
          <c:val>
            <c:numRef>
              <c:f>Hoja1!$B$2:$B$5</c:f>
              <c:numCache>
                <c:formatCode>0.0"x"</c:formatCode>
                <c:ptCount val="4"/>
                <c:pt idx="0">
                  <c:v>19.8</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para la empresa proyectado (USD, millones)</a:t>
            </a:r>
          </a:p>
        </c:rich>
      </c:tx>
      <c:overlay val="0"/>
    </c:title>
    <c:autoTitleDeleted val="0"/>
    <c:plotArea>
      <c:layout/>
      <c:barChart>
        <c:barDir val="col"/>
        <c:grouping val="clustered"/>
        <c:varyColors val="0"/>
        <c:ser>
          <c:idx val="0"/>
          <c:order val="0"/>
          <c:tx>
            <c:strRef>
              <c:f>Hoja1!$B$1</c:f>
              <c:strCache>
                <c:ptCount val="1"/>
                <c:pt idx="0">
                  <c:v>FCFF</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Hoja1!$A$2:$A$9</c:f>
              <c:strCache>
                <c:ptCount val="8"/>
                <c:pt idx="0">
                  <c:v>FY2027e</c:v>
                </c:pt>
                <c:pt idx="1">
                  <c:v>FY2028e</c:v>
                </c:pt>
                <c:pt idx="2">
                  <c:v>FY2029e</c:v>
                </c:pt>
                <c:pt idx="3">
                  <c:v>FY2030e</c:v>
                </c:pt>
                <c:pt idx="4">
                  <c:v>FY2031e</c:v>
                </c:pt>
                <c:pt idx="5">
                  <c:v>FY2032e</c:v>
                </c:pt>
                <c:pt idx="6">
                  <c:v>FY2033e</c:v>
                </c:pt>
                <c:pt idx="7">
                  <c:v>FY2034e</c:v>
                </c:pt>
              </c:strCache>
            </c:strRef>
          </c:cat>
          <c:val>
            <c:numRef>
              <c:f>Hoja1!$B$2:$B$9</c:f>
              <c:numCache>
                <c:formatCode>#,##0</c:formatCode>
                <c:ptCount val="8"/>
                <c:pt idx="0">
                  <c:v>2118</c:v>
                </c:pt>
                <c:pt idx="1">
                  <c:v>2262</c:v>
                </c:pt>
                <c:pt idx="2">
                  <c:v>2373</c:v>
                </c:pt>
                <c:pt idx="3">
                  <c:v>2490</c:v>
                </c:pt>
                <c:pt idx="4">
                  <c:v>2601</c:v>
                </c:pt>
                <c:pt idx="5">
                  <c:v>2720</c:v>
                </c:pt>
                <c:pt idx="6">
                  <c:v>2824</c:v>
                </c:pt>
                <c:pt idx="7">
                  <c:v>2923</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 dónde sale el valor empresa del DCF (USD, millones)</a:t>
            </a:r>
          </a:p>
        </c:rich>
      </c:tx>
      <c:overlay val="0"/>
    </c:title>
    <c:autoTitleDeleted val="0"/>
    <c:plotArea>
      <c:layout/>
      <c:doughnutChart>
        <c:varyColors val="1"/>
        <c:ser>
          <c:idx val="0"/>
          <c:order val="0"/>
          <c:tx>
            <c:strRef>
              <c:f>Hoja1!$B$1</c:f>
              <c:strCache>
                <c:ptCount val="1"/>
                <c:pt idx="0">
                  <c:v>Valor actual</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Flujos proyectados</c:v>
                </c:pt>
                <c:pt idx="1">
                  <c:v>Valor terminal</c:v>
                </c:pt>
              </c:strCache>
            </c:strRef>
          </c:cat>
          <c:val>
            <c:numRef>
              <c:f>Hoja1!$B$2:$B$3</c:f>
              <c:numCache>
                <c:formatCode>#,##0</c:formatCode>
                <c:ptCount val="2"/>
                <c:pt idx="0">
                  <c:v>13810</c:v>
                </c:pt>
                <c:pt idx="1">
                  <c:v>23189</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por escenario (USD) · precio actual 103,98</a:t>
            </a:r>
          </a:p>
        </c:rich>
      </c:tx>
      <c:overlay val="0"/>
    </c:title>
    <c:autoTitleDeleted val="0"/>
    <c:plotArea>
      <c:layout/>
      <c:barChart>
        <c:barDir val="col"/>
        <c:grouping val="clustered"/>
        <c:varyColors val="0"/>
        <c:ser>
          <c:idx val="0"/>
          <c:order val="0"/>
          <c:tx>
            <c:strRef>
              <c:f>Hoja1!$B$1</c:f>
              <c:strCache>
                <c:ptCount val="1"/>
                <c:pt idx="0">
                  <c:v>Valor por acción</c:v>
                </c:pt>
              </c:strCache>
            </c:strRef>
          </c:tx>
          <c:spPr>
            <a:solidFill>
              <a:srgbClr val="2A78D6"/>
            </a:solidFill>
            <a:ln w="9525">
              <a:noFill/>
            </a:ln>
          </c:spPr>
          <c:invertIfNegative val="0"/>
          <c:dLbls>
            <c:numFmt formatCode="#,##0.0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Bajista</c:v>
                </c:pt>
                <c:pt idx="1">
                  <c:v>Base</c:v>
                </c:pt>
                <c:pt idx="2">
                  <c:v>Alcista</c:v>
                </c:pt>
              </c:strCache>
            </c:strRef>
          </c:cat>
          <c:val>
            <c:numRef>
              <c:f>Hoja1!$B$2:$B$4</c:f>
              <c:numCache>
                <c:formatCode>#,##0.00</c:formatCode>
                <c:ptCount val="3"/>
                <c:pt idx="0">
                  <c:v>67.05</c:v>
                </c:pt>
                <c:pt idx="1">
                  <c:v>93.54</c:v>
                </c:pt>
                <c:pt idx="2">
                  <c:v>113.78</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(USD) · precio actual 103,98</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Hoja1!$A$2:$A$10</c:f>
              <c:strCache>
                <c:ptCount val="9"/>
                <c:pt idx="0">
                  <c:v>Cotización 52 semanas (85,45 – 129,24)</c:v>
                </c:pt>
                <c:pt idx="1">
                  <c:v>Precio objetivo de los analistas (96,00 – 150,00)</c:v>
                </c:pt>
                <c:pt idx="2">
                  <c:v>Comparables: EV/EBITDA NTM (85,01 – 130,27)</c:v>
                </c:pt>
                <c:pt idx="3">
                  <c:v>Comparables: PER NTM (112,33 – 136,68)</c:v>
                </c:pt>
                <c:pt idx="4">
                  <c:v>Transacciones precedentes (EV/ventas) (106,70 – 140,84)</c:v>
                </c:pt>
                <c:pt idx="5">
                  <c:v>DCF (WACC y g ± 0,5) (82,05 – 109,13)</c:v>
                </c:pt>
                <c:pt idx="6">
                  <c:v>Escenarios (bajista – alcista) (67,05 – 113,78)</c:v>
                </c:pt>
                <c:pt idx="7">
                  <c:v>DCF con la prima implícita del mercado (4,2 %)</c:v>
                </c:pt>
                <c:pt idx="8">
                  <c:v>Precio actual (103,98)</c:v>
                </c:pt>
              </c:strCache>
            </c:strRef>
          </c:cat>
          <c:val>
            <c:numRef>
              <c:f>Hoja1!$B$2:$B$10</c:f>
              <c:numCache>
                <c:formatCode>#,##0</c:formatCode>
                <c:ptCount val="9"/>
                <c:pt idx="0">
                  <c:v>85.45</c:v>
                </c:pt>
                <c:pt idx="1">
                  <c:v>96</c:v>
                </c:pt>
                <c:pt idx="2">
                  <c:v>85.01</c:v>
                </c:pt>
                <c:pt idx="3">
                  <c:v>112.33</c:v>
                </c:pt>
                <c:pt idx="4">
                  <c:v>106.7</c:v>
                </c:pt>
                <c:pt idx="5">
                  <c:v>82.05</c:v>
                </c:pt>
                <c:pt idx="6">
                  <c:v>67.05</c:v>
                </c:pt>
                <c:pt idx="7">
                  <c:v>102.9</c:v>
                </c:pt>
                <c:pt idx="8">
                  <c:v>103.46</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8"/>
            <c:invertIfNegative val="0"/>
            <c:bubble3D val="0"/>
            <c:spPr>
              <a:solidFill>
                <a:srgbClr val="C9C8C2"/>
              </a:solidFill>
            </c:spPr>
          </c:dPt>
          <c:cat>
            <c:strRef>
              <c:f>Hoja1!$A$2:$A$10</c:f>
              <c:strCache>
                <c:ptCount val="9"/>
                <c:pt idx="0">
                  <c:v>Cotización 52 semanas (85,45 – 129,24)</c:v>
                </c:pt>
                <c:pt idx="1">
                  <c:v>Precio objetivo de los analistas (96,00 – 150,00)</c:v>
                </c:pt>
                <c:pt idx="2">
                  <c:v>Comparables: EV/EBITDA NTM (85,01 – 130,27)</c:v>
                </c:pt>
                <c:pt idx="3">
                  <c:v>Comparables: PER NTM (112,33 – 136,68)</c:v>
                </c:pt>
                <c:pt idx="4">
                  <c:v>Transacciones precedentes (EV/ventas) (106,70 – 140,84)</c:v>
                </c:pt>
                <c:pt idx="5">
                  <c:v>DCF (WACC y g ± 0,5) (82,05 – 109,13)</c:v>
                </c:pt>
                <c:pt idx="6">
                  <c:v>Escenarios (bajista – alcista) (67,05 – 113,78)</c:v>
                </c:pt>
                <c:pt idx="7">
                  <c:v>DCF con la prima implícita del mercado (4,2 %)</c:v>
                </c:pt>
                <c:pt idx="8">
                  <c:v>Precio actual (103,98)</c:v>
                </c:pt>
              </c:strCache>
            </c:strRef>
          </c:cat>
          <c:val>
            <c:numRef>
              <c:f>Hoja1!$C$2:$C$10</c:f>
              <c:numCache>
                <c:formatCode>#,##0</c:formatCode>
                <c:ptCount val="9"/>
                <c:pt idx="0">
                  <c:v>43.790000000000006</c:v>
                </c:pt>
                <c:pt idx="1">
                  <c:v>54</c:v>
                </c:pt>
                <c:pt idx="2">
                  <c:v>45.260000000000005</c:v>
                </c:pt>
                <c:pt idx="3">
                  <c:v>24.35000000000001</c:v>
                </c:pt>
                <c:pt idx="4">
                  <c:v>34.14</c:v>
                </c:pt>
                <c:pt idx="5">
                  <c:v>27.08</c:v>
                </c:pt>
                <c:pt idx="6">
                  <c:v>46.730000000000004</c:v>
                </c:pt>
                <c:pt idx="7">
                  <c:v>22.679999999999993</c:v>
                </c:pt>
                <c:pt idx="8">
                  <c:v>1.0400000000000063</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5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Análisis de empresa cotizada — plantilla</dc:title>
  <dc:creator>analisis-inversion</dc:creator>
  <cp:lastModifiedBy>Un-named</cp:lastModifiedBy>
  <cp:revision>1</cp:revision>
  <dcterms:created xsi:type="dcterms:W3CDTF">2026-10-14T17:04:42.347Z</dcterms:created>
  <dcterms:modified xsi:type="dcterms:W3CDTF">2026-10-14T17:04:42.347Z</dcterms:modified>
</cp:coreProperties>
</file>

<file path=docProps/custom.xml><?xml version="1.0" encoding="utf-8"?>
<Properties xmlns="http://schemas.openxmlformats.org/officeDocument/2006/custom-properties" xmlns:vt="http://schemas.openxmlformats.org/officeDocument/2006/docPropsVTypes"/>
</file>