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Chemed Corporation</w:t>
      </w:r>
    </w:p>
    <w:p>
      <w:pPr>
        <w:spacing w:after="60"/>
        <w:rPr>
          <w:color w:val="52514E"/>
          <w:sz w:val="22"/>
          <w:szCs w:val="22"/>
        </w:rPr>
      </w:pPr>
      <w:r>
        <w:rPr>
          <w:color w:val="52514E"/>
          <w:sz w:val="22"/>
          <w:szCs w:val="22"/>
        </w:rPr>
        <w:t xml:space="preserve">CHE · NYSE · ISIN US16359R1032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513,18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618,54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+21,0 % (base +20,6 %)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479,34 USD · mercado 518,13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6.707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Chemed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 / US16359R1032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Proveedores y servicios de salud (cuidados paliativos) y servicios al hogar (fontanería)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Cincinnati (Ohio) · 1970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www.chemed.com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513,18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365,21 – 557,00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82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618,54 USD</w:t>
      </w:r>
      <w:r>
        <w:t xml:space="preserve"> frente a 513,18 · Rentabilidad a 12 meses </w:t>
      </w:r>
      <w:r>
        <w:rPr>
          <w:b/>
          <w:bCs/>
        </w:rPr>
        <w:t xml:space="preserve">+21,0 % (base +20,6 %)</w:t>
      </w:r>
      <w:r>
        <w:t xml:space="preserve"> · Valor intrínseco 479,34 USD · con la prima implícita del mercado: 518,13 (+1,0 %) · Alcista / bajista +4,6 % / -23,1 %</w:t>
      </w:r>
    </w:p>
    <w:p>
      <w:pPr>
        <w:spacing w:after="100"/>
      </w:pPr>
      <w:r>
        <w:rPr>
          <w:b/>
        </w:rPr>
        <w:t xml:space="preserve">La recomendación y por qué.</w:t>
      </w:r>
      <w:r>
        <w:t xml:space="preserve"> Mantener, con convicción baja. La regla a 12 meses da un 21,0 % ponderado y un 20,6 % en el base, dividendo incluido: objetivo de 618,54 USD frente a un precio de 513,18 (cierre del 14-oct-2026; unos 458 EUR por acción, un 1,5 % de una cartera de 30.000 EUR, muy por debajo del 7 %). </w:t>
      </w:r>
      <w:r>
        <w:rPr>
          <w:b/>
        </w:rPr>
        <w:t xml:space="preserve">Pero falla el filtro del valor intrínseco</w:t>
      </w:r>
      <w:r>
        <w:t xml:space="preserve">: 479,34 USD, un 6,6 % por debajo del precio. La regla supone que el PER adelantado (21,7 veces) vuelve a mitad de camino hacia su mediana de cinco años (28,9), una historia de tipos al 1-2 %; con el bono al 5,19 % los flujos no lo pagan. Las reglas del DCF discrepan (absoluta Vender, relativa Mantener), y por eso la convicción es baja.</w:t>
      </w:r>
    </w:p>
    <w:p>
      <w:pPr>
        <w:spacing w:after="100"/>
      </w:pPr>
      <w:r>
        <w:rPr>
          <w:b/>
        </w:rPr>
        <w:t xml:space="preserve">La empresa.</w:t>
      </w:r>
      <w:r>
        <w:t xml:space="preserve"> Dos negocios sin nada en común salvo el dueño: VITAS, el mayor grupo de hospicios de EE. UU. (64 % de las ventas, más del 90 % pagado por Medicare), y Roto-Rooter, la marca nacional de fontanería y desatascos [1]. </w:t>
      </w:r>
      <w:r>
        <w:rPr>
          <w:b/>
        </w:rPr>
        <w:t xml:space="preserve">Calidad: Sí.</w:t>
      </w:r>
      <w:r>
        <w:t xml:space="preserve"> ROIC del 27,9 % frente a un WACC del 8,84 % (19 puntos), deuda neta de 0,2 veces el EBITDA, caja libre de 323 M en los últimos 12 meses y recompras del 10,5 % del capital en un año [1, 5]. La sostenibilidad del crecimiento da «Sí», igual que el motor: crece al 5,5 % sin capital.</w:t>
      </w:r>
    </w:p>
    <w:p>
      <w:pPr>
        <w:spacing w:after="100"/>
      </w:pPr>
      <w:r>
        <w:rPr>
          <w:b/>
        </w:rPr>
        <w:t xml:space="preserve">Qué ha pasado.</w:t>
      </w:r>
      <w:r>
        <w:t xml:space="preserve"> En 2025 el tope de Medicare por paciente en Florida (27,2 M) y la caída de Roto-Rooter llevaron la acción a 365 USD en marzo de 2026; desde entonces VITAS ha vuelto (censo +6 %, tope de 7 M en la guía), la guía de BPA ajustado subió dos veces a 25,00-25,75 USD y entró el activista Barington, que pide estudiar la separación [5, 26]. La acción ha subido un 40 %.</w:t>
      </w:r>
    </w:p>
    <w:p>
      <w:pPr>
        <w:spacing w:after="100"/>
      </w:pPr>
      <w:r>
        <w:rPr>
          <w:b/>
        </w:rPr>
        <w:t xml:space="preserve">Medicare.</w:t>
      </w:r>
      <w:r>
        <w:t xml:space="preserve"> La CMS dio +2,3 % de tarifa y un tope de 36.174,75 USD para el año fiscal 2027 (+1,9 % para VITAS según la empresa); MedPAC pedía congelarla por un margen medio del sector del 8-9 % [17, 18]. La moratoria a hospicios nuevos ayuda a los grandes. VITAS pagó 75 M en 2017 por facturación indebida; el acuerdo de integridad terminó en 2023 y no hay litigios abiertos de peso [1].</w:t>
      </w:r>
    </w:p>
    <w:p>
      <w:pPr>
        <w:spacing w:after="100"/>
      </w:pPr>
      <w:r>
        <w:rPr>
          <w:b/>
        </w:rPr>
        <w:t xml:space="preserve">La IA.</w:t>
      </w:r>
      <w:r>
        <w:t xml:space="preserve"> Exposición media y en contra, solo en Roto-Rooter (un tercio de las ventas): capta al cliente urgente en Google, los contactos gratuitos caen un 13,1 % y los de pago ya son el 59 % [14]. La IA no sustituye al fontanero, pero encarece cada trabajo; estimamos un −6 % de valor si el margen de Roto-Rooter pierde 3 puntos. </w:t>
      </w:r>
      <w:r>
        <w:rPr>
          <w:b/>
        </w:rPr>
        <w:t xml:space="preserve">El riesgo de que la IA se coma el negocio es bajo</w:t>
      </w:r>
      <w:r>
        <w:t xml:space="preserve"> para el grupo: el hospicio llega por derivación médica y se presta junto a la cama.</w:t>
      </w:r>
    </w:p>
    <w:p>
      <w:pPr>
        <w:spacing w:after="100"/>
      </w:pPr>
      <w:r>
        <w:rPr>
          <w:b/>
        </w:rPr>
        <w:t xml:space="preserve">Suma de partes.</w:t>
      </w:r>
      <w:r>
        <w:t xml:space="preserve"> 458,78 USD por acción (VITAS a 12 veces y Roto-Rooter a 14 veces el EBITDA ajustado): la separación no destapa un valor grande salvo con múltiplos de 2021.</w:t>
      </w:r>
    </w:p>
    <w:p>
      <w:pPr>
        <w:spacing w:after="100"/>
      </w:pPr>
      <w:r>
        <w:rPr>
          <w:b/>
        </w:rPr>
        <w:t xml:space="preserve">Qué haría cambiar la señal.</w:t>
      </w:r>
      <w:r>
        <w:t xml:space="preserve"> Comprar por debajo de 479,34 USD (valor intrínseco), en dos tramos si faltan menos de 14 días para resultados (el 27-oct). Vender por encima de 689,93 USD. Una tarifa de Medicare para 2028 por debajo del 1,5 % o un tope de Florida por encima de 10 M rebajarían el BPA. Datos con confianza media-alta: cuentas del XBRL y de los 10-K; falta la tabla de guía de VITAS en la nota de prensa (tomada de la conferencia) y la causa de la caída del 27-ago.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618,54 USD</w:t>
      </w:r>
      <w:r>
        <w:t xml:space="preserve"> (rentabilidad +21,0 % (base +20,6 %)) · Valor intrínseco: 479,34 USD (-6,6 % sobre 513,18) · con la prima implícita del mercado: 518,13 (+1,0 %)</w:t>
      </w:r>
    </w:p>
    <w:p>
      <w:pPr>
        <w:spacing w:after="100"/>
      </w:pPr>
      <w:r>
        <w:t xml:space="preserve">Chemed es dos empresas de calidad con un mismo accionista: VITAS, líder en hospicios de EE. UU. con un 5 % del gasto de Medicare, y Roto-Rooter, la marca nacional de fontanería. Juntas rinden un ROIC del 28 %, casi sin deuda y con recompras del 10 % del capital al año [1, 5].</w:t>
      </w:r>
    </w:p>
    <w:p>
      <w:pPr>
        <w:spacing w:after="100"/>
      </w:pPr>
      <w:r>
        <w:t xml:space="preserve">VITAS ha salido del bache del tope de Medicare y crece al 6-9 %; Roto-Rooter sufre la captación digital y no crece. El mercado ya ha pagado la recuperación: la acción subió un 40 % desde marzo. A 12 meses la regla de múltiplos ve un 21 % si el PER vuelve hacia su historia, pero con el bono al 5,19 % el valor de los flujos (479 USD) queda por debajo del precio. Es una empresa para comprar más abajo, no a 513.</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 × 22,30 = 425,93 · 23,9x × 25,80 = 616,62 · 28,9x × 28,20 = 814,98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 / 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571,60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 -23,1 %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8,8 %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479,34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479,34 y 689,93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689,93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479,34 USD (valor intrínseco): Comprar, en dos tramos si hay resultados en menos de 14 días.</w:t>
      </w:r>
    </w:p>
    <w:p>
      <w:pPr>
        <w:pStyle w:val="ListParagraph"/>
        <w:numPr>
          <w:ilvl w:val="0"/>
          <w:numId w:val="2"/>
        </w:numPr>
        <w:spacing w:after="60"/>
      </w:pPr>
      <w:r>
        <w:t xml:space="preserve">Precio por encima de 689,93 USD: Vender.</w:t>
      </w:r>
    </w:p>
    <w:p>
      <w:pPr>
        <w:pStyle w:val="ListParagraph"/>
        <w:numPr>
          <w:ilvl w:val="0"/>
          <w:numId w:val="2"/>
        </w:numPr>
        <w:spacing w:after="60"/>
      </w:pPr>
      <w:r>
        <w:t xml:space="preserve">Tarifa de Medicare para el año fiscal 2028 por debajo del 1,5 % o tope de Florida por encima de 10 M: rebaja del BPA; revisar a Vender.</w:t>
      </w:r>
    </w:p>
    <w:p>
      <w:pPr>
        <w:pStyle w:val="ListParagraph"/>
        <w:numPr>
          <w:ilvl w:val="0"/>
          <w:numId w:val="2"/>
        </w:numPr>
        <w:spacing w:after="60"/>
      </w:pPr>
      <w:r>
        <w:t xml:space="preserve">Separación de Roto-Rooter a más de 16 veces el EBITDA: subiría la suma de partes por encima del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VITAS ya está fuera del problema del tope y que el activista Barington forzará una separación que destapa valor; los analistas suben objetivos (571,60 de media) y el BPA ajustado de 2026 (+4,7 % en tres meses).</w:t>
      </w:r>
    </w:p>
    <w:p>
      <w:pPr>
        <w:keepNext/>
        <w:spacing w:after="100"/>
      </w:pPr>
      <w:r>
        <w:rPr>
          <w:b/>
          <w:bCs/>
        </w:rPr>
        <w:t xml:space="preserve">Lo que creemos nosotros.</w:t>
      </w:r>
    </w:p>
    <w:p>
      <w:pPr>
        <w:spacing w:after="100"/>
      </w:pPr>
      <w:r>
        <w:t xml:space="preserve">La recuperación es real, pero la suma de partes con múltiplos razonables (458,78 USD) y el DCF (480,66) quedan por debajo del precio. Roto-Rooter, la parte que se quiere separar, es la que tiene el riesgo de la IA.</w:t>
      </w:r>
    </w:p>
    <w:p>
      <w:pPr>
        <w:keepNext/>
        <w:spacing w:after="100"/>
      </w:pPr>
      <w:r>
        <w:rPr>
          <w:b/>
          <w:bCs/>
        </w:rPr>
        <w:t xml:space="preserve">Por qué podemos tener razón.</w:t>
      </w:r>
    </w:p>
    <w:p>
      <w:pPr>
        <w:spacing w:after="100"/>
      </w:pPr>
      <w:r>
        <w:t xml:space="preserve">El mercado mira el BPA ajustado, que excluye 32-37 M de opciones al año, y múltiplos de la época de tipos bajos; nosotros valoramos el beneficio publicado con el bono al 5,19 %.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1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27,9 % y deuda neta de 0,2 veces el EBITDA [1].</w:t>
      </w:r>
    </w:p>
    <w:p>
      <w:pPr>
        <w:pStyle w:val="ListParagraph"/>
        <w:numPr>
          <w:ilvl w:val="0"/>
          <w:numId w:val="2"/>
        </w:numPr>
        <w:spacing w:after="60"/>
      </w:pPr>
      <w:r>
        <w:rPr>
          <w:b/>
        </w:rPr>
        <w:t xml:space="preserve">VITAS se recupera</w:t>
      </w:r>
      <w:r>
        <w:t xml:space="preserve">: censo +6 % y tope de Medicare de 7 M frente a 27,2 M [14].</w:t>
      </w:r>
    </w:p>
    <w:p>
      <w:pPr>
        <w:pStyle w:val="ListParagraph"/>
        <w:numPr>
          <w:ilvl w:val="0"/>
          <w:numId w:val="2"/>
        </w:numPr>
        <w:spacing w:after="60"/>
      </w:pPr>
      <w:r>
        <w:rPr>
          <w:b/>
        </w:rPr>
        <w:t xml:space="preserve">Recompras</w:t>
      </w:r>
      <w:r>
        <w:t xml:space="preserve">: un 10,5 % del capital en 12 meses a 424 USD de media [5].</w:t>
      </w:r>
    </w:p>
    <w:p>
      <w:pPr>
        <w:pStyle w:val="ListParagraph"/>
        <w:numPr>
          <w:ilvl w:val="0"/>
          <w:numId w:val="2"/>
        </w:numPr>
        <w:spacing w:after="60"/>
      </w:pPr>
      <w:r>
        <w:rPr>
          <w:b/>
        </w:rPr>
        <w:t xml:space="preserve">Demografía</w:t>
      </w:r>
      <w:r>
        <w:t xml:space="preserve">: el 52,9 % de los fallecidos de Medicare usa un hospicio y sube cada año [17].</w:t>
      </w:r>
    </w:p>
    <w:p>
      <w:pPr>
        <w:pStyle w:val="ListParagraph"/>
        <w:numPr>
          <w:ilvl w:val="0"/>
          <w:numId w:val="2"/>
        </w:numPr>
        <w:spacing w:after="60"/>
      </w:pPr>
      <w:r>
        <w:rPr>
          <w:b/>
        </w:rPr>
        <w:t xml:space="preserve">Activista</w:t>
      </w:r>
      <w:r>
        <w:t xml:space="preserve">: Barington presiona por la creación de valor [26].</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479,34 USD, un 6,6 % menos.</w:t>
      </w:r>
    </w:p>
    <w:p>
      <w:pPr>
        <w:pStyle w:val="ListParagraph"/>
        <w:numPr>
          <w:ilvl w:val="0"/>
          <w:numId w:val="2"/>
        </w:numPr>
        <w:spacing w:after="60"/>
      </w:pPr>
      <w:r>
        <w:rPr>
          <w:b/>
        </w:rPr>
        <w:t xml:space="preserve">Dependencia de Medicare</w:t>
      </w:r>
      <w:r>
        <w:t xml:space="preserve">: MedPAC pidió congelar la tarifa de 2027 [17].</w:t>
      </w:r>
    </w:p>
    <w:p>
      <w:pPr>
        <w:pStyle w:val="ListParagraph"/>
        <w:numPr>
          <w:ilvl w:val="0"/>
          <w:numId w:val="2"/>
        </w:numPr>
        <w:spacing w:after="60"/>
      </w:pPr>
      <w:r>
        <w:rPr>
          <w:b/>
        </w:rPr>
        <w:t xml:space="preserve">Roto-Rooter e IA</w:t>
      </w:r>
      <w:r>
        <w:t xml:space="preserve">: contactos gratuitos −13,1 % y más publicidad [14].</w:t>
      </w:r>
    </w:p>
    <w:p>
      <w:pPr>
        <w:pStyle w:val="ListParagraph"/>
        <w:numPr>
          <w:ilvl w:val="0"/>
          <w:numId w:val="2"/>
        </w:numPr>
        <w:spacing w:after="60"/>
      </w:pPr>
      <w:r>
        <w:rPr>
          <w:b/>
        </w:rPr>
        <w:t xml:space="preserve">Gobierno</w:t>
      </w:r>
      <w:r>
        <w:t xml:space="preserve">: 61 % de votos contra la remuneración y sucesión familiar [24].</w:t>
      </w:r>
    </w:p>
    <w:p>
      <w:pPr>
        <w:pStyle w:val="ListParagraph"/>
        <w:numPr>
          <w:ilvl w:val="0"/>
          <w:numId w:val="2"/>
        </w:numPr>
        <w:spacing w:after="60"/>
      </w:pPr>
      <w:r>
        <w:rPr>
          <w:b/>
        </w:rPr>
        <w:t xml:space="preserve">BPA ajustado generoso</w:t>
      </w:r>
      <w:r>
        <w:t xml:space="preserve">: excluye 32-37 M de opciones al año.</w:t>
      </w:r>
    </w:p>
    <w:p>
      <w:pPr>
        <w:pStyle w:val="Heading2"/>
      </w:pPr>
      <w:r>
        <w:t xml:space="preserve">Qué tiene que pasar para que la tesis funcione</w:t>
      </w:r>
    </w:p>
    <w:p>
      <w:pPr>
        <w:spacing w:after="100"/>
      </w:pPr>
      <w:r>
        <w:t xml:space="preserve">La tesis depende de que VITAS mantenga el censo y el tope bajo control mientras Roto-Rooter no pierda más margen. La señal de que somos demasiado prudentes sería un BPA publicado de 2027 por encima de 25 USD con una separación de Roto-Rooter pagada a más de 16 veces el EBITDA. La señal de alarma, una propuesta de tarifa de la CMS para 2028 por debajo del 1,5 % o contactos de Roto-Rooter cayendo a doble dígito con margen por debajo del 20 %.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Censo medio diario de VITAS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dos tercios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Medicare de VITAS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M en la guía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27,2 M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Contactos de Roto-Rooter (gratuitos)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total de doble dígito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la IA en la captación.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Roto-Rooter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del 21,5-22,5 %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publicidad digital.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Tarifa de hospicios de la CMS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(año fiscal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la mitad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18,9x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Chemed se constituye en Delaware en 1970 como filial de W. R. Grace [1] y durante décadas es un conglomerado que se va simplificando. Compró el resto de Roto-Rooter en 1996 y VITAS en 2004, y desde entonces se dedica solo a esos dos negocios; de esa compra viene casi todo su fondo de comercio [1]. En 2017 VITAS pagó 75 M para cerrar la demanda del Departamento de Justicia por facturar cuidados no justificados, con un acuerdo de integridad que terminó en 2023 [1]. Kevin McNamara, presidente ejecutivo desde 2004, ha recomprado más de la mitad de las acciones en dos décadas. En 2026 llega un activista, Barington, que pide estudiar la separación de los dos negocios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en Delaware como filial de W. R. Grace.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100 % de Roto-Rooter (fundada en 1935).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VITAS, el mayor grupo de hospicios de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75 M con el Departamento de Justicia por facturación de VITAS.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Covenant Care en Florida (85 M); el tope de Medicare de Florida castiga 2025.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VITAS gana la auditoría de 50,3 M; ciberataque en octubre.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Barington (junio), la junta rechaza la remuneración (61 % en contra) y la guía sube dos veces.</w:t>
            </w:r>
          </w:p>
        </w:tc>
      </w:tr>
    </w:tbl>
    <w:p>
      <w:pPr>
        <w:spacing w:after="160" w:before="0"/>
      </w:pPr>
    </w:p>
    <w:p>
      <w:pPr>
        <w:pStyle w:val="Heading1"/>
      </w:pPr>
      <w:r>
        <w:t xml:space="preserve">2. Modelo de negocio</w:t>
      </w:r>
    </w:p>
    <w:p>
      <w:pPr>
        <w:spacing w:after="100"/>
      </w:pPr>
      <w:r>
        <w:t xml:space="preserve">Chemed es un conglomerado de dos negocios sin relación operativa. VITAS (64 % de las ventas en 2025) es el mayor proveedor de cuidados paliativos de EE. UU.: atiende a enfermos terminales con una esperanza de vida de seis meses o menos, sobre todo en su domicilio (82 % del censo), en residencias y en unidades de hospitalización propias o contratadas, con 33 números de proveedor de Medicare en 15 estados y Washington, la mayor parte en Florida, California y Texas [1]. Roto-Rooter (36 %) es la mayor empresa de fontanería y desatascos del país: sucursales propias, contratistas independientes y franquiciados en EE. UU. y Canadá, con servicios de fontanería, desatasco, excavación y reparación de daños por agua para hogares (≈ 74 % de las ventas de sucursales) y empresas [1]. Ninguno de los dos usa al otro: la matriz asigna capital, recompra acciones y negocia el crédito [1].</w:t>
      </w:r>
    </w:p>
    <w:p>
      <w:pPr>
        <w:pStyle w:val="Heading2"/>
      </w:pPr>
      <w:r>
        <w:t xml:space="preserve">Cómo gana dinero</w:t>
      </w:r>
    </w:p>
    <w:p>
      <w:pPr>
        <w:spacing w:after="100"/>
      </w:pPr>
      <w:r>
        <w:t xml:space="preserve">VITAS cobra por día de paciente una tarifa diaria fija de Medicare según el nivel de cuidados (rutinario a domicilio 188,62 USD de media en el 2T26; cuidados intensivos 1.152 USD), revisada cada 1 de octubre por la CMS [1, 18]. El margen depende del personal (los salarios son el 75 % del coste de los servicios) y de la mezcla de estancias: los pacientes de estancia larga son más rentables por día, pero acercan el tope anual por beneficiario (35.361 USD en el año del Gobierno 2026), que obliga a devolver lo cobrado por encima [1]. Roto-Rooter cobra por trabajo; el margen bruto ronda el 50 % y el coste clave es la captación: la publicidad (77,1 M en 2025) y, cada vez más, los clics de pago en Google; los servicios auxiliares (excavación y daños por agua) se venden sobre la misma visita sin coste de captación [1,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Roto-Rooter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Roto-Rooter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VITAS el cliente que paga es el Gobierno: más del 90 % de los ingresos viene de Medicare y más del 95 % de Medicare y Medicaid [1]. No hay contratos plurianuales: el poder de precio es nulo (la tarifa la fija la CMS: +2,3 % para el año fiscal 2027, con Florida algo por encima de la media según la empresa) y la palanca es el volumen y la mezcla de altas [14, 18]. Los pacientes llegan de hospitales (42,9 % de las altas en Florida en el 2T26), domicilios, residencias asistidas y residencias de mayores [14]. En Roto-Rooter, clientes particulares muy dispersos (ningún cliente relevante) y empresas atendidas por 30 gestores comerciales que hacen crecer las ventas comerciales un 13 % en sus sucursales [14]. Roto-Rooter ha subido precios por encima de la inflación entre 2021 y 2023, pero desde 2024 sus ventas están planas y el margen ajustado bajó del 26 % en 2024 al 21-22 % [1,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 censo medio diario (pacientes)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más de 24.000 al cierre del 2T26 [5,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 altas de pacientes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17.546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42,9 % de las altas en Florida (objetivo 42-45 %)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 estancia media (días)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pacientes de estancia corta: es lo que aleja el tope de Medicare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 tope de Medicare (M USD, año natural)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(2026e)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Florida sin tope en el año del Gobierno 2026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Roto-Rooter: contactos de pago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hace año y medio; contactos gratuitos −13,1 %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Roto-Rooter: publicidad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67,7 M en 2023; 8,6 % de las ventas del segmento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Roto-Rooter: ventas comerciales de sucursales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Residencial +1,7 % (159,1 M) [5].</w:t>
            </w:r>
          </w:p>
        </w:tc>
      </w:tr>
    </w:tbl>
    <w:p>
      <w:pPr>
        <w:spacing w:after="160" w:before="0"/>
      </w:pPr>
    </w:p>
    <w:p>
      <w:pPr>
        <w:pStyle w:val="Heading1"/>
      </w:pPr>
      <w:r>
        <w:t xml:space="preserve">3. Sector y mercado</w:t>
      </w:r>
    </w:p>
    <w:p>
      <w:pPr>
        <w:spacing w:after="100"/>
      </w:pPr>
      <w:r>
        <w:t xml:space="preserve">Usamos el mercado de cuidados paliativos pagados por Medicare en EE. UU. (pago por servicio), que es más del 90 % de los ingresos de VITAS y el 64 % de los de Chemed; MedPAC da el gasto de cada año [17]. Para Roto-Rooter el mercado relevante es el de reparación de fontanería y desatascos para hogares y empresas en EE. UU., que no tiene una estadística propia: IBISWorld da el de todos los fontaneros (190.600 M USD en 2025, con dos tercios de obra nueva no residencial), que sirve solo de techo [20]. La ficha sectorial y la prueba de cuota se hacen con el mercado de hospicios.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28.300 M USD de gasto de Medicare en hospicios en 2024 (MedPAC)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de Medicare en hospicios; 2025e-2030e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uso del hospicio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52,9 % de los fallecidos de Medicare usó un hospicio en 2024 (51,7 % en 2023); 1,82 millones de usuarios, +4,6 %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para el año fiscal 2027 (cesta de precios 3,2 % menos 0,9 de productividad); MedPAC pidió congelar la de 2027 por un margen medio del 8,0 % en 2023 y del 9 % previsto en 2026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por beneficiario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36.174,75 USD para 2027 (+2,3 %); el 28 % de los hospicios lo superó en 2023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Lucha contra el fraude (moratoria de nuevos hospicios)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Moratoria nacional de seis meses desde el 13-may-2026 a nuevas altas en Medicare de hospicios; favorece a los grandes ya establecidos [14,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Captación digital en servicios al hogar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Roto-Rooter: contactos gratuitos −13,1 % y de pago 59 % del total en el 2T26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6.700 hospicios, con entrada continua de pequeños con ánimo de lucro (+5 % en 2024) [17]; en fontanería, miles de locales y compras de fondos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fija la tarifa y el tope; no hay negociación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Enfermería escasa: en 2021-2022 la falta de personal hundió el EBIT de VITAS a 155 M [1]. En Roto-Rooter, Google como canal de captación con poder creciente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salvo en estados con certificado de necesidad (Florida) y durante la moratoria [1,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Paliativos en hospital o Medicare Advantage con el hospicio dentro (aún no incluido); en fontanería, el bricolaje en lo pequeño [1, 17].</w:t>
            </w:r>
          </w:p>
        </w:tc>
      </w:tr>
    </w:tbl>
    <w:p>
      <w:pPr>
        <w:spacing w:after="160" w:before="0"/>
      </w:pPr>
    </w:p>
    <w:p>
      <w:pPr>
        <w:pStyle w:val="Heading2"/>
      </w:pPr>
      <w:r>
        <w:t xml:space="preserve">Ciclo</w:t>
      </w:r>
    </w:p>
    <w:p>
      <w:pPr>
        <w:spacing w:after="100"/>
      </w:pPr>
      <w:r>
        <w:t xml:space="preserve">El hospicio no depende del ciclo económico sino de la demografía y de Medicare: el gasto creció cada año de 2019 a 2024 (5,3 % anual en 2019-2023 y 10,4 % en 2024) [17]. En 2020 VITAS ganó con la pandemia (más altas, EBIT de 294,9 M) y en 2021-2022 perdió por la falta de enfermería [1]. Roto-Rooter es algo cíclica (vivienda, lluvias y heladas): ventas +18 % en 2021, planas en 2024-2025 [1].</w:t>
      </w:r>
    </w:p>
    <w:p>
      <w:pPr>
        <w:pStyle w:val="Heading2"/>
      </w:pPr>
      <w:r>
        <w:t xml:space="preserve">Regulación</w:t>
      </w:r>
    </w:p>
    <w:p>
      <w:pPr>
        <w:spacing w:after="100"/>
      </w:pPr>
      <w:r>
        <w:t xml:space="preserve">Lo que mueve las cifras: la tarifa anual de la CMS (+2,3 % desde el 1-oct-2026) y el tope por beneficiario (36.174,75 USD en el año del Gobierno 2027) [18]; la recomendación de MedPAC de congelar la tarifa de 2027, que la CMS no siguió [17, 18]; la moratoria de seis meses a nuevos hospicios desde el 13-may-2026, prorrogable [19]; el nuevo índice de variación de servicios (SSVI) y el anexo obligatorio a la elección de hospicio, que aumentan la vigilancia de los hospicios con estancias largas [18]; y la Ley de Reclamaciones Falsas, con la que VITAS pactó 75 M en 2017 [1].</w:t>
      </w:r>
    </w:p>
    <w:p>
      <w:pPr>
        <w:pStyle w:val="Heading2"/>
      </w:pPr>
      <w:r>
        <w:t xml:space="preserve">Tendencias y disrupción</w:t>
      </w:r>
    </w:p>
    <w:p>
      <w:pPr>
        <w:spacing w:after="100"/>
      </w:pPr>
      <w:r>
        <w:t xml:space="preserve">En hospicio, consolidación (UnitedHealth compró Amedisys en 2025), lucha contra el fraude en California y Texas, y posible entrada del hospicio en Medicare Advantage, que traería negociación de precios con aseguradoras [14, 17]. En servicios al hogar, la captación pasa de la búsqueda gratuita a los anuncios de pago y a las respuestas de IA: Roto-Rooter ya paga el 59 % de sus contactos, igual que Rollins ve caer los contactos residenciales [14, 22]. Gana quien tiene marca, escala para pagar clics y servicios auxiliares que rentabilizan cada visita.</w:t>
      </w:r>
    </w:p>
    <w:p>
      <w:pPr>
        <w:pStyle w:val="Heading1"/>
      </w:pPr>
      <w:r>
        <w:t xml:space="preserve">4. Posición competitiva y foso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hospicios de EE. UU. por censo (≈ 5 % del gasto de Medicare); 1.º en fontanería y desatascos con marca nacional (cuota &lt; 1 % de un mercado muy fragmentado)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Gentiva (hospicio, antes Kindred at Home)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competidor en hospicio, propiedad de CD&amp;R; no publica cuentas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Amedisys (UnitedHealth/Optum)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Optum desde 2025; hospicio y atención domiciliaria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Pennant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PNTG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Hospicio, atención domiciliaria y residencias; crece por compras (+25 % de ventas en 2026e)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Addus HomeCare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ADUS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Cuidados personales a domicilio con hospicio como negocio menor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Encompass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de rehabilitación; mismo pagador (Medicare) y misma lógica de tarifa regulada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 (Orkin)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al hogar con captación residencial por internet: mismo problema de contactos [21,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Frontdoor (American Home Shield)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FTDR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Garantías de reparación del hogar que subcontrata fontanería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con hospitales y médicos que derivan pacientes en cada mercado; no crecen con el tamaño nacional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paciente o el hospital eligen proveedor en cada alta; en fontanería no hay contrato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Roto-Rooter desde 1935, de las más conocidas del país; certificados de necesidad en Florida, donde VITAS está en casi todos los condados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sistemas y cumplimiento; margen EBITDA ajustado de VITAS del 18-19 % frente a un margen medio de Medicare del 8-9 % en el sector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de pacientes y de técnicos por mercado; los mercados no son monopolios locales [3].</w:t>
            </w:r>
          </w:p>
        </w:tc>
      </w:tr>
    </w:tbl>
    <w:p>
      <w:pPr>
        <w:spacing w:after="160" w:before="0"/>
      </w:pPr>
    </w:p>
    <w:p>
      <w:pPr>
        <w:pStyle w:val="Heading2"/>
      </w:pPr>
      <w:r>
        <w:t xml:space="preserve">Amenazas</w:t>
      </w:r>
    </w:p>
    <w:p>
      <w:pPr>
        <w:spacing w:after="100"/>
      </w:pPr>
      <w:r>
        <w:t xml:space="preserve">Tres amenazas, de más a menos probable. Primero, la captación de Roto-Rooter: si los contactos gratuitos siguen cayendo un 13-16 % al año y los de pago pasan del 59 % al 70 %, el margen ajustado del segmento bajaría del 22 % hacia el 19-20 % (cada punto son unos 9 M de EBITDA) [14]. Segundo, la regulación de Medicare: una congelación de tarifas como la que pidió MedPAC, o un tope más estricto, toca directamente el 60 % del beneficio [17]. Tercero, una nueva investigación de fraude a VITAS, como la que acabó en 75 M en 2017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2018-2025: ingresos </w:t>
      </w:r>
      <w:r>
        <w:rPr>
          <w:b/>
          <w:bCs/>
        </w:rPr>
        <w:t xml:space="preserve">5,1 %</w:t>
      </w:r>
      <w:r>
        <w:t xml:space="preserve">, EBITDA </w:t>
      </w:r>
      <w:r>
        <w:rPr>
          <w:b/>
          <w:bCs/>
        </w:rPr>
        <w:t xml:space="preserve">5,5 %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Chemed pasó de 1.783 M USD de ventas en 2018 a 2.530 M en 2025 (5,1 % anual), casi todo orgánico: las compras son pequeñas (Covenant Care en 2024 por 85 M y franquicias de Roto-Rooter) [1, 4]. El crecimiento no ha sido lineal: VITAS saltó en 2020 con la pandemia (1.335 M y 294,9 M de EBIT), cayó en 2021-2022 por la falta de personal de enfermería (155,1 M de EBIT en 2022) y volvió a 1.630 M en 2025; Roto-Rooter creció de 745 M en 2020 a 949 M en 2023 y desde entonces está plano (900 M en 2024 y 2025) con el EBIT del segmento a la baja: 226,8 M en 2023, 194,5 M en 2024 y 160,8 M en 2025 [1, 2, 3]. El margen EBIT del grupo bajó del 15,1 % de 2024 al 13,4 % de 2025 por el tope de Medicare de Florida (27,2 M de ingresos menos) y por la publicidad en internet de Roto-Rooter (77,1 M en 2025 frente a 67,7 M en 2023) [1, 7]. En el primer semestre de 2026 las ventas suben un 5,1 % y el EBIT un 6,7 %; en el 2T26, un 8,8 % y un 31,0 % [5].</w:t>
      </w:r>
    </w:p>
    <w:p>
      <w:pPr>
        <w:pStyle w:val="Heading2"/>
      </w:pPr>
      <w:r>
        <w:t xml:space="preserve">Ajustes y partidas no recurrentes</w:t>
      </w:r>
    </w:p>
    <w:p>
      <w:pPr>
        <w:spacing w:after="100"/>
      </w:pPr>
      <w:r>
        <w:t xml:space="preserve">Usamos las cifras publicadas (US GAAP). La empresa da un BPA ajustado que suma el gasto en opciones sobre acciones (32,7 M en 2025), la amortización de derechos de franquicia recomprados (9,4 M), el incentivo a largo plazo (5,6 M), litigios (3,1 M) y «otros» (3,7 M), y quita beneficios fiscales de las opciones: 21,55 USD frente a 18,34 publicados en 2025 y 11,71 frente a 9,97 en el primer semestre de 2026 [5, 7]. No lo usamos: las opciones son un coste recurrente (1,3 % de las ventas). Como no recurrentes dentro del EBITDA solo devolvemos litigios, indemnizaciones, costes de compras y «otros»: 2,1 M en 2023, 6,5 M en 2024 y 6,8 M en 2025 [7, 11]. El ajuste a valor de mercado de los planes de compensación diferida va en gastos generales y se compensa con el mismo importe en otros ingresos financieros (7,6 M en el 1S26) [5]. 2018-2025 sin cambios de perímetro relevantes; 2017 queda fuera de la serie por el acuerdo de 75 M con el Departamento de Justicia y la reforma fiscal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de los trimestres = el que publica la empresa (beneficio + intereses + impuestos + amortizaciones), sin sus ajustes [5, 6, 7, 8, 9, 10, 11, 12]. En el 2T26 (28-29-jul) la dirección dijo que VITAS superó «incluso la parte alta» de sus previsiones: altas +9,0 %, censo medio diario +6,1 % (más de 24.000 pacientes al cierre del trimestre por primera vez), estancia media de 101,2 días frente a 137,1 y solo 0,5 M de tope de Medicare frente a 16,4 M un año antes [5, 14]. Subió la guía de VITAS por segunda vez (censo +5,75-6,25 %, ventas sin tope +8,25-9,25 %, margen EBITDA sin tope 19-19,5 %) y la del BPA ajustado a 25,00-25,75 USD (23,25-24,25 en febrero) [5, 7, 14]. Roto-Rooter cumplió su plan, pero los contactos gratuitos de búsquedas cayeron un 13,1 % y los de pago subieron un 7,3 %: el 59 % de los contactos ya es de pago (54 % un año antes, 44 % hace año y medio), con 3,1 M más de marketing en el trimestre [14]. Los analistas preguntaron por la sostenibilidad del crecimiento de VITAS, el margen de Roto-Rooter y el riesgo de tope en Florida. El consejero delegado reconoció que Google «odia los contactos gratuitos», habló de una «nueva normalidad» y comparó la IA con la llegada de internet frente a las páginas amarillas; no dio una cifra de cuánto costará [14]. Frente al 1T26, cuando los contactos totales aún subían un 3,3 % con los gratuitos cayendo un 16 %, el discurso de Roto-Rooter pasó de «tormentas y Google» a aceptar un coste de captación más alto de forma permanente [6,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es pequeño (clientes 183 M, proveedores 64,5 M: 5,0 % de las ventas en 2025) y estable; el 58 % de los cobros pendientes de VITAS es de Medicare y el 34-36 % de Medicaid [1, 13]. La deuda va y viene con las recompras: 185 M en 2021 tras recomprar 576 M, cero de 2023 a 2025 y 140 M en junio de 2026 tras recomprar 287,5 M en el semestre [4, 5]. El patrimonio neto baja (1.119 M en 2024, 979 M en 2025 y 830,5 M en junio de 2026) porque la autocartera acumulada ya suma 3.900 M [5]. Deuda neta de 99,8 M en junio de 2026, 0,24 veces el EBITDA de los últimos doce meses.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2.382</w:t>
      </w:r>
      <w:r>
        <w:t xml:space="preserve">, conversión </w:t>
      </w:r>
      <w:r>
        <w:rPr>
          <w:b/>
          <w:bCs/>
        </w:rPr>
        <w:t xml:space="preserve">113 %</w:t>
      </w:r>
      <w:r>
        <w:t xml:space="preserve"> del beneficio neto; adquisiciones 300, dividendos 186, recompras 1.978.</w:t>
      </w:r>
    </w:p>
    <w:p>
      <w:pPr>
        <w:spacing w:after="100"/>
      </w:pPr>
      <w:r>
        <w:t xml:space="preserve">La conversión de beneficio en caja es alta y estable: flujo operativo de 388 M en 2025 frente a 265 M de beneficio, con un capex de 62,8 M (2,5 % de las ventas, por debajo de las amortizaciones de 64,8 M) [1, 4]. 2020 está inflado (489 M) por el aplazamiento de cotizaciones sociales y los fondos de la ley CARES, que se devolvieron después; 2024 incluye 97,4 M de compras (Covenant Care, 85 M) [1, 4]. El capex es casi todo de mantenimiento: vehículos, equipos y sistemas de Roto-Rooter y oficinas y unidades de hospitalización de VITAS; la recompra de franquicias de Roto-Rooter (33,5 M en el 1S26) es la inversión de crecimiento [5, 14]. Entre 2018 y 2025 la empresa generó unos 2.830 M de flujo operativo y dedicó 1.981 M a recompras y 216 M a dividendos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(27-feb-2026)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cambios de criterio relevantes en 2018-2025. Las partidas de juicio son el tope de Medicare (la empresa estima por número de proveedor la devolución y la resta de los ingresos de forma lineal en el año del Gobierno: 27,2 M en 2025, 8,4 M en 2024), las concesiones implícitas de precio en los cobros de Medicare y Medicaid y los seguros de responsabilidad [1]. El gasto en opciones (32,7 M en 2025, 12 % del beneficio) y el incentivo a largo plazo se excluyen del BPA ajustado que usa la empresa y que mide el variable de la dirección [1, 7]. No hay deterioros del fondo de comercio (667 M, casi todo de la compra de VITAS en 2004). El tipo efectivo es estable (24-25 % salvo 2018-2019, con beneficios fiscales de opciones)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de la empresa muy por encima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3,21 USD por acción en 2025 (17,5 %), casi toda por opciones sobre acciones; el variable se mide con el ajustado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Medicare como estimación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estima por proveedor y año del Gobierno; 2025 llevó 27,2 M, 2026 se espera en 7 M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de octubre de 2025 con acceso a datos de pacientes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Demandas colectivas pactadas por un importe no material cubierto por el seguro [13].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667 M en 2025 (el 72 % del capital invertido medio); ha subido más de un 5 % en 2 de 7 años: compras pequeñas. ROIC publicado 27,9 %; sin fondo de comercio, 100,5 %.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19,4 % · </w:t>
      </w:r>
      <w:r>
        <w:rPr>
          <w:b/>
          <w:bCs/>
        </w:rPr>
        <w:t xml:space="preserve">WACC</w:t>
      </w:r>
      <w:r>
        <w:t xml:space="preserve">: 8,8 %.</w:t>
      </w:r>
    </w:p>
    <w:p>
      <w:pPr>
        <w:spacing w:after="100"/>
      </w:pPr>
      <w:r>
        <w:t xml:space="preserve">Chemed crea mucho valor: el ROIC de 2025 es del 27,9 %, 19 puntos por encima del WACC del 8,84 %, y no ha bajado del 27 % desde 2018 (máximo del 40,6 % en 2020 con las ayudas de la COVID). El fondo de comercio (667 M) es el 72 % del capital invertido, casi todo de la compra de VITAS en 2004; sin él el ROIC sería del 100,5 %, pero no hace falta esa excepción: el publicado ya supera con holgura el coste de capital. La caída de 2025 (ROE del 25,3 %) vino del tope de Medicare de Florida y del margen de Roto-Rooter, no de más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40,2 M al 30-jun-2026 y 262,7 M sin disponer de la línea revolving de 450 M (abril de 2026, cinco años, SOFR + 100 pb, con 250 M de ampliación posible) tras 47,3 M de avales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arrendamientos son operativos (144 M de pasivo al cierre de 2025 y 154,8 M en junio de 2026); su gasto está dentro del EBITDA y no van al puente [1, 5]. Los planes de compensación diferida (147,0 M de pasivo) están cubiertos por inversiones en fideicomiso de 148,2 M [5]. Seguros devengados de 72,5 M (responsabilidad profesional, accidentes de trabajo y flota) [5]. El crédito exige un apalancamiento máximo de 3,5 veces y una cobertura de intereses mínima, con holgura amplia (deuda de 140 M frente a un EBITDA de 416 M) [1, 5]. La auditoría de nivel de cuidados de 2022 (50,3 M retenidos) se resolvió a favor de VITAS en 2025 y le devolvieron el depósito; las demandas colectivas por el ciberataque de octubre de 2025 se han pactado por un importe no material cubierto por el seguro [1, 13].</w:t>
      </w:r>
    </w:p>
    <w:p>
      <w:pPr>
        <w:pStyle w:val="Heading1"/>
      </w:pPr>
      <w:r>
        <w:t xml:space="preserve">12. Asignación de capital</w:t>
      </w:r>
    </w:p>
    <w:p>
      <w:pPr>
        <w:pStyle w:val="Confianza"/>
        <w:spacing w:after="100"/>
      </w:pPr>
      <w:r>
        <w:t xml:space="preserve">Confianza: Alta</w:t>
      </w:r>
    </w:p>
    <w:p>
      <w:pPr>
        <w:spacing w:after="100"/>
      </w:pPr>
      <w:r>
        <w:t xml:space="preserve">Prioridades declaradas: compras de franquicias de Roto-Rooter y de hospicios en estados con licencia previa (certificado de necesidad), recompras «agresivas» cuando la oportunidad lo justifica y un dividendo creciente [14]. El dividendo trimestral pasó de 0,60 a 0,70 USD en agosto de 2026 (+16,7 %; 221 dividendos trimestrales seguidos) [16]. En los doce meses hasta junio de 2026 recompró 1.517.500 acciones a 423,63 USD de media, el 10,5 % del capital; quedaban 139,8 M de autorización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Covenant Care (hospicios y una residencia en el norte de Florida)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VITAS Florida; las altas de pacientes de hospitales en Florida llevaron al tope de Medicare de 2025 (27,2 M)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franquicias de Roto-Rooter (Nueva Jersey, Texas, Kentucky)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como sucursales propias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franquicias de Roto-Rooter (San Francisco, Fort Worth, sur de Texas y otra)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 Francisco y Fort Worth aportarán 5-5,5 M de ventas en 2026; inmediatamente acrecientes según la empresa [6,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Franquicias de Roto-Rooter (incluida la de mayor tamaño)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Roto-Rooter creció de 745 M de ventas en 2020 a 949 M en 2023 [3, 4].</w:t>
            </w:r>
          </w:p>
        </w:tc>
      </w:tr>
    </w:tbl>
    <w:p>
      <w:pPr>
        <w:spacing w:after="160" w:before="0"/>
      </w:pPr>
    </w:p>
    <w:p>
      <w:pPr>
        <w:spacing w:after="100"/>
      </w:pPr>
      <w:r>
        <w:t xml:space="preserve">Chemed es una de las asignadoras de capital más consistentes del mercado: entre 2018 y 2025 recompró 1.981 M y redujo las acciones diluidas de 16,8 a 14,5 M, y desde entonces a 13,2 M en el 2T26 [4, 5]. Las compras son pequeñas y cerca del negocio. El punto débil es el precio: recompró a 459 USD de media en 2025 y a 395 en el 1T26, por encima de nuestro valor intrínseco en 2025 [1, 6]. El ROIC con fondo de comercio ronda el 25 % y la dirección no ha diluido nunca para comprar.</w:t>
      </w:r>
    </w:p>
    <w:p>
      <w:r>
        <w:br w:type="page"/>
      </w:r>
    </w:p>
    <w:p>
      <w:pPr>
        <w:pStyle w:val="Parte"/>
      </w:pPr>
      <w:r>
        <w:t xml:space="preserve">Parte III — Equipo y gobierno</w:t>
      </w:r>
    </w:p>
    <w:p>
      <w:pPr>
        <w:pStyle w:val="Heading1"/>
      </w:pPr>
      <w:r>
        <w:t xml:space="preserve">13. Equipo directivo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McNamara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Chemed desde los años ochenta, President desde 1994 y consejero delegado desde mayo de 2001; 72 años. Compró VITAS en 2004 y bajo su mando el beneficio neto de VITAS creció un 11 % anual en 21 años según la empresa [5,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D. Witzeman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controller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Controller de Chemed durante años antes de la dirección financiera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Joel L. Wherley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VITAS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en julio de 2025 al anterior presidente de VITAS, que salió con el problema del tope de Florida; desde entonces las altas y el censo vuelven a crecer [5,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S. Lee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(Roto-Rooter)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Roto-Rooter; vendió 1.000 acciones en agosto de 2026 [23,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George J. Walsh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socio de Thompson Hine hasta 2024; consejero desde 1995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23,00-23,15 USD (revisada en el 3T)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23,13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24,95-25,45 USD (febrero), rebajada a 22,00-22,30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21,55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23,25-24,25 USD (febrero), subida a 24,00-24,75 (abril) y a 25,00-25,75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11,71 USD en el 1S26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de larga trayectoria, con un historial de cumplir la guía salvo en 2025, cuando el tope de Medicare de Florida obligó a rebajarla un 12 % en julio y la empresa tampoco llegó a la parte baja [5]. El cambio en VITAS (julio de 2025) parece haber funcionado: dos subidas de guía en 2026. La sucesión es la gran pregunta: el consejero delegado tiene 72 años, lleva 25 en el cargo y no hay un sucesor anunciado; su hijo es vicepresidente y director de estrategia [23]. El rechazo del voto de remuneración en mayo de 2026 y la entrada de Barington apuntan a que los accionistas quieren cambios [24, 26].</w:t>
      </w:r>
    </w:p>
    <w:p>
      <w:pPr>
        <w:pStyle w:val="Heading1"/>
      </w:pPr>
      <w:r>
        <w:t xml:space="preserve">14. Gobierno corporativo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J. Walsh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McNamara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C. Hutton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 DeLyons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P. Grace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Heaney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 R. Lindell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Eileen P. McCarthy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M. Mount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61,1 %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(27-feb-2026)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7,75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13G de feb-2024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13G de ene-2024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(con opciones y fundación)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periódicas del consejero delegado [23,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Barington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junio de 2026 y pide una revisión estratégica en julio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S. Lee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 R. Lindell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George J. Walsh III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J. McNamara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12,9 M USD en 2025 (12,8 M en 2024): 1,86 M de fijo, 1,49 M de variable anual, 2,88 M en acciones de rendimiento, 5,04 M en opciones y 1,55 M de otros conceptos; 209 veces el salario mediano [23]. El variable anual depende en un 75 % del BPA ajustado y en un 25 % del rendimiento sobre activos; las acciones de rendimiento, del BPA ajustado acumulado a tres años y del rendimiento total frente a un grupo de comparables [23]. El BPA ajustado excluye las propias opciones, de modo que el gasto en acciones no penaliza el variable. En la junta del 18-may-2026 el voto consultivo de remuneración fue rechazado: 61,1 % en contra y 38,7 % a favor sobre los votos emitidos, frente al 88,6 % a favor de 2025 [23, 24]. Hay política de recuperación (clawback) [23].</w:t>
      </w:r>
    </w:p>
    <w:p>
      <w:pPr>
        <w:pStyle w:val="Heading2"/>
      </w:pPr>
      <w:r>
        <w:t xml:space="preserve">Operaciones vinculadas, estructura de control y defensas</w:t>
      </w:r>
    </w:p>
    <w:p>
      <w:pPr>
        <w:spacing w:after="100"/>
      </w:pPr>
      <w:r>
        <w:t xml:space="preserve">Sin accionista de control: los dos primeros son fondos indexados (Vanguard 11,3 %, BlackRock 9,4 %) y el consejo y la dirección tienen el 3,3 % con opciones [23]. Una acción, un voto; consejo de nueve con siete independientes según la NYSE; el presidente del consejo es independiente pero lleva 31 años en él, y cuatro consejeros superan los 17 años de antigüedad [23]. Los consejeros que no logran mayoría deben dimitir; en 2026 dos recibieron muchos votos en contra (Grace, 17 %; Walsh, 12 %) [24]. Vinculadas: el hijo del consejero delegado es vicepresidente y director de estrategia (433.195 USD en 2025), revisado por la comisión de auditoría [23]. Ventas de directivos sin compras en doce meses: 8,76 M USD, 7,27 M del consejero delegado, en paquetes de 2.000 acciones [25].</w:t>
      </w:r>
    </w:p>
    <w:p>
      <w:pPr>
        <w:pStyle w:val="Heading2"/>
      </w:pPr>
      <w:r>
        <w:t xml:space="preserve">Señales de alerta</w:t>
      </w:r>
    </w:p>
    <w:p>
      <w:pPr>
        <w:pStyle w:val="ListParagraph"/>
        <w:numPr>
          <w:ilvl w:val="0"/>
          <w:numId w:val="2"/>
        </w:numPr>
        <w:spacing w:after="60"/>
      </w:pPr>
      <w:r>
        <w:t xml:space="preserve">Voto consultivo de remuneración rechazado en la junta de 2026 (61,1 % en contra) [24].</w:t>
      </w:r>
    </w:p>
    <w:p>
      <w:pPr>
        <w:pStyle w:val="ListParagraph"/>
        <w:numPr>
          <w:ilvl w:val="0"/>
          <w:numId w:val="2"/>
        </w:numPr>
        <w:spacing w:after="60"/>
      </w:pPr>
      <w:r>
        <w:t xml:space="preserve">Barington, fondo activista, pide una revisión estratégica (julio de 2026) [26].</w:t>
      </w:r>
    </w:p>
    <w:p>
      <w:pPr>
        <w:pStyle w:val="ListParagraph"/>
        <w:numPr>
          <w:ilvl w:val="0"/>
          <w:numId w:val="2"/>
        </w:numPr>
        <w:spacing w:after="60"/>
      </w:pPr>
      <w:r>
        <w:t xml:space="preserve">Sucesión no anunciada de un consejero delegado de 72 años con 25 en el cargo; su hijo trabaja en la dirección [23].</w:t>
      </w:r>
    </w:p>
    <w:p>
      <w:pPr>
        <w:pStyle w:val="ListParagraph"/>
        <w:numPr>
          <w:ilvl w:val="0"/>
          <w:numId w:val="2"/>
        </w:numPr>
        <w:spacing w:after="60"/>
      </w:pPr>
      <w:r>
        <w:t xml:space="preserve">Consejo muy veterano: presidente desde 1995 y vicepresidente ejecutivo en el consejo desde 1985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(28-jul-2026, segunda subida del año): BPA ajustado de 25,00-25,75 USD (23,25-24,25 en febrero; 24,00-24,75 en abril), con un tipo fiscal del 24,5 % y 13,5 M de acciones diluidas [5]. VITAS: censo +5,75-6,25 %, ventas sin tope +8,25-9,25 %, margen EBITDA ajustado sin tope del 19-19,5 % y tope de Medicare de 7 M [5]. Roto-Rooter: ventas +3,0-3,5 % y margen EBITDA ajustado del 21,5-22,5 % (22,5-23,0 % en febrero, rebajado en abril por el coste de marketing) [5]. La empresa dice que solo actualizará la guía una vez al año, con el 2T [5]. No hay plan a medio plazo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(5 analistas, BPA ajustado) [28]; Stock Analysis: beneficio operativo 439 M y neto 309 M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(5 analistas, BPA ajustado) [28,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571,60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520,00 – 650,00</w:t>
            </w:r>
          </w:p>
        </w:tc>
      </w:tr>
    </w:tbl>
    <w:p>
      <w:pPr>
        <w:spacing w:after="160" w:before="0"/>
      </w:pPr>
    </w:p>
    <w:p>
      <w:pPr>
        <w:pStyle w:val="Heading2"/>
      </w:pPr>
      <w:r>
        <w:t xml:space="preserve">Revisiones de estimaciones</w:t>
      </w:r>
    </w:p>
    <w:p>
      <w:pPr>
        <w:spacing w:after="100"/>
      </w:pPr>
      <w:r>
        <w:t xml:space="preserve">Al alza. El BPA ajustado de 2026 pasó de 24,34 USD hace 90 días a 25,49 (+4,7 %) y el de 2027 de 26,88 a 27,52 (+2,4 %), tras el 2T26 que batió el consenso (6,06 frente a 5,60) [28]. Objetivos: Oppenheimer de 500 a 590 (31-jul), RBC de 436 a 548 (30-jul), UBS inicia con 650 y compra (25-sep), Bank of America mantiene 550 y neutral (8-oct) [29]. Solo cinco analistas: el consenso es estrecho. El BPA del consenso es ajustado (sin opciones ni amortización de franquicias recompradas), unos 3,2 USD por encima del publicado.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bl>
    <w:p>
      <w:pPr>
        <w:spacing w:after="160" w:before="0"/>
      </w:pPr>
    </w:p>
    <w:p>
      <w:pPr>
        <w:spacing w:after="100"/>
      </w:pPr>
      <w:r>
        <w:t xml:space="preserve">Chemed ha ganado un 20,4 % en 2026 tras caer un 18,9 % en 2025 y un 9,1 % en 2024: el mercado castigó el tope de Medicare de Florida y la debilidad de Roto-Rooter, y desde el mínimo del 27-mar-2026 (365,21 USD) premia la recuperación de VITAS y la entrada de Barington. A cinco años rinde un 4 % anual frente al 13 % del índice: la caída de 2024-2026 (−42,9 % máximo) se ha recuperado solo a medias. Beta baja (0,51) y una posición corta del 5 %, alta para una empresa de calidad.</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a 16,3 veces el EBITDA y 25,8 veces el beneficio publicado de los últimos 12 meses, un 15-17 % por debajo de su media de siete cierres (19,2 y 30,9 veces), cerca del percentil 14-29. En base adelantada, la de la regla a 12 meses, el PER de hoy (21,7 veces nuestro BPA de 2027e) queda por debajo de la mediana de cinco años (28,9 veces). Ha cambiado algo: el bono a 10 años está en el 5,19 %, frente al 1-2 % de 2020-2021, y Roto-Rooter ya no crece; parte del descuento es merecido.</w:t>
      </w:r>
    </w:p>
    <w:p>
      <w:pPr>
        <w:pStyle w:val="Heading1"/>
      </w:pPr>
      <w:r>
        <w:t xml:space="preserve">18. Comparables cotizados</w:t>
      </w:r>
    </w:p>
    <w:p>
      <w:pPr>
        <w:pStyle w:val="Confianza"/>
        <w:spacing w:after="100"/>
      </w:pPr>
      <w:r>
        <w:t xml:space="preserve">Confianza: Media</w:t>
      </w:r>
    </w:p>
    <w:p>
      <w:pPr>
        <w:spacing w:after="100"/>
      </w:pPr>
      <w:r>
        <w:t xml:space="preserve">No hay otro hospicio cotizado puro en EE. UU. desde que UnitedHealth compró Amedisys. Usamos proveedores de servicios de salud pagados sobre todo por Medicare y Medicaid (Pennant, Addus, Encompass, Ensign, Aveanna, BrightSpring, Option Care) y servicios al hogar con captación residencial (Rollins, Frontdoor). Enhabit queda fuera porque Yahoo no da sus cuentas. Todos con datos de Yahoo al 14-oct-2026; el PER de los próximos 12 meses es sobre BPA ajustado del consenso [21,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Addus HomeCare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Pennant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BrightSpring Health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Encompass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Ensign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Aveanna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Frontdoor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Option Care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13,6x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19,3x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1,5x / 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r>
    </w:tbl>
    <w:p>
      <w:pPr>
        <w:spacing w:after="160" w:before="0"/>
      </w:pPr>
    </w:p>
    <w:p>
      <w:pPr>
        <w:spacing w:after="100"/>
      </w:pPr>
      <w:r>
        <w:t xml:space="preserve">Chemed cotiza a 18,9 veces el BPA ajustado de los próximos 12 meses, frente a una mediana de 19,3 veces de nueve comparables de salud a domicilio y servicios al hogar, y a 16,3 veces el EBITDA. Sin prima pese a un ROIC del 27,9 % (la mediana ronda el 10 %) y una deuda casi nula: el mercado descuenta que la mitad de su beneficio depende de una tarifa de Medicare. Rollins (25,8 veces) y Frontdoor (15,2) son las referencias de Roto-Rooter; Addus (15,7) y Pennant (26,3) las de VITAS.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 (hospicio y atención domiciliaria)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cerró en 2025 tras la revisión antimonopolio; ventas de 2.240 M en 2023 (estimación propia del múltiplo de ventas)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Kindred at Home, hospicio (hoy Gentiva),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(vende 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por el 60 %; 100 % ≈ 4.700 M (estimación propia); Humana buscaba 12 veces un EBITDA de ≈ 300 M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Compassionate Care Hospice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veces el EBITDA; la prensa sectorial hablaba entonces de 16-19 veces en otras operaciones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Covenant Care (hospicios en Florida)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(VITAS)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múltiplo publicado; da acceso a condados con certificado de necesidad [13].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 hospicio se pagan a unas 8-12 veces el EBITDA (Compassionate Care a 8 veces en 2018; Humana buscaba unas 12 veces por su negocio de hospicio en 2026 [34, 36]) y Amedisys se vendió a UnitedHealth a 1,47 veces las ventas. No hay transacciones comparables publicadas de fontanería. Sirven para fijar los múltiplos de la suma de partes; no pesan en la valoración porque Chemed no es objetivo de compra probable (aunque Barington lo plantee).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+7,5 % en 2026e (2.720 M), con el 1S26 publicado y la guía subida dos veces: VITAS +8,25-9,25 % sin tope y un tope de 7 M (27,2 M en 2025); Roto-Rooter +3-3,5 % [5, 14]. El consenso da 2.721 M. Después, +6,3 % en 2027e bajando al 4 % en 2032e: el gasto de Medicare en hospicio crece un 5,6 % previsto (6,2 % en 2019-2024) [17] y Roto-Rooter un 2-3 %. La media proyectada (5,5 %) es parecida al 5,1 % anual de 2018-2025.</w:t>
      </w:r>
    </w:p>
    <w:p>
      <w:pPr>
        <w:keepNext/>
        <w:spacing w:after="100"/>
      </w:pPr>
      <w:r>
        <w:rPr>
          <w:b/>
          <w:bCs/>
        </w:rPr>
        <w:t xml:space="preserve">Márgenes.</w:t>
      </w:r>
    </w:p>
    <w:p>
      <w:pPr>
        <w:spacing w:after="100"/>
      </w:pPr>
      <w:r>
        <w:t xml:space="preserve">Margen EBITDA publicado del 16,6 % en 2026e (15,9 % en 2025 con el tope de Florida; 17,7 % en 2024): VITAS al 19-19,5 % ajustado y Roto-Rooter al 21,5-22,5 %, menos gastos corporativos y opciones [14]. Sube 40-50 puntos básicos al año hasta el 18,0 % en 2030e, todavía por debajo del 19,3 % medio de 2020-2022 con las ayudas de la COVID. El bajista quita 1,5 puntos (tarifa plana o captación más cara).</w:t>
      </w:r>
    </w:p>
    <w:p>
      <w:pPr>
        <w:keepNext/>
        <w:spacing w:after="100"/>
      </w:pPr>
      <w:r>
        <w:rPr>
          <w:b/>
          <w:bCs/>
        </w:rPr>
        <w:t xml:space="preserve">Inversión y circulante.</w:t>
      </w:r>
    </w:p>
    <w:p>
      <w:pPr>
        <w:spacing w:after="100"/>
      </w:pPr>
      <w:r>
        <w:t xml:space="preserve">Capex del 3,0 % de las ventas hasta 2028e y 2,8 % después, incluidas las compras de franquicias de Roto-Rooter (33,5 M en 2026) [6]; el capex de inmovilizado fue del 2,5-3 % en 2021-2025 [1]. Amortización del 2,6 % (2,6 % en 2025). Circulante del 5 % de las ventas nuevas: VITAS cobra de Medicare en unas semanas y Roto-Rooter al contado. Tipo fiscal del 25 % (24,5 % de la guía) [5].</w:t>
      </w:r>
    </w:p>
    <w:p>
      <w:pPr>
        <w:keepNext/>
        <w:spacing w:after="100"/>
      </w:pPr>
      <w:r>
        <w:rPr>
          <w:b/>
          <w:bCs/>
        </w:rPr>
        <w:t xml:space="preserve">Coste del capital.</w:t>
      </w:r>
    </w:p>
    <w:p>
      <w:pPr>
        <w:spacing w:after="100"/>
      </w:pPr>
      <w:r>
        <w:t xml:space="preserve">Tasa libre del 5,19 % (Tesoro a 10 años del 14-oct-2026) [30]; beta de 0,70 (mensual de 5 años 0,51, ajustada 0,67; subimos un poco por el riesgo regulatorio) [27]; prima de mercado del 5,5 %; coste de la deuda del 5,3 % antes de impuestos (línea de crédito a SOFR más un diferencial según el apalancamiento) [13]; peso de la deuda del 4 % a valor de mercado. WACC del 8,84 %. Con la prima implícita del mercado (4,20 %) el WACC baja al 7,96 % y el DCF sube a 532,72 USD.</w:t>
      </w:r>
    </w:p>
    <w:p>
      <w:pPr>
        <w:keepNext/>
        <w:spacing w:after="100"/>
      </w:pPr>
      <w:r>
        <w:rPr>
          <w:b/>
          <w:bCs/>
        </w:rPr>
        <w:t xml:space="preserve">Valor terminal.</w:t>
      </w:r>
    </w:p>
    <w:p>
      <w:pPr>
        <w:spacing w:after="100"/>
      </w:pPr>
      <w:r>
        <w:t xml:space="preserve">Media de Gordon con un crecimiento del 3,0 % y de un múltiplo de salida de 13 veces el EBITDA, por debajo de las 16,3 veces a las que cotiza hoy y en línea con lo que se paga por un hospicio grande (8-12 veces) y por servicios al hogar (14-15 veces) [34, 36]. Gordon implica 10,9 veces el EBITDA. El valor terminal pesa un 74 %.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458,77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596,90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(reinvierte el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(histórico: 19,4 %)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frente al 5,5 %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122 M, el 5 % del NOPAT, con un capex bruto medio del 2,9 %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(censo de VITAS +5,75-6,25 % en dos tercios de las ventas; trabajos de Roto-Rooter algo a la baja), precio +3,1 % (tarifa de Medicare +2,9 % en el año fiscal 2026 y subidas de Roto-Rooter) y +0,9 % de menos tope de Medicare y franquicias compradas [6,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 (censo de VITAS +4,5 %), precio +2,5 % (tarifa del año fiscal 2027 +2,3 % [18]; Roto-Rooter +3 %) y +0,8 % de franquicias y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 precio +2,5 % y +0,5 % de compras pequeñas: el envejecimiento empuja el uso del hospicio (52,9 % de los fallecidos de Medicare en 2024)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+2,8 % y precio +2,5 % (tarifa de Medicare en línea con la inflación menos productividad).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+2,5 %: el crecimiento de Chemed converge con el de su mercado (5,6 % anual previsto).</w:t>
            </w:r>
          </w:p>
        </w:tc>
      </w:tr>
    </w:tbl>
    <w:p>
      <w:pPr>
        <w:spacing w:after="160" w:before="0"/>
      </w:pPr>
    </w:p>
    <w:p>
      <w:pPr>
        <w:spacing w:after="100"/>
      </w:pPr>
      <w:r>
        <w:t xml:space="preserve">Sí, y coincide con el motor. La proyección crece un 5,5 % al año casi sin inversión neta (reinversión del 5 % del NOPAT): el crecimiento de VITAS sale del envejecimiento y de las tarifas de Medicare, que no exigen capital (el hospicio se presta sobre todo en el domicilio y en residencias de terceros), y el de Roto-Rooter de precios y franquicias pequeñas. Con un ROIC del 27,9 % y un ROIC incremental histórico del 19,4 %, el capital financia de sobra lo previsto. No damos mercado final: el de hospicios no incluye Roto-Rooter y el de fontaneros (190.600 M) solo es un techo [20]; en hospicio la cuota de VITAS pasaría del 5,4 % al 5,9 % en 2030e.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8,8 %)</w:t>
            </w:r>
          </w:p>
        </w:tc>
      </w:tr>
    </w:tbl>
    <w:p>
      <w:pPr>
        <w:spacing w:after="160" w:before="0"/>
      </w:pPr>
    </w:p>
    <w:p>
      <w:pPr>
        <w:spacing w:after="100"/>
      </w:pPr>
      <w:r>
        <w:t xml:space="preserve">El DCF da 480,66 USD por acción, un 6,3 % por debajo del precio, con un valor terminal del 74 %. El DCF inverso dice que el precio de 513,18 USD exige un crecimiento de las ventas del 6,6 % anual en 2027e-2032e, frente a nuestro 5,2 % y al 5,6 % previsto para el gasto de Medicare en hospicio: no es una exigencia disparatada, solo algo optimista. Visto de otro modo, el precio rinde un 8,3 % anual, entre el WACC (8,84 %) y lo que pide hoy el mercado (7,96 %). Con la prima del mercado, el DCF vale 532,72 USD (+3,8 %).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CMS deja la tarifa casi plana en 2028-2029, el tope de Florida vuelve y Roto-Rooter pierde contactos con la IA: crecimiento 2 puntos menor y margen 1,5 puntos más 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VITAS crece al 6-8 % con tarifas del 2-3 % y más censo; Roto-Rooter al 2-3 % con margen estable; el margen EBITDA del grupo sube del 16,6 % al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VITAS sigue ganando cuota con la moratoria y la salida de pequeños hospicios, y Roto-Rooter se adapta a la captación con IA: crecimiento un punto mayor y margen un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51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473,11 USD (-7,8 %).</w:t>
      </w:r>
    </w:p>
    <w:p>
      <w:pPr>
        <w:spacing w:after="100"/>
      </w:pPr>
      <w:r>
        <w:t xml:space="preserve">El alcista apenas supera el precio: 536,63 USD (+4,6 %) frente a 394,49 del bajista (−23,1 %), con un valor ponderado de 473,11. La asimetría es mala (0,20 veces) con el WACC del 8,84 %; con la prima del mercado mejora a 1,07 veces. Los escenarios del DCF miden el riesgo a largo plazo; la señal a 12 meses la da la regla de múltiplos, con un bajista de 425,93, un base de 616,62 y un alcista de 814,98 USD.</w:t>
      </w:r>
    </w:p>
    <w:p>
      <w:pPr>
        <w:pStyle w:val="Heading1"/>
      </w:pPr>
      <w:r>
        <w:t xml:space="preserve">22. Suma de partes</w:t>
      </w:r>
    </w:p>
    <w:p>
      <w:pPr>
        <w:pStyle w:val="Confianza"/>
        <w:spacing w:after="100"/>
      </w:pPr>
      <w:r>
        <w:t xml:space="preserve">Confianza: Media</w:t>
      </w:r>
    </w:p>
    <w:p>
      <w:pPr>
        <w:spacing w:after="100"/>
      </w:pPr>
      <w:r>
        <w:t xml:space="preserve">La suma de partes da 458,78 USD por acción, un 10,6 % por debajo del precio: con múltiplos razonables, separar Roto-Rooter no destapa valor oculto, salvo que un comprador pague 18 veces o más por ella (cada vuelta de múltiplo son unos 16 USD por acción). La tesis del activista necesita múltiplos de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 (hospicio)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 de unos 340 M (ventas sin tope de 1.775 M × 19,25 % de la guía, menos el tope de 7 M) [14]. 12 veces: entre las 8 veces de Compassionate Care (2018) y las 12-13 que buscaba Humana en 2026 [34, 36]; Addus y Pennant cotizan a 13-22 veces.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Roto-Rooter (fontanería)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 de unos 204 M (930 M de ventas × 22 %, centro de la guía) [14]. 14 veces: por debajo de Rollins (19 veces) y por encima de Frontdoor (11 veces) por su marca nacional y su ROIC alto, pero con captación en riesgo.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(gastos y opciones)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la matriz e incentivos (≈ 70 M incluidas las opciones, que el EBITDA ajustado excluye), capitalizados a 12 veces: es un coste permanente.</w:t>
            </w:r>
          </w:p>
        </w:tc>
      </w:tr>
    </w:tbl>
    <w:p>
      <w:pPr>
        <w:spacing w:after="160" w:before="0"/>
      </w:pPr>
    </w:p>
    <w:p>
      <w:pPr>
        <w:spacing w:after="100"/>
      </w:pPr>
      <w:r>
        <w:rPr>
          <w:b/>
          <w:bCs/>
        </w:rPr>
        <w:t xml:space="preserve">Valor por acción por suma de partes:</w:t>
      </w:r>
      <w:r>
        <w:t xml:space="preserve"> 458,78 (-10,6 %); con ±1x en los múltiplos, 388,81 – 528,74.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513,1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479,34 USD (-6,6 % sobre 513,18).</w:t>
      </w:r>
    </w:p>
    <w:p>
      <w:pPr>
        <w:spacing w:after="100"/>
      </w:pPr>
      <w:r>
        <w:t xml:space="preserve">Pesamos el DCF con un 45 %, los escenarios con un 30 %, la suma de partes con un 15 % y los comparables con un 10 %. El DCF recoge lo que distingue a Chemed (ROIC del 28 %, crecimiento sin capital, recompras), y la suma de partes es la tesis del activista, así que la incluimos. Los comparables no tienen su perfil: son de menor calidad y más deuda. Las transacciones no pesan: Chemed no es objetivo probable. La dispersión es pequeña (459-523 USD) y todos los métodos quedan alrededor o por debajo del precio, salvo el DCF con la prima del mercado (532,72).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(21.7x) × 1.1 (tope: la mediana de 5 años, 28.9x,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+59,3 %</w:t>
            </w:r>
          </w:p>
        </w:tc>
      </w:tr>
    </w:tbl>
    <w:p>
      <w:pPr>
        <w:spacing w:after="160" w:before="0"/>
      </w:pPr>
    </w:p>
    <w:p>
      <w:pPr>
        <w:spacing w:after="100"/>
      </w:pPr>
      <w:r>
        <w:rPr>
          <w:b/>
          <w:bCs/>
        </w:rPr>
        <w:t xml:space="preserve">Objetivo a 12 meses (ponderado):</w:t>
      </w:r>
      <w:r>
        <w:t xml:space="preserve"> 618,54 USD · rentabilidad +21,0 % (base +20,6 %) · señal Mantener.</w:t>
      </w:r>
    </w:p>
    <w:p>
      <w:pPr>
        <w:spacing w:after="100"/>
      </w:pPr>
      <w:r>
        <w:t xml:space="preserve">Para comparar, con la regla v2 (historia al cierre, mismo precio): 18,4x / 21,7x / 28,2x, 13,7 % Mantener; con el tope anterior del base (×1,3, 14-oct mediodía): 24,2 %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es ajustado (sin opciones ni otros gastos) y el nuestro publicado: nuestro BPA de 2027e (23,7) queda un 14 % por debajo del consenso (27,52), casi todo por esa diferencia de base (unos 3,3 USD); en ventas coincidimos (2.891 frente a 2.886 M). El base a 12 meses (616,62 USD) está un 7,9 % por encima del objetivo medio de los analistas (571,60), dentro de su rango (520-650); el alcista queda fuera, por encima.</w:t>
      </w:r>
    </w:p>
    <w:p>
      <w:pPr>
        <w:keepNext/>
        <w:spacing w:after="100"/>
      </w:pPr>
      <w:r>
        <w:rPr>
          <w:b/>
          <w:bCs/>
        </w:rPr>
        <w:t xml:space="preserve">Del valor intrínseco al objetivo a 12 meses.</w:t>
      </w:r>
    </w:p>
    <w:p>
      <w:pPr>
        <w:spacing w:after="100"/>
      </w:pPr>
      <w:r>
        <w:t xml:space="preserve">La regla a 12 meses da un 21,0 % ponderado y un 20,6 % en el base, dividendo incluido: con un PER adelantado de 21,7 veces, por debajo de su mediana de cinco años (28,9), la regla común supone que el múltiplo recupera una parte (23,9 veces con el tope ×1,1). El selector deja decidir a la v3. Pero el objetivo (618,54 USD) queda un 29 % por encima del valor intrínseco (479,34): la regla apuesta a que vuelva el múltiplo de la época de tipos bajos, y el DCF con el bono al 5,19 % no lo sostiene. Para cerrar la distancia haría falta una separación pagada cara o un BPA de 2028 por encima de 28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 (tras el cierre; conferencia el 28-oct)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censo de VITAS (+5,75-6,25 % de guía), del tope de Medicare y de los contactos de Roto-Rooter [14,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(o prórroga) de la moratoria de seis meses a hospicios nuevos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prorroga, menos competencia para VITAS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a Barington: revisión estratégica o separación de Roto-Rooter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cristalizar valor si alguien paga más de 14 veces el EBITDA por Roto-Rooter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BPA de 2027-2028 que mira la regla a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y julio-agosto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y norma final de la CMS para el año fiscal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tarifa son unos 17 M de ventas de VITAS; MedPAC pidió congelarla [17,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(139,8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2 % de las acciones a precios de hoy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o congelación de la tarifa de Medicare para hospicios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tarifa plana un año, unos 40 M menos de EBITDA de VITAS)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CMS ha dado +2,3 % para 2027 pese a MedPAC [18]; VITAS es de los hospicios con más servicios por paciente.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la CMS de abril de 2027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Vuelve a saltar el tope por paciente en Florida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(20 M de tope adicional, como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la mezcla de altas y crecimiento en residencias con estancias más cortas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Tope de Medicare por encima de 10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de fraude o auditorías de VITAS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(multa de 75 M como en 2017 y pérdida de confianza)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de integridad terminó en 2023 y ganó la auditoría de 50,3 M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civil o citación del Departamento de Justicia en un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Google encarecen la captación de Roto-Rooter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(estimación propia: margen de Roto-Rooter 3 puntos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nacional con 90 años, servicio urgente y físico, cuentas de empresa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Contactos totales en caída de doble dígito y margen ajustado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sucesión y remuneración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(descuento por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del activista y del voto en contra del 61 %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 la remuneración o sucesor sin experiencia externa.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−17 % (bajista a 12 meses: 19,1 veces × 22,30)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adelantado ya está en 21,7 veces, por debajo de su mediana de 28,9.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a 10 años por encima del 5,5 %.</w:t>
            </w:r>
          </w:p>
        </w:tc>
      </w:tr>
    </w:tbl>
    <w:p>
      <w:pPr>
        <w:spacing w:after="160" w:before="0"/>
      </w:pPr>
    </w:p>
    <w:p>
      <w:pPr>
        <w:pStyle w:val="Heading2"/>
      </w:pPr>
      <w:r>
        <w:t xml:space="preserve">Pre-mortem</w:t>
      </w:r>
    </w:p>
    <w:p>
      <w:pPr>
        <w:spacing w:after="100"/>
      </w:pPr>
      <w:r>
        <w:t xml:space="preserve">Octubre de 2027: la acción ha perdido un 25 %. La CMS, siguiendo a MedPAC, dejó la tarifa de hospicios del año fiscal 2028 en un +1 % y endureció el control de las estancias largas en residencias; el tope por paciente volvió a saltar en Florida. A la vez, Google empezó a reservar fontaneros desde sus respuestas con IA a través de plataformas que cobran comisión, y el margen de Roto-Rooter bajó al 18 %. El BPA de 2027 quedó en 21 USD, Barington se fue sin separación y el mercado pagó 19 veces el beneficio, como los comparables.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Amenaza · </w:t>
      </w:r>
      <w:r>
        <w:rPr>
          <w:b/>
          <w:bCs/>
        </w:rPr>
        <w:t xml:space="preserve">Efecto en valor (3-5 años):</w:t>
      </w:r>
      <w:r>
        <w:t xml:space="preserve"> −6 % (estimación propia: margen de Roto-Rooter 3 puntos menor)</w:t>
      </w:r>
    </w:p>
    <w:p>
      <w:pPr>
        <w:spacing w:after="100"/>
      </w:pPr>
      <w:r>
        <w:t xml:space="preserve">VITAS, dos tercios del beneficio de los segmentos, casi no está expuesta: el paciente llega por la derivación del hospital, de la residencia o del médico, y el servicio es una enfermera junto a la cama; la IA puede ayudar a documentar visitas y a cumplir las normas de Medicare. Roto-Rooter sí: capta al cliente urgente que busca «fontanero» en Google, y las respuestas con IA y los anuncios de servicios locales hacen que pinche menos en la web propia. Los contactos gratuitos ya caen un 13,1 % y los de pago son el 59 % del total [14]; la publicidad sube 4-5 M al año [1]. La marca y el servicio urgente físico no los sustituye la IA, pero sí encarecen captar cada trabajo. Si los asistentes reservan directamente con plataformas de intermediación, Roto-Rooter podría perder 2-3 puntos de margen; lo tratamos como amenaza media sobre un tercio del grupo.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Calidad asistencial y cumplimiento de Medicare en VITAS: la facturación correcta del nivel de cuidados y de la elegibilidad es el riesgo principal (acuerdo de 75 M en 2017) [1]. Personal: enfermeras, auxiliares y técnicos sujetos a normas profesionales estatales y federales, con escasez de enfermería y rotación alta [1]. Ciberseguridad de datos de pacientes (ciberataque de octubre de 2025, demandas pactadas y cubiertas por el seguro) [1].</w:t>
      </w:r>
    </w:p>
    <w:p>
      <w:pPr>
        <w:pStyle w:val="Heading2"/>
      </w:pPr>
      <w:r>
        <w:t xml:space="preserve">Controversias</w:t>
      </w:r>
    </w:p>
    <w:p>
      <w:pPr>
        <w:spacing w:after="100"/>
      </w:pPr>
      <w:r>
        <w:t xml:space="preserve">Voto de remuneración rechazado en la junta de mayo de 2026 (61,1 % en contra) [24]; el hijo del presidente ejecutivo es director de estrategia [23]. Historial de demandas de fraude a Medicare en VITAS, cerrado en 2017-2023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 a abrir el consejo la revisión estratégica que pide Barington y qué haría con Roto-Rooter?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que el mercado está pagando.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hoy un contacto de pago de Roto-Rooter frente a hace dos años y cuántos trabajos vienen de respuestas con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 la IA sobre el margen del 21,5-22,5 %.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VITAS frente al tope por paciente en Florida y California para el año del tope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tope costó 27,2 M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una tarifa plana en el año fiscal 2028, como pide MedPAC?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beneficio depende de una tarifa pública.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Mezcla de pacientes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censo viene de residencias, con estancias más largas y más vigiladas por la CMS?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auditoría y de tope.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presidente ejecutivo (72 años) y qué papel tiene su hijo?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voto en contra del 61 %.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un 10 % del capital al año con el precio un 40 % por encima del mínimo de marzo?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explican casi la mitad del crecimiento del BPA.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predominan las tesis de «suma de partes»: separar Roto-Rooter de VITAS destaparía valor, con el activista Barington como catalizador; la caída del 27-ago por una noticia sobre VITAS generó dudas puntuales [37,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($CHE)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y casi todos alcistas de particulares («refugio», objetivos de 600-660 USD); en febrero dominaba el castigo por el 4T25 y la sensación de que la caída no estaba descontada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Resúmenes de conferencias con comentarios (BriefGlance)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presenta a Chemed como «dos empresas»: VITAS en plena recuperación y Roto-Rooter presionada por Google y el coste de los contactos de pago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Separar VITAS y Roto-Rooter (activista Barington)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pero no está decidido: Barington entró en junio y pidió en julio una revisión estratégica; la dirección no la ha anunciado y en la conferencia del 1T26 no habló de escindir Roto-Rooter [15, 26]. Nuestra suma de partes da 458,78 USD por acción, por debajo del precio: con múltiplos razonables (12 veces VITAS y 14 veces Roto-Rooter) la separación no destapa un valor oculto grande.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VITAS ha dejado atrás el tope de Medicare de Florida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confirma la empresa: la guía de 2026 pone el tope de Medicare en 7 M, frente a 27,2 M en 2025, y el margen de VITAS sin tope en el 19-19,5 % [5, 14]. Pero el tope sube solo un 2,3 % en 2027 [18] y el 28 % del sector lo supera [17]: el riesgo vuelve si Florida crece con más altas de hospital.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e IA encarecen los contactos de Roto-Rooter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verdad: los contactos gratuitos de Roto-Rooter caen un 13,1 % y los de pago son ya el 59 % del total; la publicidad pasó de 67,7 M en 2023 a 77,1 M en 2025 y la guía de margen bajó al 21,5-22,5 % [1, 14]. Es el riesgo de la IA que razonamos en riesgos.ia.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Fraude en hospicios y regulación de Medicare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VITAS es más ayuda que amenaza: la moratoria de seis meses desde mayo frena a los hospicios nuevos de dudosa calidad [19]. VITAS pagó 75 M en 2017 y ganó en 2025 una auditoría de 50,3 M [1]; no hay hoy un litigio abierto de importancia.</w:t>
            </w:r>
          </w:p>
        </w:tc>
      </w:tr>
    </w:tbl>
    <w:p>
      <w:pPr>
        <w:spacing w:after="160" w:before="0"/>
      </w:pPr>
    </w:p>
    <w:p>
      <w:pPr>
        <w:spacing w:after="100"/>
      </w:pPr>
      <w:r>
        <w:t xml:space="preserve">El sentimiento de los foros es positivo y mejora: tras el mínimo de marzo (365 USD) la acción ha subido un 40 %, VITAS ha vuelto a crecer y el activista da una historia de «suma de partes». Nuestra lectura es más fría: la recuperación de VITAS ya está en el precio (la regla de múltiplos da un 21 % a 12 meses, pero el valor de los flujos queda un 6,6 % por debajo) y Roto-Rooter, la parte que el mercado quiere separar, es justo la que sufre la captación por internet.</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41 (20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5,0 % real: genera una variación de circulante de 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(informe del auditor sin «we have served»); 2) proxy 2026 (honorarios, sin antigüedad); 3) Audit Analytics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reparación de fontanería y desatascos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Chemed (sin cifra de mercado); 2) IBISWorld (solo fontaneros totales, con obra nueva); 3) asociaciones (PHCC, sin cifra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Gentiva y de Amedisys tras su integración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Gentiva (privada, sin cuentas); 2) 10-K de UnitedHealth (no separa Amedisys); 3) prensa sectorial (sin cifras auditadas)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Barington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(sin 13D ni 13G de Barington); 2) Seeking Alpha (titular sin cifra); 3) búsqueda de la carta (no publicada en fuentes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las compras de hospicios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prensa sectorial (Hospice News: importes sin EBITDA); 2) documentos de la fusión UnitedHealth-Amedisys (sin múltiplo de EBITDA publicado en lo leído); 3) Axios (múltiplo buscado, no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BPA y ventas); 2) Stock Analysis (2028 de pago); 3) MarketScreener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en la nube); 2) comentarios de Seeking Alpha (requieren registro); 3) Motley Fool (sin debate reciente de CHE)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Chemed Corporation, Form 10-K del ejercicio 2025 (cuentas, nota 5 de segmentos, nota 18 de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https://www.sec.gov/Archives/edgar/data/19584/000156276226000020/che-20251231x10k.htm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Chemed Corporation, Form 10-K del ejercicio 2023 (segmentos 2021-2023,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https://www.sec.gov/Archives/edgar/data/19584/000156276224000045/che-20231231x10k.htm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Form 10-K del ejercicio 2021 (segmentos 2019-2021,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https://www.sec.gov/Archives/edgar/data/19584/000156276222000060/che-20211231x10k.htm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hechos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https://data.sec.gov/api/xbrl/companyfacts/CIK0000019584.json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Second-Quarter 2026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https://www.sec.gov/Archives/edgar/data/19584/000001958426000018/che-20260728xex99.htm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First-Quarter 2026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https://www.sec.gov/Archives/edgar/data/19584/000001958426000010/che-20260423xex99.htm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Fourth-Quarter 2025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https://www.sec.gov/Archives/edgar/data/19584/000001958426000002/che-20260225xex99.htm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Third-Quarter 2025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https://www.sec.gov/Archives/edgar/data/19584/000001958425000004/che-20251028xex99.htm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Second-Quarter 2025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https://www.sec.gov/Archives/edgar/data/19584/000156276225000181/che-20250729xex99.htm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First-Quarter 2025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https://www.sec.gov/Archives/edgar/data/19584/000156276225000088/che-20250423xex99.htm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Fourth-Quarter 2024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https://www.sec.gov/Archives/edgar/data/19584/000156276225000032/che-20250226xex99.htm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Reports Third-Quarter 2024 Results (8-K, anexo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https://www.sec.gov/Archives/edgar/data/19584/000156276224000241/che-20241029xex99.htm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Form 10-Q del segundo trimestre de 2026 (acciones, deuda, litigios, concentración de cobros)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https://www.sec.gov/Archives/edgar/data/19584/000001958426000020/che-20260630x10q.htm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(CHE)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https://stockanalysis.com/stocks/che/transcripts/654455-q2-2026/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(CHE)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https://www.fool.com/earnings/call-transcripts/2026/04/24/chemed-che-q1-2026-earnings-call-transcript/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declares quarterly dividend of 70 cents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(nota de prensa de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https://www.barchart.com/story/news/3697160/chemed-corporation-declares-quarterly-dividend-of-70-cents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 Report to the Congress: Medicare Payment Policy, capítulo 10 (hospicio),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https://www.medpac.gov/wp-content/uploads/2026/03/Mar26_Ch10_MedPAC_Report_To_Congress_SEC.pdf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Year 2027 Hospice Wage Index and Payment Rate Update (hoja informativa de la norma final CMS-1851-F)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https://www.cms.gov/newsroom/fact-sheets/fiscal-year-2027-hospice-wage-index-payment-rate-update-hospice-quality-reporting-program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Announces Nationwide Six-Month Medicare Enrollment Moratoria for New Hospices and Home Health Agencies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Venable LLP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https://www.venable.com/insights/publications/2026/05/cms-announces-nationwide-six-month-medicare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Plumbers in the US - Market Size (2006-2032)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https://www.ibisworld.com/united-states/market-size/plumbers/1946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cuentas de los últimos doce meses y consenso de ADUS, PNTG, BTSG, EHC, ENSG, AVAH, OPCH, ROL y FTDR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control de plagas (captación residencial con IA, Rollins)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sectores/control-plagas-2026-10-15.md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proxy statement (DEF 14A) para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https://www.sec.gov/Archives/edgar/data/19584/000001958426000005/che-20251231xdef14a.htm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8-K de resultados de la junta del 18-may-2026 (voto consultivo de remuneración rechazado)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https://www.sec.gov/Archives/edgar/data/19584/000001958426000014/che-20260518x8k.htm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Form 4 de Chemed presentados entre el 15-oct-2025 y el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https://www.sec.gov/cgi-bin/browse-edgar?action=getcompany&amp;CIK=0000019584&amp;type=4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de CHE: «Chemed edges higher on report activist Barington has taken a stake» (3-jun-2026) y «Activist Barington pushes for Chemed to start a strategic review» (21-jul-2026)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https://seekingalpha.com/symbol/CHE/news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(CHE, SPY, XLV) hasta el 14-oct-2026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https://finance.yahoo.com/quote/CHE/history/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consenso de BPA y ventas 2026-2027 (earningsTrend) de CHE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https://finance.yahoo.com/quote/CHE/analysis/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(CHE) Stock Forecast &amp; Price Target (5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(CHE) Statistics: posición corta, acciones,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To Report Third Quarter 2026 Earnings October 27, Related Conference Call To Be Held On October 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https://www.globenewswire.com/news-release/2026/10/01/3372939/0/en/index.html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buys Compassionate Care for $340M (8 veces el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Health Care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https://homehealthcarenews.com/2018/10/amedisys-buys-compassionate-care-for-340m-will-become-third-largest-us-hospice-provider/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Set to Snag Amedisys from Option Care (101 USD por acción, ≈ 3.300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Innovation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https://www.hcinnovationgroup.com/population-health-management/article/53064428/unitedhealth-set-to-snag-amedisys-from-option-care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starts hospice sale process (≈ 300 M de EBITDA; se buscaban 12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Axios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https://www.axios.com/2022/01/31/humana-hospice-sale-process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CHE (RSS,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https://seekingalpha.com/api/sa/combined/CHE.xml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$CHE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https://api.stocktwits.com/api/2/streams/symbol/CHE.json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 Corporation: Why A Spin-Off Could Unlock Its Hidden Value (artículo de autor)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https://seekingalpha.com/article/4930610-chemed-corporation-why-a-spin-off-could-unlock-its-hidden-value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Chemed's crossroads: a tale of two businesses at the Jefferies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BriefGlance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https://briefglance.com/articles/chemeds-crossroads-a-tale-of-two-businesses-at-the-jefferies-conference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tipo de cambio de referencia USD/EUR del 14-oct-2026 (1,1195)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https://data.ecb.europa.eu/data/datasets/EXR/EXR.D.USD.EUR.SP00.A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ninguna</w:t>
      </w:r>
      <w:r>
        <w:t xml:space="preserve"> · Generado el 15 oct 2026.</w:t>
      </w:r>
    </w:p>
    <w:p>
      <w:pPr>
        <w:pStyle w:val="Nota"/>
        <w:spacing w:after="100"/>
      </w:pPr>
      <w:r>
        <w:t xml:space="preserve">Precio: cierre del 14-oct-2026 (513,18 USD), porque la sesión del 15-oct no había cerrado al hacer el análisis; una acción cuesta unos 458 EUR al cambio del BCE del 14-oct (1,1195) [41], un 1,5 % de una cartera de 30.000 EUR. Cuentas 2018-2025 del XBRL de la SEC comprobadas con los 10-K de 2021, 2023 y 2025; segmentos 2020-2025 de los 10-K. Todo el análisis usa el BPA publicado (GAAP): el «ajustado» de la empresa y del consenso excluye las opciones sobre acciones (unos 32-37 M al año) y otros gastos, y queda unos 3,2-3,6 USD por encima. La guía de VITAS del 2T26 se toma de la transcripción de la conferencia porque la tabla de la nota de prensa no se pudo extraer. Los arrendamientos operativos no van al puente: en US GAAP su coste está dentro del EBITDA. Resultados del 3T26 el 27-oct-2026, después de la fecha de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Chemed Corporation (CHE)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513,18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(365,21 – 557,00)</c:v>
                </c:pt>
                <c:pt idx="1">
                  <c:v>Precio objetivo de los analistas (520,00 – 650,00)</c:v>
                </c:pt>
                <c:pt idx="2">
                  <c:v>Comparables: PER NTM (411,80 – 698,97)</c:v>
                </c:pt>
                <c:pt idx="3">
                  <c:v>DCF (WACC y g ± 0,5) (444,78 – 528,84)</c:v>
                </c:pt>
                <c:pt idx="4">
                  <c:v>Escenarios (bajista – alcista) (394,49 – 536,63)</c:v>
                </c:pt>
                <c:pt idx="5">
                  <c:v>Suma de partes (388,81 – 528,74)</c:v>
                </c:pt>
                <c:pt idx="6">
                  <c:v>DCF con la prima implícita del mercado (4,2 %)</c:v>
                </c:pt>
                <c:pt idx="7">
                  <c:v>Precio actual (513,18)</c:v>
                </c:pt>
              </c:strCache>
            </c:strRef>
          </c:cat>
          <c:val>
            <c:numRef>
              <c:f>Hoja1!$B$2:$B$9</c:f>
              <c:numCache>
                <c:formatCode>#,##0</c:formatCode>
                <c:ptCount val="8"/>
                <c:pt idx="0">
                  <c:v>365.21</c:v>
                </c:pt>
                <c:pt idx="1">
                  <c:v>520</c:v>
                </c:pt>
                <c:pt idx="2">
                  <c:v>411.8</c:v>
                </c:pt>
                <c:pt idx="3">
                  <c:v>444.78</c:v>
                </c:pt>
                <c:pt idx="4">
                  <c:v>394.49</c:v>
                </c:pt>
                <c:pt idx="5">
                  <c:v>388.81</c:v>
                </c:pt>
                <c:pt idx="6">
                  <c:v>501.26</c:v>
                </c:pt>
                <c:pt idx="7">
                  <c:v>510.61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(365,21 – 557,00)</c:v>
                </c:pt>
                <c:pt idx="1">
                  <c:v>Precio objetivo de los analistas (520,00 – 650,00)</c:v>
                </c:pt>
                <c:pt idx="2">
                  <c:v>Comparables: PER NTM (411,80 – 698,97)</c:v>
                </c:pt>
                <c:pt idx="3">
                  <c:v>DCF (WACC y g ± 0,5) (444,78 – 528,84)</c:v>
                </c:pt>
                <c:pt idx="4">
                  <c:v>Escenarios (bajista – alcista) (394,49 – 536,63)</c:v>
                </c:pt>
                <c:pt idx="5">
                  <c:v>Suma de partes (388,81 – 528,74)</c:v>
                </c:pt>
                <c:pt idx="6">
                  <c:v>DCF con la prima implícita del mercado (4,2 %)</c:v>
                </c:pt>
                <c:pt idx="7">
                  <c:v>Precio actual (513,18)</c:v>
                </c:pt>
              </c:strCache>
            </c:strRef>
          </c:cat>
          <c:val>
            <c:numRef>
              <c:f>Hoja1!$C$2:$C$9</c:f>
              <c:numCache>
                <c:formatCode>#,##0</c:formatCode>
                <c:ptCount val="8"/>
                <c:pt idx="0">
                  <c:v>191.79000000000002</c:v>
                </c:pt>
                <c:pt idx="1">
                  <c:v>130</c:v>
                </c:pt>
                <c:pt idx="2">
                  <c:v>287.17</c:v>
                </c:pt>
                <c:pt idx="3">
                  <c:v>84.06000000000006</c:v>
                </c:pt>
                <c:pt idx="4">
                  <c:v>142.14</c:v>
                </c:pt>
                <c:pt idx="5">
                  <c:v>139.93</c:v>
                </c:pt>
                <c:pt idx="6">
                  <c:v>68.72000000000003</c:v>
                </c:pt>
                <c:pt idx="7">
                  <c:v>5.139999999999986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VITAS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1334.7</c:v>
                </c:pt>
                <c:pt idx="1">
                  <c:v>1261.2</c:v>
                </c:pt>
                <c:pt idx="2">
                  <c:v>1201.6</c:v>
                </c:pt>
                <c:pt idx="3">
                  <c:v>1315.1</c:v>
                </c:pt>
                <c:pt idx="4">
                  <c:v>1531</c:v>
                </c:pt>
                <c:pt idx="5">
                  <c:v>1630.1</c:v>
                </c:pt>
              </c:numCache>
            </c:numRef>
          </c:val>
        </c:ser>
        <c:ser>
          <c:idx val="1"/>
          <c:order val="1"/>
          <c:tx>
            <c:strRef>
              <c:f>Hoja1!$C$1</c:f>
              <c:strCache>
                <c:ptCount val="1"/>
                <c:pt idx="0">
                  <c:v>Roto-Rooter</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744.9</c:v>
                </c:pt>
                <c:pt idx="1">
                  <c:v>878</c:v>
                </c:pt>
                <c:pt idx="2">
                  <c:v>933.4</c:v>
                </c:pt>
                <c:pt idx="3">
                  <c:v>949.4</c:v>
                </c:pt>
                <c:pt idx="4">
                  <c:v>900.3</c:v>
                </c:pt>
                <c:pt idx="5">
                  <c:v>899.9</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VITAS</c:v>
                </c:pt>
                <c:pt idx="1">
                  <c:v>Roto-Rooter</c:v>
                </c:pt>
                <c:pt idx="2">
                  <c:v>Corporativo</c:v>
                </c:pt>
              </c:strCache>
            </c:strRef>
          </c:cat>
          <c:val>
            <c:numRef>
              <c:f>Hoja1!$B$2:$B$4</c:f>
              <c:numCache>
                <c:formatCode>General</c:formatCode>
                <c:ptCount val="3"/>
                <c:pt idx="0">
                  <c:v>64.4</c:v>
                </c:pt>
                <c:pt idx="1">
                  <c:v>35.6</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 y otros</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de Medicare en hospicios; 2025e-2030e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2022</c:v>
                </c:pt>
                <c:pt idx="2">
                  <c:v>2023</c:v>
                </c:pt>
                <c:pt idx="3">
                  <c:v>2024</c:v>
                </c:pt>
                <c:pt idx="4">
                  <c:v>2025e</c:v>
                </c:pt>
                <c:pt idx="5">
                  <c:v>2026e</c:v>
                </c:pt>
                <c:pt idx="6">
                  <c:v>2030e</c:v>
                </c:pt>
              </c:strCache>
            </c:strRef>
          </c:cat>
          <c:val>
            <c:numRef>
              <c:f>Hoja1!$B$2:$B$8</c:f>
              <c:numCache>
                <c:formatCode>#,##0</c:formatCode>
                <c:ptCount val="7"/>
                <c:pt idx="0">
                  <c:v>20900</c:v>
                </c:pt>
                <c:pt idx="1">
                  <c:v>23700</c:v>
                </c:pt>
                <c:pt idx="2">
                  <c:v>25700</c:v>
                </c:pt>
                <c:pt idx="3">
                  <c:v>28300</c:v>
                </c:pt>
                <c:pt idx="4">
                  <c:v>30000</c:v>
                </c:pt>
                <c:pt idx="5">
                  <c:v>31800</c:v>
                </c:pt>
                <c:pt idx="6">
                  <c:v>39500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Chemed</c:v>
                </c:pt>
                <c:pt idx="1">
                  <c:v>Gentiva (hospicio, antes Kindred at Home)</c:v>
                </c:pt>
                <c:pt idx="2">
                  <c:v>Amedisys (UnitedHealth/Optum)</c:v>
                </c:pt>
                <c:pt idx="3">
                  <c:v>The Pennant Group</c:v>
                </c:pt>
                <c:pt idx="4">
                  <c:v>Addus HomeCare</c:v>
                </c:pt>
                <c:pt idx="5">
                  <c:v>Encompass Health</c:v>
                </c:pt>
                <c:pt idx="6">
                  <c:v>Rollins (Orkin)</c:v>
                </c:pt>
                <c:pt idx="7">
                  <c:v>Frontdoor (American Home Shield)</c:v>
                </c:pt>
              </c:strCache>
            </c:strRef>
          </c:cat>
          <c:val>
            <c:numRef>
              <c:f>Hoja1!$B$2:$B$9</c:f>
              <c:numCache>
                <c:formatCode>0.0"%"</c:formatCode>
                <c:ptCount val="8"/>
                <c:pt idx="0">
                  <c:v>13.6</c:v>
                </c:pt>
                <c:pt idx="3">
                  <c:v>5.7</c:v>
                </c:pt>
                <c:pt idx="4">
                  <c:v>10.2</c:v>
                </c:pt>
                <c:pt idx="5">
                  <c:v>18.6</c:v>
                </c:pt>
                <c:pt idx="6">
                  <c:v>18.7</c:v>
                </c:pt>
                <c:pt idx="7">
                  <c:v>20.5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strCache>
            </c:strRef>
          </c:cat>
          <c:val>
            <c:numRef>
              <c:f>Hoja1!$B$2:$B$16</c:f>
              <c:numCache>
                <c:formatCode>#,##0</c:formatCode>
                <c:ptCount val="15"/>
                <c:pt idx="0">
                  <c:v>1782.6</c:v>
                </c:pt>
                <c:pt idx="1">
                  <c:v>1938.6</c:v>
                </c:pt>
                <c:pt idx="2">
                  <c:v>2079.6</c:v>
                </c:pt>
                <c:pt idx="3">
                  <c:v>2139.3</c:v>
                </c:pt>
                <c:pt idx="4">
                  <c:v>2135</c:v>
                </c:pt>
                <c:pt idx="5">
                  <c:v>2264.4</c:v>
                </c:pt>
                <c:pt idx="6">
                  <c:v>2431.3</c:v>
                </c:pt>
                <c:pt idx="7">
                  <c:v>2530</c:v>
                </c:pt>
                <c:pt idx="8">
                  <c:v>2720</c:v>
                </c:pt>
                <c:pt idx="9">
                  <c:v>2891</c:v>
                </c:pt>
                <c:pt idx="10">
                  <c:v>3065</c:v>
                </c:pt>
                <c:pt idx="11">
                  <c:v>3233</c:v>
                </c:pt>
                <c:pt idx="12">
                  <c:v>3395</c:v>
                </c:pt>
                <c:pt idx="13">
                  <c:v>3548</c:v>
                </c:pt>
                <c:pt idx="14">
                  <c:v>3689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strCache>
            </c:strRef>
          </c:cat>
          <c:val>
            <c:numRef>
              <c:f>Hoja1!$C$2:$C$16</c:f>
              <c:numCache>
                <c:formatCode>#,##0</c:formatCode>
                <c:ptCount val="15"/>
                <c:pt idx="0">
                  <c:v>282.5</c:v>
                </c:pt>
                <c:pt idx="1">
                  <c:v>302.6</c:v>
                </c:pt>
                <c:pt idx="2">
                  <c:v>446.3</c:v>
                </c:pt>
                <c:pt idx="3">
                  <c:v>402.1</c:v>
                </c:pt>
                <c:pt idx="4">
                  <c:v>402.7</c:v>
                </c:pt>
                <c:pt idx="5">
                  <c:v>403.6</c:v>
                </c:pt>
                <c:pt idx="6">
                  <c:v>436</c:v>
                </c:pt>
                <c:pt idx="7">
                  <c:v>409.8</c:v>
                </c:pt>
                <c:pt idx="8">
                  <c:v>451</c:v>
                </c:pt>
                <c:pt idx="9">
                  <c:v>494</c:v>
                </c:pt>
                <c:pt idx="10">
                  <c:v>536</c:v>
                </c:pt>
                <c:pt idx="11">
                  <c:v>575</c:v>
                </c:pt>
                <c:pt idx="12">
                  <c:v>611</c:v>
                </c:pt>
                <c:pt idx="13">
                  <c:v>639</c:v>
                </c:pt>
                <c:pt idx="14">
                  <c:v>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31.1</c:v>
                </c:pt>
                <c:pt idx="1">
                  <c:v>31.9</c:v>
                </c:pt>
                <c:pt idx="2">
                  <c:v>33.7</c:v>
                </c:pt>
                <c:pt idx="3">
                  <c:v>36</c:v>
                </c:pt>
                <c:pt idx="4">
                  <c:v>35.8</c:v>
                </c:pt>
                <c:pt idx="5">
                  <c:v>35.3</c:v>
                </c:pt>
                <c:pt idx="6">
                  <c:v>35.1</c:v>
                </c:pt>
                <c:pt idx="7">
                  <c:v>32.5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15.8</c:v>
                </c:pt>
                <c:pt idx="1">
                  <c:v>15.6</c:v>
                </c:pt>
                <c:pt idx="2">
                  <c:v>21.5</c:v>
                </c:pt>
                <c:pt idx="3">
                  <c:v>18.8</c:v>
                </c:pt>
                <c:pt idx="4">
                  <c:v>18.9</c:v>
                </c:pt>
                <c:pt idx="5">
                  <c:v>17.8</c:v>
                </c:pt>
                <c:pt idx="6">
                  <c:v>17.9</c:v>
                </c:pt>
                <c:pt idx="7">
                  <c:v>16.2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13.7</c:v>
                </c:pt>
                <c:pt idx="1">
                  <c:v>13.3</c:v>
                </c:pt>
                <c:pt idx="2">
                  <c:v>18.7</c:v>
                </c:pt>
                <c:pt idx="3">
                  <c:v>16</c:v>
                </c:pt>
                <c:pt idx="4">
                  <c:v>16.1</c:v>
                </c:pt>
                <c:pt idx="5">
                  <c:v>15.1</c:v>
                </c:pt>
                <c:pt idx="6">
                  <c:v>15.3</c:v>
                </c:pt>
                <c:pt idx="7">
                  <c:v>13.6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11.5</c:v>
                </c:pt>
                <c:pt idx="1">
                  <c:v>11.3</c:v>
                </c:pt>
                <c:pt idx="2">
                  <c:v>15.4</c:v>
                </c:pt>
                <c:pt idx="3">
                  <c:v>12.6</c:v>
                </c:pt>
                <c:pt idx="4">
                  <c:v>11.7</c:v>
                </c:pt>
                <c:pt idx="5">
                  <c:v>12</c:v>
                </c:pt>
                <c:pt idx="6">
                  <c:v>12.4</c:v>
                </c:pt>
                <c:pt idx="7">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7.4</c:v>
                </c:pt>
                <c:pt idx="1">
                  <c:v>9.2</c:v>
                </c:pt>
                <c:pt idx="2">
                  <c:v>9.8</c:v>
                </c:pt>
                <c:pt idx="3">
                  <c:v>3.8</c:v>
                </c:pt>
                <c:pt idx="4">
                  <c:v>3.1</c:v>
                </c:pt>
                <c:pt idx="5">
                  <c:v>-0.1</c:v>
                </c:pt>
                <c:pt idx="6">
                  <c:v>1.6</c:v>
                </c:pt>
                <c:pt idx="7">
                  <c:v>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c:v>
                </c:pt>
                <c:pt idx="1">
                  <c:v>27</c:v>
                </c:pt>
                <c:pt idx="2">
                  <c:v>22</c:v>
                </c:pt>
                <c:pt idx="3">
                  <c:v>23</c:v>
                </c:pt>
                <c:pt idx="4">
                  <c:v>24</c:v>
                </c:pt>
                <c:pt idx="5">
                  <c:v>29</c:v>
                </c:pt>
                <c:pt idx="6">
                  <c:v>26</c:v>
                </c:pt>
                <c:pt idx="7">
                  <c:v>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c:v>
                </c:pt>
                <c:pt idx="1">
                  <c:v>2</c:v>
                </c:pt>
                <c:pt idx="2">
                  <c:v>2</c:v>
                </c:pt>
                <c:pt idx="3">
                  <c:v>3</c:v>
                </c:pt>
                <c:pt idx="4">
                  <c:v>3</c:v>
                </c:pt>
                <c:pt idx="5">
                  <c:v>3</c:v>
                </c:pt>
                <c:pt idx="6">
                  <c:v>2</c:v>
                </c:pt>
                <c:pt idx="7">
                  <c:v>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15</c:v>
                </c:pt>
                <c:pt idx="1">
                  <c:v>14</c:v>
                </c:pt>
                <c:pt idx="2">
                  <c:v>14</c:v>
                </c:pt>
                <c:pt idx="3">
                  <c:v>19</c:v>
                </c:pt>
                <c:pt idx="4">
                  <c:v>11</c:v>
                </c:pt>
                <c:pt idx="5">
                  <c:v>16</c:v>
                </c:pt>
                <c:pt idx="6">
                  <c:v>10</c:v>
                </c:pt>
                <c:pt idx="7">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234.20000000000002</c:v>
                </c:pt>
                <c:pt idx="1">
                  <c:v>248.2</c:v>
                </c:pt>
                <c:pt idx="2">
                  <c:v>430.5</c:v>
                </c:pt>
                <c:pt idx="3">
                  <c:v>249.90000000000003</c:v>
                </c:pt>
                <c:pt idx="4">
                  <c:v>252.59999999999997</c:v>
                </c:pt>
                <c:pt idx="5">
                  <c:v>273.40000000000003</c:v>
                </c:pt>
                <c:pt idx="6">
                  <c:v>368</c:v>
                </c:pt>
                <c:pt idx="7">
                  <c:v>325.5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205.5</c:v>
                </c:pt>
                <c:pt idx="1">
                  <c:v>219.9</c:v>
                </c:pt>
                <c:pt idx="2">
                  <c:v>319.5</c:v>
                </c:pt>
                <c:pt idx="3">
                  <c:v>268.6</c:v>
                </c:pt>
                <c:pt idx="4">
                  <c:v>249.6</c:v>
                </c:pt>
                <c:pt idx="5">
                  <c:v>272.5</c:v>
                </c:pt>
                <c:pt idx="6">
                  <c:v>302</c:v>
                </c:pt>
                <c:pt idx="7">
                  <c:v>265.2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30.9</c:v>
                </c:pt>
                <c:pt idx="1">
                  <c:v>29.1</c:v>
                </c:pt>
                <c:pt idx="2">
                  <c:v>40.6</c:v>
                </c:pt>
                <c:pt idx="3">
                  <c:v>34.7</c:v>
                </c:pt>
                <c:pt idx="4">
                  <c:v>32.6</c:v>
                </c:pt>
                <c:pt idx="5">
                  <c:v>32</c:v>
                </c:pt>
                <c:pt idx="6">
                  <c:v>31.6</c:v>
                </c:pt>
                <c:pt idx="7">
                  <c:v>27.9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8.8</c:v>
                </c:pt>
                <c:pt idx="1">
                  <c:v>8.8</c:v>
                </c:pt>
                <c:pt idx="2">
                  <c:v>8.8</c:v>
                </c:pt>
                <c:pt idx="3">
                  <c:v>8.8</c:v>
                </c:pt>
                <c:pt idx="4">
                  <c:v>8.8</c:v>
                </c:pt>
                <c:pt idx="5">
                  <c:v>8.8</c:v>
                </c:pt>
                <c:pt idx="6">
                  <c:v>8.8</c:v>
                </c:pt>
                <c:pt idx="7">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34.8</c:v>
                </c:pt>
                <c:pt idx="1">
                  <c:v>33.4</c:v>
                </c:pt>
                <c:pt idx="2">
                  <c:v>39.3</c:v>
                </c:pt>
                <c:pt idx="3">
                  <c:v>35.2</c:v>
                </c:pt>
                <c:pt idx="4">
                  <c:v>35.1</c:v>
                </c:pt>
                <c:pt idx="5">
                  <c:v>28.6</c:v>
                </c:pt>
                <c:pt idx="6">
                  <c:v>27.1</c:v>
                </c:pt>
                <c:pt idx="7">
                  <c:v>25.3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0.3</c:v>
                </c:pt>
                <c:pt idx="1">
                  <c:v>0.28</c:v>
                </c:pt>
                <c:pt idx="2">
                  <c:v>-0.36</c:v>
                </c:pt>
                <c:pt idx="3">
                  <c:v>0.38</c:v>
                </c:pt>
                <c:pt idx="4">
                  <c:v>0.06</c:v>
                </c:pt>
                <c:pt idx="5">
                  <c:v>-0.65</c:v>
                </c:pt>
                <c:pt idx="6">
                  <c:v>-0.41</c:v>
                </c:pt>
                <c:pt idx="7">
                  <c:v>-0.18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2031</c:v>
                </c:pt>
              </c:strCache>
            </c:strRef>
          </c:cat>
          <c:val>
            <c:numRef>
              <c:f>Hoja1!$B$2:$B$3</c:f>
              <c:numCache>
                <c:formatCode>#,##0</c:formatCode>
                <c:ptCount val="2"/>
                <c:pt idx="0">
                  <c:v>0</c:v>
                </c:pt>
                <c:pt idx="1">
                  <c:v>140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53.2</c:v>
                </c:pt>
                <c:pt idx="1">
                  <c:v>138</c:v>
                </c:pt>
                <c:pt idx="2">
                  <c:v>3.6</c:v>
                </c:pt>
                <c:pt idx="3">
                  <c:v>0</c:v>
                </c:pt>
                <c:pt idx="4">
                  <c:v>3.5</c:v>
                </c:pt>
                <c:pt idx="5">
                  <c:v>4</c:v>
                </c:pt>
                <c:pt idx="6">
                  <c:v>97.4</c:v>
                </c:pt>
                <c:pt idx="7">
                  <c:v>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18.7</c:v>
                </c:pt>
                <c:pt idx="1">
                  <c:v>19.8</c:v>
                </c:pt>
                <c:pt idx="2">
                  <c:v>21.1</c:v>
                </c:pt>
                <c:pt idx="3">
                  <c:v>22</c:v>
                </c:pt>
                <c:pt idx="4">
                  <c:v>22</c:v>
                </c:pt>
                <c:pt idx="5">
                  <c:v>23.5</c:v>
                </c:pt>
                <c:pt idx="6">
                  <c:v>27.1</c:v>
                </c:pt>
                <c:pt idx="7">
                  <c:v>31.7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158.9</c:v>
                </c:pt>
                <c:pt idx="1">
                  <c:v>92.6</c:v>
                </c:pt>
                <c:pt idx="2">
                  <c:v>175.6</c:v>
                </c:pt>
                <c:pt idx="3">
                  <c:v>576</c:v>
                </c:pt>
                <c:pt idx="4">
                  <c:v>114.5</c:v>
                </c:pt>
                <c:pt idx="5">
                  <c:v>67.7</c:v>
                </c:pt>
                <c:pt idx="6">
                  <c:v>361.4</c:v>
                </c:pt>
                <c:pt idx="7">
                  <c:v>431.5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Consejeros y directivos (con opciones y fundación)</c:v>
                </c:pt>
                <c:pt idx="3">
                  <c:v>Barington Capital</c:v>
                </c:pt>
              </c:strCache>
            </c:strRef>
          </c:cat>
          <c:val>
            <c:numRef>
              <c:f>Hoja1!$B$2:$B$5</c:f>
              <c:numCache>
                <c:formatCode>0.0"%"</c:formatCode>
                <c:ptCount val="4"/>
                <c:pt idx="0">
                  <c:v>11.28</c:v>
                </c:pt>
                <c:pt idx="1">
                  <c:v>9.4</c:v>
                </c:pt>
                <c:pt idx="2">
                  <c:v>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c:v>
                </c:pt>
                <c:pt idx="1">
                  <c:v>52.3</c:v>
                </c:pt>
                <c:pt idx="2">
                  <c:v>17</c:v>
                </c:pt>
                <c:pt idx="3">
                  <c:v>55.6</c:v>
                </c:pt>
                <c:pt idx="4">
                  <c:v>21.6</c:v>
                </c:pt>
                <c:pt idx="5">
                  <c:v>-0.4</c:v>
                </c:pt>
                <c:pt idx="6">
                  <c:v>-3.2</c:v>
                </c:pt>
                <c:pt idx="7">
                  <c:v>14.9</c:v>
                </c:pt>
                <c:pt idx="8">
                  <c:v>-9.1</c:v>
                </c:pt>
                <c:pt idx="9">
                  <c:v>-18.9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17.1</c:v>
                </c:pt>
                <c:pt idx="1">
                  <c:v>24.2</c:v>
                </c:pt>
                <c:pt idx="2">
                  <c:v>19.2</c:v>
                </c:pt>
                <c:pt idx="3">
                  <c:v>21.3</c:v>
                </c:pt>
                <c:pt idx="4">
                  <c:v>19.2</c:v>
                </c:pt>
                <c:pt idx="5">
                  <c:v>21.4</c:v>
                </c:pt>
                <c:pt idx="6">
                  <c:v>18.1</c:v>
                </c:pt>
                <c:pt idx="7">
                  <c:v>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19.2</c:v>
                </c:pt>
                <c:pt idx="1">
                  <c:v>19.2</c:v>
                </c:pt>
                <c:pt idx="2">
                  <c:v>19.2</c:v>
                </c:pt>
                <c:pt idx="3">
                  <c:v>19.2</c:v>
                </c:pt>
                <c:pt idx="4">
                  <c:v>19.2</c:v>
                </c:pt>
                <c:pt idx="5">
                  <c:v>19.2</c:v>
                </c:pt>
                <c:pt idx="6">
                  <c:v>19.2</c:v>
                </c:pt>
                <c:pt idx="7">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Amedisys (hospicio y atención domiciliaria)</c:v>
                </c:pt>
                <c:pt idx="1">
                  <c:v>Kindred at Home, hospicio (hoy Gentiva), 60 %</c:v>
                </c:pt>
                <c:pt idx="2">
                  <c:v>Compassionate Care Hospice</c:v>
                </c:pt>
                <c:pt idx="3">
                  <c:v>Covenant Care (hospicios en Florida)</c:v>
                </c:pt>
              </c:strCache>
            </c:strRef>
          </c:cat>
          <c:val>
            <c:numRef>
              <c:f>Hoja1!$B$2:$B$5</c:f>
              <c:numCache>
                <c:formatCode>0.0"x"</c:formatCode>
                <c:ptCount val="4"/>
                <c:pt idx="2">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264</c:v>
                </c:pt>
                <c:pt idx="1">
                  <c:v>294</c:v>
                </c:pt>
                <c:pt idx="2">
                  <c:v>322</c:v>
                </c:pt>
                <c:pt idx="3">
                  <c:v>354</c:v>
                </c:pt>
                <c:pt idx="4">
                  <c:v>377</c:v>
                </c:pt>
                <c:pt idx="5">
                  <c:v>395</c:v>
                </c:pt>
                <c:pt idx="6">
                  <c:v>412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1685</c:v>
                </c:pt>
                <c:pt idx="1">
                  <c:v>4697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513,18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394.49</c:v>
                </c:pt>
                <c:pt idx="1">
                  <c:v>480.66</c:v>
                </c:pt>
                <c:pt idx="2">
                  <c:v>536.63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513,18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(365,21 – 557,00)</c:v>
                </c:pt>
                <c:pt idx="1">
                  <c:v>Precio objetivo de los analistas (520,00 – 650,00)</c:v>
                </c:pt>
                <c:pt idx="2">
                  <c:v>Comparables: PER NTM (411,80 – 698,97)</c:v>
                </c:pt>
                <c:pt idx="3">
                  <c:v>DCF (WACC y g ± 0,5) (444,78 – 528,84)</c:v>
                </c:pt>
                <c:pt idx="4">
                  <c:v>Escenarios (bajista – alcista) (394,49 – 536,63)</c:v>
                </c:pt>
                <c:pt idx="5">
                  <c:v>Suma de partes (388,81 – 528,74)</c:v>
                </c:pt>
                <c:pt idx="6">
                  <c:v>DCF con la prima implícita del mercado (4,2 %)</c:v>
                </c:pt>
                <c:pt idx="7">
                  <c:v>Precio actual (513,18)</c:v>
                </c:pt>
              </c:strCache>
            </c:strRef>
          </c:cat>
          <c:val>
            <c:numRef>
              <c:f>Hoja1!$B$2:$B$9</c:f>
              <c:numCache>
                <c:formatCode>#,##0</c:formatCode>
                <c:ptCount val="8"/>
                <c:pt idx="0">
                  <c:v>365.21</c:v>
                </c:pt>
                <c:pt idx="1">
                  <c:v>520</c:v>
                </c:pt>
                <c:pt idx="2">
                  <c:v>411.8</c:v>
                </c:pt>
                <c:pt idx="3">
                  <c:v>444.78</c:v>
                </c:pt>
                <c:pt idx="4">
                  <c:v>394.49</c:v>
                </c:pt>
                <c:pt idx="5">
                  <c:v>388.81</c:v>
                </c:pt>
                <c:pt idx="6">
                  <c:v>501.26</c:v>
                </c:pt>
                <c:pt idx="7">
                  <c:v>510.61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(365,21 – 557,00)</c:v>
                </c:pt>
                <c:pt idx="1">
                  <c:v>Precio objetivo de los analistas (520,00 – 650,00)</c:v>
                </c:pt>
                <c:pt idx="2">
                  <c:v>Comparables: PER NTM (411,80 – 698,97)</c:v>
                </c:pt>
                <c:pt idx="3">
                  <c:v>DCF (WACC y g ± 0,5) (444,78 – 528,84)</c:v>
                </c:pt>
                <c:pt idx="4">
                  <c:v>Escenarios (bajista – alcista) (394,49 – 536,63)</c:v>
                </c:pt>
                <c:pt idx="5">
                  <c:v>Suma de partes (388,81 – 528,74)</c:v>
                </c:pt>
                <c:pt idx="6">
                  <c:v>DCF con la prima implícita del mercado (4,2 %)</c:v>
                </c:pt>
                <c:pt idx="7">
                  <c:v>Precio actual (513,18)</c:v>
                </c:pt>
              </c:strCache>
            </c:strRef>
          </c:cat>
          <c:val>
            <c:numRef>
              <c:f>Hoja1!$C$2:$C$9</c:f>
              <c:numCache>
                <c:formatCode>#,##0</c:formatCode>
                <c:ptCount val="8"/>
                <c:pt idx="0">
                  <c:v>191.79000000000002</c:v>
                </c:pt>
                <c:pt idx="1">
                  <c:v>130</c:v>
                </c:pt>
                <c:pt idx="2">
                  <c:v>287.17</c:v>
                </c:pt>
                <c:pt idx="3">
                  <c:v>84.06000000000006</c:v>
                </c:pt>
                <c:pt idx="4">
                  <c:v>142.14</c:v>
                </c:pt>
                <c:pt idx="5">
                  <c:v>139.93</c:v>
                </c:pt>
                <c:pt idx="6">
                  <c:v>68.72000000000003</c:v>
                </c:pt>
                <c:pt idx="7">
                  <c:v>5.139999999999986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