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Amphenol Corporation</w:t>
      </w:r>
    </w:p>
    <w:p>
      <w:pPr>
        <w:spacing w:after="60"/>
        <w:rPr>
          <w:color w:val="52514E"/>
          <w:sz w:val="22"/>
          <w:szCs w:val="22"/>
        </w:rPr>
      </w:pPr>
      <w:r>
        <w:rPr>
          <w:color w:val="52514E"/>
          <w:sz w:val="22"/>
          <w:szCs w:val="22"/>
        </w:rPr>
        <w:t xml:space="preserve">APH · Bolsa de Nueva York (NYSE) · ISIN US0320951017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79,32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81,48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+3,3 % (base +13,5 %)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41,45 USD · mercado 49,39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204.519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Amphenol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APH / US0320951017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Componentes electrónicos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Wallingford (Connecticut) · 1932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https://www.amphenol.com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79,32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59,01 – 89,93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204.519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218.160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987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81,48 USD</w:t>
      </w:r>
      <w:r>
        <w:t xml:space="preserve"> frente a 79,32 · Rentabilidad a 12 meses </w:t>
      </w:r>
      <w:r>
        <w:rPr>
          <w:b/>
          <w:bCs/>
        </w:rPr>
        <w:t xml:space="preserve">+3,3 % (base +13,5 %)</w:t>
      </w:r>
      <w:r>
        <w:t xml:space="preserve"> · Valor intrínseco 41,45 USD · con la prima implícita del mercado: 49,39 (-37,7 %) · Alcista / bajista -41,7 % / -69,9 %</w:t>
      </w:r>
    </w:p>
    <w:p>
      <w:pPr>
        <w:spacing w:after="100"/>
      </w:pPr>
      <w:r>
        <w:rPr>
          <w:b/>
        </w:rPr>
        <w:t xml:space="preserve">La recomendación y por qué.</w:t>
      </w:r>
      <w:r>
        <w:t xml:space="preserve"> Mantener, con convicción media. El objetivo a 12 meses es de 81,48 USD (nuestro BPA ajustado de 2028e × el PER de la regla común, ponderado), un 3,3 % de rentabilidad con el dividendo y un 13,5 % en el caso base, frente a un precio de 79,32 USD (cierre del 20-oct-2026). El valor intrínseco (41,45 USD) queda un 48 % bajo el precio y el objetivo medio de los analistas (102,97) un 30 % por encima [30]. La razón: el negocio crece y gana como nunca, pero el precio paga ya el ciclo de IA y el bajista (46,06 USD, −41 %) pesa demasiado. La convicción es media porque la regla y el valor intrínseco dicen lo mismo (no comprar) y el BPA del base está en el consenso; subiría si los pedidos del 3T26 (28-oct) caen por debajo de 1,0 veces las ventas.</w:t>
      </w:r>
    </w:p>
    <w:p>
      <w:pPr>
        <w:spacing w:after="100"/>
      </w:pPr>
      <w:r>
        <w:rPr>
          <w:b/>
        </w:rPr>
        <w:t xml:space="preserve">El negocio.</w:t>
      </w:r>
      <w:r>
        <w:t xml:space="preserve"> Amphenol es el primer o segundo fabricante mundial de conectores (13,3 % del mercado en 2024 [14]), con un margen operativo ajustado del 29,8 % frente al ≈ 21 % de TE Connectivity [4, 17]. El ROIC con el fondo de comercio fue del 28,8 % en 2025 (≈ 20 % con CCS), muy por encima del WACC del 11,0 %. La calidad sostiene el crecimiento que proyectamos: el 7,3 % anual de 2027e-2033e es la mitad del histórico (15,6 %) y apenas pide capital (capex del 3,6-4,0 % de las ventas); el riesgo no es la capacidad de crecer sino el nivel de ventas de IA: IT datacom es ya el 43 % de las ventas (+63 % orgánico en el 2T26) y depende del capex de cuatro nubes [4, 18].</w:t>
      </w:r>
    </w:p>
    <w:p>
      <w:pPr>
        <w:spacing w:after="100"/>
      </w:pPr>
      <w:r>
        <w:rPr>
          <w:b/>
        </w:rPr>
        <w:t xml:space="preserve">Finanzas.</w:t>
      </w:r>
      <w:r>
        <w:t xml:space="preserve"> Ventas de 29.012 M USD en los últimos doce meses (+55 % en el 2T26, 30 % orgánico) y BPA ajustado de 1,21 USD en el 1S26 (+68 %) [4]. Deuda neta de 13.392 M (1,3 veces el EBITDA) tras pagar 10.500 M por CCS; fondo de comercio e intangibles de 22.844 M, por encima del patrimonio. Flujo libre de 4.728 M en doce meses.</w:t>
      </w:r>
    </w:p>
    <w:p>
      <w:pPr>
        <w:spacing w:after="100"/>
      </w:pPr>
      <w:r>
        <w:rPr>
          <w:b/>
        </w:rPr>
        <w:t xml:space="preserve">Equipo y gobierno.</w:t>
      </w:r>
      <w:r>
        <w:t xml:space="preserve"> Norwitt (consejero delegado desde 2009) ha batido su guía todos los trimestres desde 2023 y no ha hecho un deterioro en 20.000 M de compras [4]. Resta: 511,9 M USD de ventas de directivos en 12 meses (ejercicio de opciones) y un salario de 22,35 M (1.188 veces el mediano) [22, 24].</w:t>
      </w:r>
    </w:p>
    <w:p>
      <w:pPr>
        <w:spacing w:after="100"/>
      </w:pPr>
      <w:r>
        <w:rPr>
          <w:b/>
        </w:rPr>
        <w:t xml:space="preserve">Valoración.</w:t>
      </w:r>
      <w:r>
        <w:t xml:space="preserve"> El DCF da 39,47 USD (−50,2 %) y el DCF inverso dice que el precio descuenta un 22,5 % de crecimiento anual en 2027e-2033e frente al 7,3 % del base; con la prima del mercado (4,2 %), 49,17 USD. Los comparables dan 59,30 (mediana de 18,5 veces). La regla a 12 meses mantiene el PER en 25,3 veces, la mediana de Amphenol: el base sube con el BPA (+15 % anual), pero el bajista lleva el PER a 20,2. Coincidimos con el consenso en el BPA de 2026e (2,68 frente a 2,69) y discrepamos en el múltiplo: los analistas pagan ≈ 31 veces el de 2027.</w:t>
      </w:r>
    </w:p>
    <w:p>
      <w:pPr>
        <w:spacing w:after="100"/>
      </w:pPr>
      <w:r>
        <w:rPr>
          <w:b/>
        </w:rPr>
        <w:t xml:space="preserve">Riesgos y catalizadores.</w:t>
      </w:r>
      <w:r>
        <w:t xml:space="preserve"> El mayor riesgo es una digestión de la inversión en IA en 2027-2028 (−41 % a 12 meses); después, el múltiplo (−20 % si vuelve a 20,8 veces) y el paso del cobre a la óptica integrada dentro del rack. Catalizadores: resultados del 3T26 el 28-oct-2026 y planes de capex de las nubes en enero-febrero de 2027.</w:t>
      </w:r>
    </w:p>
    <w:p>
      <w:pPr>
        <w:spacing w:after="100"/>
      </w:pPr>
      <w:r>
        <w:rPr>
          <w:b/>
        </w:rPr>
        <w:t xml:space="preserve">Qué cambiaría la decisión.</w:t>
      </w:r>
      <w:r>
        <w:t xml:space="preserve"> Comprar por debajo de 41,45 USD (valor intrínseco; la rentabilidad a 12 meses llegaría al 15 % mucho antes, hacia 71 USD, pero el filtro de valor real manda); vender por encima de ≈ 91 USD. Un margen de Communications Solutions por debajo del 30 % o pedidos/ventas por debajo de 1,0 reforzarían la venta; pedidos/ventas por encima de 1,2 en 2027 con capex de las nubes al alza subirían el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81,48 USD</w:t>
      </w:r>
      <w:r>
        <w:t xml:space="preserve"> (rentabilidad +3,3 % (base +13,5 %)) · Valor intrínseco: 41,45 USD (-47,7 % sobre 79,32) · con la prima implícita del mercado: 49,39 (-37,7 %)</w:t>
      </w:r>
    </w:p>
    <w:p>
      <w:pPr>
        <w:spacing w:after="100"/>
      </w:pPr>
      <w:r>
        <w:t xml:space="preserve">Amphenol fabrica las piezas que conectan y alimentan los equipos electrónicos: conectores, cables, antenas y sensores. Es uno de los dos mayores del mundo (13,3 % del mercado de conectores [14]), con un modelo descentralizado que ha batido su guía cada trimestre desde 2023 y ha comprado más de 20.000 M USD sin deterioros [1, 4]. La IA la ha convertido en un proveedor clave de los centros de datos: IT datacom es el 43 % de las ventas, con un margen operativo ajustado del 29,8 % y un ROIC del 28,8 % en 2025 [4].</w:t>
      </w:r>
    </w:p>
    <w:p>
      <w:pPr>
        <w:spacing w:after="100"/>
      </w:pPr>
      <w:r>
        <w:t xml:space="preserve">El precio (79,32 USD, 25,3 veces nuestro BPA de los próximos 12 meses y 24 veces el EBITDA) descuenta, según el DCF inverso, un crecimiento del 22,5 % anual hasta 2033 con margen de pico: siete años más de ciclo de IA sin pausa. El PER adelantado está en su mediana de cinco años porque el BPA se ha duplicado, no porque la acción sea barata.</w:t>
      </w:r>
    </w:p>
    <w:p>
      <w:pPr>
        <w:spacing w:after="100"/>
      </w:pPr>
      <w:r>
        <w:t xml:space="preserve">El mercado acierta en el negocio y probablemente se equivoca en la duración del ciclo. Para invertir hay que creer que la inversión de las nubes no se digiere en 2027-2028 y que el cobre no pierde el rack frente a la óptica. Con un bajista del −41 % y un base del +13,5 %, la asimetría no compensa hoy [44].</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 × 2,28 = 46,06 · 25,3x × 3,54 = 89,56 · 25,5x × 3,95 = 100,73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 / 13,5 %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102,97 (nuestro base -13,0 %)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 / -69,9 %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11,0 %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 frente a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(13,2 %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41,45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41,45 y 91,04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91,04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41,45 USD (valor intrínseco): Comprar si se mantiene el resto.</w:t>
      </w:r>
    </w:p>
    <w:p>
      <w:pPr>
        <w:pStyle w:val="ListParagraph"/>
        <w:numPr>
          <w:ilvl w:val="0"/>
          <w:numId w:val="2"/>
        </w:numPr>
        <w:spacing w:after="60"/>
      </w:pPr>
      <w:r>
        <w:t xml:space="preserve">Precio por encima de ≈ 91 USD: Vender (la rentabilidad a 12 meses pasaría a negativa).</w:t>
      </w:r>
    </w:p>
    <w:p>
      <w:pPr>
        <w:pStyle w:val="ListParagraph"/>
        <w:numPr>
          <w:ilvl w:val="0"/>
          <w:numId w:val="2"/>
        </w:numPr>
        <w:spacing w:after="60"/>
      </w:pPr>
      <w:r>
        <w:t xml:space="preserve">Pedidos/ventas por debajo de 1,0 en un trimestre o recorte del capex de las nubes: Vender.</w:t>
      </w:r>
    </w:p>
    <w:p>
      <w:pPr>
        <w:pStyle w:val="ListParagraph"/>
        <w:numPr>
          <w:ilvl w:val="0"/>
          <w:numId w:val="2"/>
        </w:numPr>
        <w:spacing w:after="60"/>
      </w:pPr>
      <w:r>
        <w:t xml:space="preserve">Margen de Communications Solutions por debajo del 30 % dos trimestres: revisar el base a la baja.</w:t>
      </w:r>
    </w:p>
    <w:p>
      <w:pPr>
        <w:pStyle w:val="ListParagraph"/>
        <w:numPr>
          <w:ilvl w:val="0"/>
          <w:numId w:val="2"/>
        </w:numPr>
        <w:spacing w:after="60"/>
      </w:pPr>
      <w:r>
        <w:t xml:space="preserve">Pedidos/ventas por encima de 1,2 durante 2027 con BPA de 2027 por encima de 3,6 USD: revisar el base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inversión en centros de datos de IA sigue creciendo varios años, que Amphenol mantiene su margen de pico (≈ 30 % operativo) y que la acción merece ≈ 31 veces el BPA de 2027; los analistas esperan 102,97 USD, un 30 % más.</w:t>
      </w:r>
    </w:p>
    <w:p>
      <w:pPr>
        <w:keepNext/>
        <w:spacing w:after="100"/>
      </w:pPr>
      <w:r>
        <w:rPr>
          <w:b/>
          <w:bCs/>
        </w:rPr>
        <w:t xml:space="preserve">Lo que creemos nosotros.</w:t>
      </w:r>
    </w:p>
    <w:p>
      <w:pPr>
        <w:spacing w:after="100"/>
      </w:pPr>
      <w:r>
        <w:t xml:space="preserve">Coincidimos en el BPA de 2026e-2027e y discrepamos en el múltiplo y en el riesgo: una pausa de dos años en el capex de IA, que el sector ya vivió en 2001 en telecomunicaciones, llevaría el BPA de 2028 a 2,28 USD y el PER a 20 veces. El precio no deja margen para ese caso.</w:t>
      </w:r>
    </w:p>
    <w:p>
      <w:pPr>
        <w:keepNext/>
        <w:spacing w:after="100"/>
      </w:pPr>
      <w:r>
        <w:rPr>
          <w:b/>
          <w:bCs/>
        </w:rPr>
        <w:t xml:space="preserve">Por qué podemos tener razón.</w:t>
      </w:r>
    </w:p>
    <w:p>
      <w:pPr>
        <w:spacing w:after="100"/>
      </w:pPr>
      <w:r>
        <w:t xml:space="preserve">El 43 % de las ventas depende del capex de cuatro clientes finales que lo han subido un 40-60 % al año; el cobre de alta velocidad, la línea de más margen, tiene un sustituto tecnológico en camino. La historia de Amphenol nunca pagó más de 29 veces el BPA adelantado.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9,3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28,8 % en 2025 (≈ 20 % con CCS) frente a un WACC del 11,0 %.</w:t>
      </w:r>
    </w:p>
    <w:p>
      <w:pPr>
        <w:pStyle w:val="ListParagraph"/>
        <w:numPr>
          <w:ilvl w:val="0"/>
          <w:numId w:val="2"/>
        </w:numPr>
        <w:spacing w:after="60"/>
      </w:pPr>
      <w:r>
        <w:rPr>
          <w:b/>
        </w:rPr>
        <w:t xml:space="preserve">Ejecución</w:t>
      </w:r>
      <w:r>
        <w:t xml:space="preserve">: guía batida todos los trimestres desde 2023 y ningún deterioro en 20.000 M USD de compras.</w:t>
      </w:r>
    </w:p>
    <w:p>
      <w:pPr>
        <w:pStyle w:val="ListParagraph"/>
        <w:numPr>
          <w:ilvl w:val="0"/>
          <w:numId w:val="2"/>
        </w:numPr>
        <w:spacing w:after="60"/>
      </w:pPr>
      <w:r>
        <w:rPr>
          <w:b/>
        </w:rPr>
        <w:t xml:space="preserve">Crecimiento visible</w:t>
      </w:r>
      <w:r>
        <w:t xml:space="preserve">: pedidos/ventas de 1,23 en el 2T26 y BPA del 1S26 +68 %.</w:t>
      </w:r>
    </w:p>
    <w:p>
      <w:pPr>
        <w:pStyle w:val="ListParagraph"/>
        <w:numPr>
          <w:ilvl w:val="0"/>
          <w:numId w:val="2"/>
        </w:numPr>
        <w:spacing w:after="60"/>
      </w:pPr>
      <w:r>
        <w:rPr>
          <w:b/>
        </w:rPr>
        <w:t xml:space="preserve">CCS cumple</w:t>
      </w:r>
      <w:r>
        <w:t xml:space="preserve">: 4.600 M USD de ventas previstas en 2026 frente a 4.100 M al comprarla.</w:t>
      </w:r>
    </w:p>
    <w:p>
      <w:pPr>
        <w:pStyle w:val="ListParagraph"/>
        <w:numPr>
          <w:ilvl w:val="0"/>
          <w:numId w:val="2"/>
        </w:numPr>
        <w:spacing w:after="60"/>
      </w:pPr>
      <w:r>
        <w:rPr>
          <w:b/>
        </w:rPr>
        <w:t xml:space="preserve">Diversificación</w:t>
      </w:r>
      <w:r>
        <w:t xml:space="preserve">: ≈ 50 % de las ventas en industria, defensa, automóvil y aeronáutica.</w:t>
      </w:r>
    </w:p>
    <w:p>
      <w:pPr>
        <w:pStyle w:val="Heading2"/>
      </w:pPr>
      <w:r>
        <w:t xml:space="preserve">En contra</w:t>
      </w:r>
    </w:p>
    <w:p>
      <w:pPr>
        <w:pStyle w:val="ListParagraph"/>
        <w:numPr>
          <w:ilvl w:val="0"/>
          <w:numId w:val="2"/>
        </w:numPr>
        <w:spacing w:after="60"/>
      </w:pPr>
      <w:r>
        <w:rPr>
          <w:b/>
        </w:rPr>
        <w:t xml:space="preserve">Precio</w:t>
      </w:r>
      <w:r>
        <w:t xml:space="preserve">: el DCF inverso descuenta un 22,5 % de crecimiento anual hasta 2033; valor intrínseco de 41,45 USD.</w:t>
      </w:r>
    </w:p>
    <w:p>
      <w:pPr>
        <w:pStyle w:val="ListParagraph"/>
        <w:numPr>
          <w:ilvl w:val="0"/>
          <w:numId w:val="2"/>
        </w:numPr>
        <w:spacing w:after="60"/>
      </w:pPr>
      <w:r>
        <w:rPr>
          <w:b/>
        </w:rPr>
        <w:t xml:space="preserve">Ciclo de IA</w:t>
      </w:r>
      <w:r>
        <w:t xml:space="preserve">: IT datacom es el 43 % de las ventas; el bajista vale −41 % a 12 meses.</w:t>
      </w:r>
    </w:p>
    <w:p>
      <w:pPr>
        <w:pStyle w:val="ListParagraph"/>
        <w:numPr>
          <w:ilvl w:val="0"/>
          <w:numId w:val="2"/>
        </w:numPr>
        <w:spacing w:after="60"/>
      </w:pPr>
      <w:r>
        <w:rPr>
          <w:b/>
        </w:rPr>
        <w:t xml:space="preserve">Margen de pico</w:t>
      </w:r>
      <w:r>
        <w:t xml:space="preserve">: 29,8 % operativo ajustado frente al 20-21 % de 2022-2024.</w:t>
      </w:r>
    </w:p>
    <w:p>
      <w:pPr>
        <w:pStyle w:val="ListParagraph"/>
        <w:numPr>
          <w:ilvl w:val="0"/>
          <w:numId w:val="2"/>
        </w:numPr>
        <w:spacing w:after="60"/>
      </w:pPr>
      <w:r>
        <w:rPr>
          <w:b/>
        </w:rPr>
        <w:t xml:space="preserve">Cobre frente a óptica</w:t>
      </w:r>
      <w:r>
        <w:t xml:space="preserve">: la óptica integrada puede quitar cable de alta velocidad del rack.</w:t>
      </w:r>
    </w:p>
    <w:p>
      <w:pPr>
        <w:pStyle w:val="ListParagraph"/>
        <w:numPr>
          <w:ilvl w:val="0"/>
          <w:numId w:val="2"/>
        </w:numPr>
        <w:spacing w:after="60"/>
      </w:pPr>
      <w:r>
        <w:rPr>
          <w:b/>
        </w:rPr>
        <w:t xml:space="preserve">Directivos vendedores</w:t>
      </w:r>
      <w:r>
        <w:t xml:space="preserve">: 511,9 M USD vendidos en 12 meses, una compra de 1,3 M.</w:t>
      </w:r>
    </w:p>
    <w:p>
      <w:pPr>
        <w:pStyle w:val="Heading2"/>
      </w:pPr>
      <w:r>
        <w:t xml:space="preserve">Qué tiene que pasar para que la tesis funcione</w:t>
      </w:r>
    </w:p>
    <w:p>
      <w:pPr>
        <w:spacing w:after="100"/>
      </w:pPr>
      <w:r>
        <w:t xml:space="preserve">La tesis depende de que la inversión en IA crezca sin pausa en 2027-2028 y de que Amphenol mantenga el margen de Communications Solutions por encima del 30 %. La señal en contra sería una relación pedidos/ventas por debajo de 1,0, una guía trimestral por debajo del consenso o un recorte del capex de 2027 de alguna de las cuatro grandes nubes.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Avisa con meses de antelación de la digestión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IT datacom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43 %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que se queda cerca del pico.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trimestral frente a la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0,675 USD (2T26); guía 3T26 0,70-0,71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por debajo del consenso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cae con la guía, no con el resultado.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compra grande con el ciclo arriba sería el error típico.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39,7x / 24,7x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Arthur J. Schmitt funda American Phenolic Corporation en Chicago en 1932 para fabricar zócalos de válvulas para radios; la Segunda Guerra Mundial la convierte en proveedor de conectores militares, su origen en defensa [1]. Tras pasar por Bunker Ramo y Allied, sale a bolsa en 1991, y KKR compra la mayoría en 1997 con una recapitalización apalancada; vende su parte antes de 2006. Desde entonces el modelo es el mismo: muchas unidades pequeñas con un director general responsable de su cuenta, crecimiento orgánico por diseño en las plataformas de los clientes y compras pequeñas y medianas sin deterioros [1]. Con Adam Norwitt (consejero delegado desde 2009) las ventas pasan de ≈ 2.800 M USD a 23.095 M en 2025, y las compras de CIT, Andrew y CCS (≈ 15.000 M en 2024-2026) la convierten en el primer proveedor de interconexión de los centros de datos de IA [1,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Arthur J. Schmitt funda American Phenolic Corporation en Chicago.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Nueva York; en 1997 KKR compra la mayoría con una recapitalización apalancada.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Adam Norwitt, consejero delegado; ventas de ≈ 2.800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FCI Asia y MTS Systems (sensores); split 2×1 en 2021.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CIT (2.025 M USD, defensa y aeronáutica) y split 2×1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Andrew (2.100 M) y Trexon (1.050 M); ventas +52 % por la 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CCS de CommScope (10.500 M USD, fibra); Norwitt presidente del consejo; split 2×1 en septiembre [10, 13, 25].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Amphenol diseña y fabrica conectores, cables, antenas y sensores: las piezas que unen y alimentan los componentes de un equipo electrónico. Vende a siete mercados finales: IT datacom (servidores, redes y centros de datos de IA, 36 % de las ventas de 2025 y 43 % en el 2T26), industria (19 %), automóvil (15 %), redes de comunicaciones (10 %), defensa (9 %), móviles (6 %) y aeronáutica comercial (5 %) [1, 11]. Los clientes son fabricantes, subcontratistas y operadores de todo el mundo; el 34,6 % de las ventas se envía a EE. UU. y el 15,9 % a China. Fabrica en ≈ 40 países con ≈ 170.000 empleados, organizados en tres divisiones y muchas unidades de negocio pequeñas con su propio director general [1].</w:t>
      </w:r>
    </w:p>
    <w:p>
      <w:pPr>
        <w:pStyle w:val="Heading2"/>
      </w:pPr>
      <w:r>
        <w:t xml:space="preserve">Cómo gana dinero</w:t>
      </w:r>
    </w:p>
    <w:p>
      <w:pPr>
        <w:spacing w:after="100"/>
      </w:pPr>
      <w:r>
        <w:t xml:space="preserve">Cobra por pieza o por cable ensamblado; casi nada es recurrente por contrato, pero cada diseño ganado se vende durante toda la vida de la plataforma del cliente (años en automóvil y defensa, 1-2 años por generación en servidores) [1]. El margen depende del volumen (fábricas con costes fijos), de la mezcla (alta velocidad, potencia y fibra para IA son las de más margen: Communications Solutions ganó un 33,6 % en el 2T26 frente al 21,0 % de sensores) y del coste del cobre y del oro [2]. El apalancamiento operativo es alto: con ventas +55 % el margen operativo subió 4,4 puntos en el 2T26 [2]. Poca estacionalidad.</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Communications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Harsh Environment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Interconnect and Sensor Systems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ajustes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Communications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Harsh Environment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Interconnect and Sensor Systems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ajustes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Muy diversificada: ningún cliente llegó al 10 % de las ventas en 2023-2025; vende a fabricantes, subcontratistas (EMS y ODM), operadores y nubes, y un 19 % a través de distribuidores [1]. La exposición real a las cuatro grandes nubes y a Nvidia es mayor de lo que dice esa cifra, porque buena parte llega a través de ODM y fabricantes de servidores: IT datacom fue el 36 % de las ventas en 2025 y el 43 % en el 2T26 [1, 11]. Poder de precios: el margen operativo ajustado subió 420 puntos básicos en un año (25,6 % → 29,8 % en el 2T26) con ventas al alza y sin que la dirección lo atribuya a precio; la integración de CCS mejoró por fábrica y compras [4, 11]. La relación pedidos/ventas de 1,23-1,24 en 2026 da visibilidad de unos meses, no de años [4,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USD,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10.732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pedidos/ventas 1,23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(2025); 30 %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divisa ni compras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 datacom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+63 % orgánico en el 2T26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29 % sin la devolución de aranceles IEEPA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(USD, acciones de hoy)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1,21 frente a 0,72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2.037 en el 1S26 [4,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conectores y sistemas de interconexión electrónicos en todo el mundo (conectores, cables ensamblados, fibra óptica de interconexión), el perímetro de Bishop &amp; Associates, que es la referencia del sector y la que usa la propia industria para las cuotas [14, 15]. Amphenol vende además sensores y antenas (≈ 15-20 % de sus ventas) que quedan fuera. Se usa Bishop y no Global Market Insights (75.000 M USD en 2025) porque GMI mide un perímetro más estrecho y no da cuotas comparables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99.200 M USD en 2025 (81.386 M de los 100 primeros fabricantes, el 82,1 % del total; estimación propia del total) y 86.480 M en 2024 [14,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mundiales de conectores, Bishop &amp; Associat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centros de datos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cuatro grandes nubes invertirán ≈ 725.000-785.000 M USD en 2026 y más de un billón en 2027 según los analistas [18]; IT datacom creció un 63 % orgánico en el 2T26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 electrónico por equipo (velocidad, potencia, fibra)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generación de servidores de IA pide más cobre de alta velocidad, más fibra y más potencia: «necesitan más de todo»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del automóvil y la industria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Automóvil 15 % e industria 19 % de las ventas de 2025; industria +18 % orgánico en el 2T26 [1,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9 % de las ventas en 2025 y +24 % orgánico en el 2T26 [1,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existencias de distribuidores y fabricantes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las ventas de Amphenol cayeron un 1 % y el orgánico fue negativo tras el exceso de existencias de 2022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Óptica integrada (CPO) frente a cobre en los bastidores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castigó a la acción por miedo a que la óptica sustituya al cobre; Jefferies cree que el cobre domina al menos dos años más [19]. Con CCS Amphenol vende también la fibra.</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 Connectivity (14,9 % del mercado en 2024) y Amphenol (13,3 %) lideran; detrás, Molex (5,6 %), Aptiv, Foxconn Interconnect y Luxshare, que compiten en precio en móviles y servidores [14]. Márgenes altos de los líderes (TE ≈ 21 % operativo) indican rivalidad moderada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pasa del 10 % de las ventas de Amphenol, pero en centros de datos compran pocas nubes y fabricantes de servidores con mucho volumen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Metales (cobre, oro), plásticos y fibra; la dirección dice tener asegurada la fibra de CCS y no ve cuellos de botella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que estar en el diseño desde el principio, con calificaciones largas en defensa, aeronáutica y automóvil; los chinos (Luxshare) entran en volumen [1,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Óptica integrada en el chip (CPO) y cambios de arquitectura de Nvidia pueden quitar cobre o cables de los bastidores; Amphenol cubre ambas tecnologías [11, 19].</w:t>
            </w:r>
          </w:p>
        </w:tc>
      </w:tr>
    </w:tbl>
    <w:p>
      <w:pPr>
        <w:spacing w:after="160" w:before="0"/>
      </w:pPr>
    </w:p>
    <w:p>
      <w:pPr>
        <w:pStyle w:val="Heading2"/>
      </w:pPr>
      <w:r>
        <w:t xml:space="preserve">Ciclo</w:t>
      </w:r>
    </w:p>
    <w:p>
      <w:pPr>
        <w:spacing w:after="100"/>
      </w:pPr>
      <w:r>
        <w:t xml:space="preserve">Pedidos récord (relación pedidos/ventas 1,23-1,24 en los dos primeros trimestres de 2026) y crecimiento orgánico del 30-41 % durante seis trimestres indican expansión avanzada en centros de datos [2, 11, 16]. En 2009 las ventas de conectores cayeron con fuerza; en 2020 Amphenol creció un 5 %; en 2023 cayeron un 1 % por el ajuste de existencias tras 2022 [1]. Comunicaciones (−6 % orgánico) y automóvil (+6 %) van más flojos que IA y defensa [11].</w:t>
      </w:r>
    </w:p>
    <w:p>
      <w:pPr>
        <w:pStyle w:val="Heading2"/>
      </w:pPr>
      <w:r>
        <w:t xml:space="preserve">Regulación</w:t>
      </w:r>
    </w:p>
    <w:p>
      <w:pPr>
        <w:spacing w:after="100"/>
      </w:pPr>
      <w:r>
        <w:t xml:space="preserve">Aranceles de EE. UU.: la empresa recuperó 80 M USD de aranceles IEEPA en el 2T26 y los aranceles a China, México y Asia siguen siendo un riesgo de coste y de precio [2]. Controles de exportación de tecnología a China (el 16 % de las ventas de 2025 se envía a China) y sanciones [1]. Inspecciones fiscales en China con 390 M USD devengados [2]. No hay regulación sectorial específica de precios.</w:t>
      </w:r>
    </w:p>
    <w:p>
      <w:pPr>
        <w:pStyle w:val="Heading2"/>
      </w:pPr>
      <w:r>
        <w:t xml:space="preserve">Tendencias y disrupción</w:t>
      </w:r>
    </w:p>
    <w:p>
      <w:pPr>
        <w:spacing w:after="100"/>
      </w:pPr>
      <w:r>
        <w:t xml:space="preserve">La IA multiplica el contenido de interconexión por bastidor (cobre de alta velocidad dentro del bastidor, fibra entre bastidores, potencia) y Amphenol gana con las dos tecnologías desde que compró CCS [11]. El riesgo es la óptica integrada en el chip (CPO), que en 2028-2030 podría quitar parte del cobre; los rivales chinos (Luxshare, Foxconn Interconnect) ganan cuota en volumen [14, 19]. En automóvil, la electrificación sube el contenido aunque las ventas de coches no crezcan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fabricante mundial de conectores, con el 13,3 % del mercado en 2024 (11.511 M USD de ventas de conectores), detrás de TE Connectivity (14,9 %) [14]; con CCS y el crecimiento de 2025-2026 probablemente ya es el primero (estimación propia, sin ranking de 2025 publicado).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 Connectivity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automóvil e industria; menos expuesto a centros de datos. Ingresos = ventas de conectores de 2024 (Bishop); margen operativo de los últimos doce meses del grupo (19.322 M de ventas) [14,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Molex (Koch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fuerte en centros de datos, móviles y medicina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Aptiv (conectores)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APTV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solo automóvil; sin margen de la línea de conectores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Foxconn Interconnect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6088.HK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Cables y conectores para servidores y móviles de Hon Hai; compite en precio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Luxshare Precision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002475.SZ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 cuota en cables de alta velocidad para servidores de IA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Hirose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6806.T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Conectores de precisión para móviles e industria; ventas de doce meses convertidas a 158,13 JPY/USD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Japan Aviation Electronics (JAE)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6807.T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Décimo del ranking de 2024 (1.263 M en conectores); margen hundido en los últimos doce meses [14,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producto no gana valor con más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diseña con el cliente desde el inicio de cada plataforma; en defensa, aeronáutica y automóvil la calificación de un conector dura años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de alta velocidad, potencia y fibra (CCS); 6.400 empleados en I+D a finales de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en ≈ 40 países con costes bajos y unidades de negocio pequeñas y autónomas; margen operativo del 25-30 % frente al ≈ 21 % de TE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Segundo del mundo con el 13,3 % de un mercado de ≈ 99.000 M; la gama más amplia de la industria [2, 3].</w:t>
            </w:r>
          </w:p>
        </w:tc>
      </w:tr>
    </w:tbl>
    <w:p>
      <w:pPr>
        <w:spacing w:after="160" w:before="0"/>
      </w:pPr>
    </w:p>
    <w:p>
      <w:pPr>
        <w:pStyle w:val="Heading2"/>
      </w:pPr>
      <w:r>
        <w:t xml:space="preserve">Amenazas</w:t>
      </w:r>
    </w:p>
    <w:p>
      <w:pPr>
        <w:spacing w:after="100"/>
      </w:pPr>
      <w:r>
        <w:t xml:space="preserve">Lo que más puede erosionar el foso es tecnológico: si la óptica integrada en el chip (CPO) llega antes de lo previsto, o si Nvidia cambia la arquitectura de sus bastidores (en 2024 ya se temió que cambiara cables por placas), parte del contenido de cobre de Amphenol desaparece [19]. Probabilidad media a 3-5 años; CCS (fibra) lo mitiga. Segundo, la competencia china en cables de alta velocidad (Luxshare) presiona precios en volumen [14]. Tercero, la concentración de la demanda de IA en pocas nubes da poder de negociación a esos clientes.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2016-2025: ingresos </w:t>
      </w:r>
      <w:r>
        <w:rPr>
          <w:b/>
          <w:bCs/>
        </w:rPr>
        <w:t xml:space="preserve">15,6 %</w:t>
      </w:r>
      <w:r>
        <w:t xml:space="preserve">, EBITDA </w:t>
      </w:r>
      <w:r>
        <w:rPr>
          <w:b/>
          <w:bCs/>
        </w:rPr>
        <w:t xml:space="preserve">19,0 %</w:t>
      </w:r>
      <w:r>
        <w:t xml:space="preserve">, BPA </w:t>
      </w:r>
      <w:r>
        <w:rPr>
          <w:b/>
          <w:bCs/>
        </w:rPr>
        <w:t xml:space="preserve">19,9 %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6.286 M USD en 2016 a 23.095 M en 2025 (+52 % en 2025, +38 % orgánico) y a 29.012 M en los doce meses a junio de 2026 [1, 4, 9]. Hasta 2023 el crecimiento era de un dígito alto con compras (2023: −1 % en dólares); el salto de 2024-2026 lo explica el mercado de centros de datos (IT datacom pasó del ≈ 20 % de las ventas en 2023 al 36 % en 2025 y al 43 % en el 2T26) y una racha de compras: CIT, Andrew, Trexon y CommScope CCS (10.500 M USD, la mayor de su historia) [1, 2, 11]. En el 1S26 el crecimiento fue del 57 %, del que 24 puntos son compras y 32 orgánicos [4]. El margen operativo pasó del 20,4 % de 2023 al 25,4 % de 2025 y al 29,5 % del 2T26 (29,8 % ajustado, con 80 M de devolución de aranceles IEEPA) por volumen, mezcla de productos de alta velocidad y apalancamiento operativo [4, 6]. 2025 no es comparable en balance (caja y deuda de CCS prefinanciadas) y 2026 llevará un año completo de CCS (4.600 M de ventas previstas) [4].</w:t>
      </w:r>
    </w:p>
    <w:p>
      <w:pPr>
        <w:pStyle w:val="Heading2"/>
      </w:pPr>
      <w:r>
        <w:t xml:space="preserve">Ajustes y partidas no recurrentes</w:t>
      </w:r>
    </w:p>
    <w:p>
      <w:pPr>
        <w:spacing w:after="100"/>
      </w:pPr>
      <w:r>
        <w:t xml:space="preserve">El BPA ajustado de la empresa excluye los gastos de adquisición, el aumento de valor de existencias compradas, el beneficio fiscal de las opciones ejercidas y partidas fiscales discretas, pero NO excluye la amortización de intangibles comprados: por eso el ajustado y el publicado casi coinciden (2025: 3,34 USD antes del split en los dos) [1, 6]. En el 1S26 el publicado (2,10 antes del split) quedó por debajo del ajustado (2,42) por 290 M de devengos fiscales en China (decisiones desfavorables de inspecciones de años anteriores, 230 M de avisos de pago más 160 M por reestimar otros años) y 132 M de revalorización de existencias de CCS [3, 4]. El LTM lleva un ingreso no recurrente de 80 M por la devolución de aranceles IEEPA (2T26), que se resta en no_recurrentes_en_ebitda [4]. El análisis usa el BPA ajustado, en acciones de hoy, para la historia del PER y la regla a 12 meses.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BPA ajustado en acciones de hoy (el publicado entonces, dividido por el split de sep-2026); EBITDA = resultado operativo publicado + amortizaciones del estado de flujos [4, 5, 6, 7]. «vs consenso» con el BPA estimado de Yahoo antes de cada resultado (3T25 0,40 frente a 0,465; 4T25 0,47 frente a 0,485; 1T26 0,47 frente a 0,53; 2T26 0,60 frente a 0,675).</w:t>
      </w:r>
    </w:p>
    <w:p>
      <w:pPr>
        <w:spacing w:after="100"/>
      </w:pPr>
      <w:r>
        <w:t xml:space="preserve">En la conferencia del 2T26 (29-jul) la dirección habló de «la revolución de la electrónica»: IT datacom fue el 43 % de las ventas, +89 % en dólares y +63 % orgánico, con IA creciendo más que eso y la inferencia más que el entrenamiento; los clientes «necesitan más de todo» (cobre de alta velocidad, fibra y potencia) y la única dependencia que reconoce es que siga la inversión [11]. Pedidos récord de 10.732 M (relación pedidos/ventas 1,23) y CommScope por encima del plan (4.600 M de ventas y 0,30 USD de BPA en 2026, antes 4.100 M y 0,15) por mejoras de fábrica y de compras, no por precio [4, 11]. Frente al 1T26 (pedidos de 9.400 M, relación 1,24, tipo impositivo ajustado del 27 % por China e intereses de ≈ 200 M por trimestre) el discurso pasó de integrar CCS a capacidad: inversión en el máximo del 3-4 % de las ventas [11, 12]. Los analistas preguntaron por la parte de fibra en las ventas de IA, la arquitectura de los bastidores (cobre frente a óptica), cuellos de botella en fibra y la inversión de CCS; la dirección no desglosó la fibra en IA, no aisló la inversión de CCS y evitó hablar de programas de clientes concretos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Andrew (redes móviles de CommScope, 2.023 M USD, desde el 31-ene-2025) y Trexon (1.050 M USD, desde nov-2025) entran en la cuenta; además, el balance de cierre lleva la caja (11.131 M) y la deuda emitida para pagar CCS, que se cerró el 9-ene-2026 y no está en la cuenta de 2025 [1, 13].; 2024: CIT (Carlisle Interconnect Technologies, 2.025 M USD) consolidada desde mayo de 2024: entra en balance y en ocho meses de cuenta [1].; 2021: MTS Systems (abril de 2021; se quedó la parte de sensores y vendió la de ensayos) y Halo: compras por 2.225 M USD en el año [8].).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era casi nula antes de CCS (2024: 3.569 M, 0,96 veces el EBITDA) y saltó a 13.392 M a junio de 2026 (deuda 18.811 − caja e inversiones 5.419), 1,3 veces el EBITDA según la dirección [2, 11]. El circulante comercial sube con las ventas: clientes de 4.717 a 6.790 M y existencias de 3.425 a 4.552 M en seis meses (con CCS), y restó 1.176 M de caja en el 1S26 [2]. Con el flujo libre actual (≈ 4.700 M en doce meses) la deuda neta de CCS se paga en unos tres años sin cortar el dividendo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16.783</w:t>
      </w:r>
      <w:r>
        <w:t xml:space="preserve">, conversión </w:t>
      </w:r>
      <w:r>
        <w:rPr>
          <w:b/>
          <w:bCs/>
        </w:rPr>
        <w:t xml:space="preserve">98 %</w:t>
      </w:r>
      <w:r>
        <w:t xml:space="preserve"> del beneficio neto; adquisiciones 12.176, dividendos 3.931, recompras 6.454.</w:t>
      </w:r>
    </w:p>
    <w:p>
      <w:pPr>
        <w:spacing w:after="100"/>
      </w:pPr>
      <w:r>
        <w:t xml:space="preserve">La conversión es buena: el flujo libre (operativo − inversión neta) fue de 4.393 M USD en 2025, el 103 % del beneficio neto, y de 2.037 M en el 1S26 (75 % del beneficio, con 1.176 M de circulante consumido por el crecimiento) [4, 6]. La inversión pasó del 2,5-3 % de las ventas en 2016-2023 al 4,3 % en 2025 y al 4,0 % en el 1S26, en el máximo del rango del 3-4 % que da la dirección, por capacidad para IT datacom [1, 4, 11]. Estimación propia: el mantenimiento es ≈ la depreciación del inmovilizado (≈ 2,5 % de las ventas) y el resto es crecimiento. Las compras consumieron 3.819 M en 2025 y 10.684 M en el 1S26 (CCS), financiadas con bonos, préstamos y caja [2]. Recompras modestas (665 M en 2025) y dividendos crecientes (802 M en 2025)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con el control interno también favorable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y conservadoras: el BPA ajustado de la empresa no quita la amortización de intangibles comprados, la remuneración en acciones es baja (135 M en 2025, 0,6 % de las ventas) y no hay deterioros de fondo de comercio en la historia de la empresa [1]. Tres asuntos a vigilar: (1) el fondo de comercio y los intangibles (22.844 M a junio de 2026) superan ya al patrimonio (15.492 M), por CCS [2]; (2) los devengos fiscales en China (390 M entre el 4T25 y el 1T26) muestran que el tipo impositivo histórico del 20-24 % tenía riesgo [3]; (3) el ajustado resta el beneficio fiscal de las opciones ejercidas (247 M en 2025), que se repite cada año con los directivos ejerciendo opciones [1]. Los indicadores del motor (Altman Z, Piotroski F y Beneish M) se leen con cautela en 2024-2025, años con compras grandes y caja prefinanciada.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por encima del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22.844 M frente a 15.492 M a jun-2026 tras CCS (10.736 M de activos netos comprados, 7.008 M de fondo de comercio)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Devengos fiscales en China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M en el 4T25 y 290 M en el 1T26 (avisos de pago de 230 M y reestimación de otros años); tipo ajustado guiado al 27 % frente al 24,5 % de 2025 [3,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fiscal de opciones excluido del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247 M en 2025 y 131 M en el 1S26: el ajustado es algo más prudente que el publicado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+44 % y existencias +33 % en el 1S26 con ventas +57 %: acorde con el crecimiento y con CCS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10.575 M en 2025 (el 60 % del capital invertido medio); ha subido más de un 5 % en 6 de 9 años: comprador en serie. ROIC publicado 28,8 %; sin fondo de comercio, 72,3 %.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36,5 % · </w:t>
      </w:r>
      <w:r>
        <w:rPr>
          <w:b/>
          <w:bCs/>
        </w:rPr>
        <w:t xml:space="preserve">WACC</w:t>
      </w:r>
      <w:r>
        <w:t xml:space="preserve">: 11,0 %.</w:t>
      </w:r>
    </w:p>
    <w:p>
      <w:pPr>
        <w:spacing w:after="100"/>
      </w:pPr>
      <w:r>
        <w:t xml:space="preserve">El ROIC con el fondo de comercio fue del 28,8 % en 2025 y del 19-21 % en 2016-2024, siempre por encima del WACC del 11 % que usamos; sin el fondo de comercio, del 72 % [1]. Es un comprador en serie: el fondo de comercio es el 60 % del capital invertido, y por eso el ROIC publicado es el que cuenta. CCS (10.500 M USD, comprada en enero de 2026) diluye la cifra: con el resultado de los últimos doce meses a junio de 2026 (7.841 M de resultado operativo, ≈ 5.720 M después de impuestos) y el capital de junio (patrimonio 15.492 + deuda neta 13.392 [2]), el ROIC baja a ≈ 20 %, 9 puntos sobre el WACC. El ROIC incremental de 2016-2025 es del 36,5 %: cada dólar invertido en compras y en fábricas ha rendido más que el anterior, porque compra a 7-11 veces el EBITDA y sube el margen de lo comprado [13, 33, 34]. Parte del salto de 2025 es cíclico: el margen operativo pasó del 20,7 % en 2024 al 25,4 % en 2025 con la IA.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5.419 M USD a 30-jun-2026 y línea de crédito revolvente sin disponer; liquidez total de ≈ 8.400 M según la dirección [2,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papel comercial A-2 (S&amp;P) y P-2 (Moody's) [1]; S&amp;P subió la calificación a largo plazo a A- en mayo de 2026 según prensa (sin el informe de la agencia).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bruta de 18.811 M USD a 30-jun-2026 (1.634 M a corto): bonos en dólares y euros de 2027 a 2055 y dos préstamos de la compra de CCS (934 M a 364 días y 1.534 M a tres años) [2]. Pensiones: 158,9 M de obligaciones netas en el balance [2]. Arrendamientos operativos de 649 M de pagos futuros (US GAAP: dentro del EBITDA, fuera de la deuda) [1]. Impuestos: 230 M de avisos de pago en China ya devengados y 160 M más por reestimar años anteriores (1T26); la inspección sigue y puede haber más [3]. Sin pagos aplazados de compras relevantes, sin factoring declarado. Los covenants del crédito y de los préstamos se cumplen con holgura según la empresa [1, 2].</w:t>
      </w:r>
    </w:p>
    <w:p>
      <w:pPr>
        <w:pStyle w:val="Heading1"/>
      </w:pPr>
      <w:r>
        <w:t xml:space="preserve">12. Asignación de capital</w:t>
      </w:r>
    </w:p>
    <w:p>
      <w:pPr>
        <w:pStyle w:val="Confianza"/>
        <w:spacing w:after="100"/>
      </w:pPr>
      <w:r>
        <w:t xml:space="preserve">Confianza: Alta</w:t>
      </w:r>
    </w:p>
    <w:p>
      <w:pPr>
        <w:spacing w:after="100"/>
      </w:pPr>
      <w:r>
        <w:t xml:space="preserve">Prioridades declaradas: crecer (inversión e I+D), comprar empresas y devolver caja con dividendo y recompras [1]. Dividendo trimestral de 0,25 USD antes del split (0,125 después) desde el 3T25, +52 % sobre los 0,165 anteriores; programa de recompra de 2.000 M hasta abril de 2027, del que se han usado 386 M en el 1S26 [2, 10]. Tras CCS la caja se dedica a bajar deuda; la dirección no ha anunciado recompras extraordinarias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CommScope CCS (fibra óptica para centros de datos, banda ancha y edificios)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nov-2025, préstamos a 364 días y tres años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previstas en 2026 de 4.600 M frente a 4.100 M al cerrar y BPA +0,30 USD frente a +0,15 (antes del split); IT datacom pasa a casi la mitad de sus ventas [4, 11,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Trexon (cables y conectores de alta fiabilidad para defensa)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Harsh Environment, que creció un 22 % orgánico en el 1S26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(antenas exteriores y DAS de CommScope)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Comunicaciones sigue débil en orgánico (−6 % en el 2T26): la compra aporta volumen, no crecimiento [1,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 (interconexión para aeronáutica y defensa, de Carlisle)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bonos de abril de 2024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 de defensa y aeronáutica (+24 % y +21 % orgánico en el 2T26) [1,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 (PCTEL, Airmar,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MTS Systems (sensores; vendió la parte de ensayos) y Halo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Sensores integrados en Interconnect and Sensor Systems, el segmento que menos crece (+15 % orgánico en el 1S26) [2,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FCI (conectores,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 parte de la gama de alta velocidad [9].</w:t>
            </w:r>
          </w:p>
        </w:tc>
      </w:tr>
    </w:tbl>
    <w:p>
      <w:pPr>
        <w:spacing w:after="160" w:before="0"/>
      </w:pPr>
    </w:p>
    <w:p>
      <w:pPr>
        <w:spacing w:after="100"/>
      </w:pPr>
      <w:r>
        <w:t xml:space="preserve">Amphenol es un comprador en serie disciplinado: ha invertido ≈ 21.000 M USD en compras desde 2016, sin un solo deterioro, y las grandes (CIT, Andrew, CCS) se pagaron a 7-11 veces el EBITDA, por debajo de su propio múltiplo [1, 13]. El crecimiento del BPA ajustado de 0,47 USD (2019) a 1,67 (2025) en acciones de hoy viene a la vez de compras y de crecimiento orgánico; la dilución es baja (acciones diluidas de 2.522 M en 2016 a 2.555 M en 2025, con las recompras compensando las opciones) [9]. CCS rompe el patrón: es una compra grande y apalancada (deuda neta de ≈ 0 a 13.392 M) justo en el pico del ciclo de centros de datos; por ahora ha salido mejor de lo previsto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 Adam Norwitt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Amphenol desde 1998; consejero delegado desde 2009 y presidente del consejo desde mayo de 2026 [22, 25]. Con él las ventas pasaron de ≈ 2.800 M USD (2009) a 23.095 M (2025) y el BPA se multiplicó con crecimiento orgánico y más de 20.000 M en compras sin deterioros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A. Lampo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2015; antes interventor (2004-2015) y tesorero. Ha financiado CCS con bonos en dólares y euros y préstamos a plazo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J. Doherty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división Communications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división de IT datacom y CCS: ventas +91 % en 2025 (71 % orgánico) y margen del 33,6 % en el 2T26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 Walter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división Harsh Environment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años en la empresa; pasa a un cargo de programas estratégicos el 1-ene-2027 y le sucede Ryan Fisher (militar de Norteamérica)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J. Straub</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división Interconnect and Sensor Systems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del grupo de sensores; su división es la de menos margen (21,0 % en el 2T26)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Lance E. D'Amico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secretario y director jurídico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desde 2016 [22].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3.040-3.100 M USD; BPA ajustado 0,71-0,73 (antes de los splits de 2024 y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3.256 M; BPA 0,80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4.000-4.100 M; BPA 0,49-0,51 (antes del split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4.811 M; BPA 0,63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4.900-5.000 M; BPA 0,64-0,66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5.650 M; BPA 0,81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22.660-22.760 M; BPA 3,26-3,28 (oct-2025)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23.095 M; BPA 3,34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6.900-7.000 M; BPA 0,91-0,93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7.620 M; BPA 1,06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8.100-8.200 M; BPA 1,14-1,16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8.758 M; BPA 1,35 (0,04 de aranceles recuperados)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muy estable y de la casa: el consejero delegado lleva 17 años en el cargo, el director financiero 11 y los presidentes de división vienen de dentro [22]. La credibilidad es alta: la empresa da guía trimestral y la ha superado en todos los trimestres revisados, en 2025-2026 por 7-15 % en ventas [4]. Riesgo de persona clave: Norwitt (56 años) concentra ahora la presidencia y la dirección; el consejero independiente coordinador (Falck, 73 años) es el contrapeso [22, 25]. Sucesión en divisiones ordenada (Walter → Fisher, anunciada con tres meses) [27].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 Adam Norwitt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P. Falck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Nancy A. Altobello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Retribuciones,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Sanjiv Lamba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Rita S. Lane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A. Livingston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 (presidente),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Prahlad Singh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Anne Clarke Wolff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Finanzas,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con el control interno también favorable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1,29 / ventas 309,30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Bajan por ejercicio y venta de opciones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Craig A. Lampo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 Adam Norwitt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686.104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 Adam Norwitt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Craig A. Lampo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 Adam Norwitt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A. Livingston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Craig A. Lampo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298.076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depende del crecimiento de las ventas en moneda constante y del BPA ajustado (objetivo 7 % y 11 %, máximo 200 % con 17,5 % y 27,5 %); en 2025 se pagó el máximo (ventas +51 %, BPA +77 %) [22]. El largo plazo son solo opciones sobre acciones que consolidan por tiempo, sin condición de rentabilidad sobre el capital ni de rentabilidad para el accionista: premian la subida de la acción, no el ROIC [22]. Remuneración total del consejero delegado de 22,35 M USD en 2025 (17,16 M en 2024); «compensación realmente pagada» de 141,6 M por la revalorización de sus opciones; 1.188 veces el empleado mediano (un operario en China) [22]. Hay política de recuperación (clawback) [22]. La junta de 2026 aprobó la remuneración con el 91,7 % a favor y el 7,7 % en contra [23].</w:t>
      </w:r>
    </w:p>
    <w:p>
      <w:pPr>
        <w:pStyle w:val="Heading2"/>
      </w:pPr>
      <w:r>
        <w:t xml:space="preserve">Operaciones vinculadas, estructura de control y defensas</w:t>
      </w:r>
    </w:p>
    <w:p>
      <w:pPr>
        <w:spacing w:after="100"/>
      </w:pPr>
      <w:r>
        <w:t xml:space="preserve">Sin accionista de control: los tres primeros son gestoras indexadas o activas (Vanguard 10,2 %, BlackRock 8,0 %, FMR 7,0 %) [22]. Una sola clase de acciones con un voto. Consejo de ocho miembros con siete independientes, elegidos cada año [22, 23]. Desde mayo de 2026 el consejero delegado preside también el consejo, con un consejero independiente coordinador (Falck); el 5,4 % votó en contra de Norwitt como consejero y el 4,8 % contra Falck [23, 25]. No hay operaciones vinculadas relevantes ni blindajes conocidos.</w:t>
      </w:r>
    </w:p>
    <w:p>
      <w:pPr>
        <w:pStyle w:val="Heading2"/>
      </w:pPr>
      <w:r>
        <w:t xml:space="preserve">Señales de alerta</w:t>
      </w:r>
    </w:p>
    <w:p>
      <w:pPr>
        <w:pStyle w:val="ListParagraph"/>
        <w:numPr>
          <w:ilvl w:val="0"/>
          <w:numId w:val="2"/>
        </w:numPr>
        <w:spacing w:after="60"/>
      </w:pPr>
      <w:r>
        <w:t xml:space="preserve">Ventas de directivos de 512 M USD en 12 meses, todas por ejercicio de opciones con precio de 22 USD (antes del split) y venta el mismo día; sin plan 10b5-1 declarado en los Form 4 [24].</w:t>
      </w:r>
    </w:p>
    <w:p>
      <w:pPr>
        <w:pStyle w:val="ListParagraph"/>
        <w:numPr>
          <w:ilvl w:val="0"/>
          <w:numId w:val="2"/>
        </w:numPr>
        <w:spacing w:after="60"/>
      </w:pPr>
      <w:r>
        <w:t xml:space="preserve">Unión de presidente y consejero delegado desde mayo de 2026 (Norwitt), con consejero coordinador independiente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da guía trimestral, no anual. Para el 3T26 (dada el 29-jul-2026): ventas de 9.300-9.400 M USD (+50-52 %) y BPA ajustado de 1,40-1,42 USD antes del split, 0,70-0,71 después (+51-53 %), sin más devoluciones de aranceles [30]. CCS: 4.600 M de ventas y +0,30 USD de BPA (antes del split) en 2026. Inversión en el máximo del 3-4 % de las ventas en el 2S26; intereses netos de ≈ 200 M por trimestre y tipo impositivo ajustado del 27 % [30]. Resultados del 3T26 el 28-oct-2026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18 analistas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19 analistas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85,00 – 116,00</w:t>
            </w:r>
          </w:p>
        </w:tc>
      </w:tr>
    </w:tbl>
    <w:p>
      <w:pPr>
        <w:spacing w:after="160" w:before="0"/>
      </w:pPr>
    </w:p>
    <w:p>
      <w:pPr>
        <w:pStyle w:val="Heading2"/>
      </w:pPr>
      <w:r>
        <w:t xml:space="preserve">Revisiones de estimaciones</w:t>
      </w:r>
    </w:p>
    <w:p>
      <w:pPr>
        <w:spacing w:after="100"/>
      </w:pPr>
      <w:r>
        <w:t xml:space="preserve">Al alza: el BPA de 2026 del consenso pasó de 2,45 USD hace 90 días a 2,69 hoy (+10 %) y el de 2027 de 2,92 a 3,33 (+14 %), tras el 2T26 y la mejora de CCS [30]. En octubre subieron el objetivo Goldman Sachs (116 USD), Citi (112), UBS (105), Evercore (100) y Bank of America (104); Bernstein empezó con Superar (99) [30, 39]. TD Cowen mantiene Mantener con 90 USD. Una sola fuente con estimaciones completas (Yahoo); el objetivo medio se contrasta con MarketBeat (96,85 USD) [40].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r>
    </w:tbl>
    <w:p>
      <w:pPr>
        <w:spacing w:after="160" w:before="0"/>
      </w:pPr>
    </w:p>
    <w:p>
      <w:pPr>
        <w:spacing w:after="100"/>
      </w:pPr>
      <w:r>
        <w:t xml:space="preserve">La acción ha multiplicado al índice: +33.5 % anual a cinco años frente al +12.7 % del SPY y +96 % en 2025 [29]. El motor es el ciclo de IA: la acción sube y baja con las noticias de inversión de las nubes y de Nvidia, con caídas de un día del 12 % (28-ene-2026, tras unos resultados mejores de lo esperado pero una guía del 1T26 que no bastó) y del 11,6 % (4-feb-2026, venta general de valores de IA) [37, 38]. Volatilidad de un año del 46.1 % y beta de 1.25 (semanal de dos años 1,58): ya no se comporta como una industrial defensiva [29]. Desde junio de 2026 se mueve en un rango de 75-90 USD (en acciones de hoy) [36].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 +1,6 % / +8,0 % / +25,3 %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 +34,2 %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sep-oct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(22-oct-2025) por encima de la guía y anuncio de la financiación de CCS [30,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12,2 % el 28-ene-2026 tras los resultados del 4T25: mejores de lo esperado, pero guía del 1T26 que el mercado consideró corta; el 4-feb, −11,6 % en la venta general de valores de IA [37,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mes sin un hecho propio identificado (−7,5 % el 2-mar); coincide con la corrección del sector de IA y la emisión de bonos de marzo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(29-abr): ventas de 7.620 M frente a una guía de 6.900-7.000 M y pedidos récord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19-may sin hecho propio confirmado; la prensa la atribuyó a la deuda de CCS y al miedo a la óptica frente al cobre en los bastidores de IA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hasta el 18-jun con la vuelta del sector de IA y notas positivas (Evercore «valor preferido», subidas de precios según Wedbush)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28-oct-2026 antes de la apertura; guía de 9.300-9.400 M de ventas y 0,70-0,71 USD de BPA [30,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sube el objetivo de 102 a 116 USD y Baird de 95 a 105; en octubre también Citi (112), UBS (105) y Evercore (100) [30,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Luc Walter deja la presidencia de Harsh Environment el 1-ene-2027 tras 43 años; le sucede Ryan Fisher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Split 2 por 1 efectuado (sin efecto económico); dividendo trimestral de 0,125 USD tras el split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de 512 M USD en 12 meses, todas por ejercicio de opciones (Norwitt 219 M, Lampo 90 M); la última, el 4-ago-2026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récord (ventas +55 %, BPA ajustado +67 %, pedidos de 10.732 M) y mejora de la previsión de CCS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bonos en euros (2029 y 2034) para refinanciar deuda de CCS; sin ampliación de capital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2026-01-09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compra de CommScope CCS por 10.500 M USD, la mayor de su historia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9,8 % por debajo de su máximo histórico (6-oct-2026) y un 34 % por encima del mínimo de 52 semanas, con tendencia alcista (6 % sobre la media de 200 sesiones) y sin avisos P1-P5 [36]. Los movimientos fuertes tienen causa en resultados o en el sentimiento sobre la IA, no en hechos propios negativos. No hay colocaciones, ampliaciones ni litigios pendientes; las ventas de directivos son ejercicios de opciones que vencen, y se tratan como información, no como señal. Los resultados del 28-oct no retrasan la decisión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en acciones de hoy (Yahoo ajusta los tres splits) [29]. El PER adelantado (cierre ÷ BPA ajustado del año siguiente) se movió entre 21x y 29x en 2020-2025, con mediana de ≈ 25x; hoy cotiza a un múltiplo parecido sobre un BPA que se ha duplicado en dos años. El EV/EBITDA de los últimos doce meses sube de ≈ 15-17x antes de 2023 a ≈ 23x hoy, porque el precio ha subido más que el EBITDA de un negocio que el mercado ve ya como «infraestructura de IA».</w:t>
      </w:r>
    </w:p>
    <w:p>
      <w:pPr>
        <w:pStyle w:val="Heading1"/>
      </w:pPr>
      <w:r>
        <w:t xml:space="preserve">18. Comparables cotizados</w:t>
      </w:r>
    </w:p>
    <w:p>
      <w:pPr>
        <w:pStyle w:val="Confianza"/>
        <w:spacing w:after="100"/>
      </w:pPr>
      <w:r>
        <w:t xml:space="preserve">Confianza: Media</w:t>
      </w:r>
    </w:p>
    <w:p>
      <w:pPr>
        <w:spacing w:after="100"/>
      </w:pPr>
      <w:r>
        <w:t xml:space="preserve">Fabricantes de conectores y componentes de interconexión (TE Connectivity, Littelfuse, Sensata, Belden, JAE) y dos proveedores del mismo ciclo de centros de datos con su propio múltiplo: Corning (fibra, competidor directo de CCS), Vertiv (potencia y refrigeración) y Celestica (montaje de redes y servidores) [30]. Molex no cotiza; Hirose se excluye porque Yahoo no da su BPA adelantado coherente (crecimiento de ventas del 65 % mal medido); Yageo, por ser componentes pasivos. Datos de Yahoo de la sesión del 21-oct-2026 (precios casi iguales al cierre del 20-oct); JPY a 158,13 por USD. PER de los próximos 12 meses con el BPA del consenso; sin EBITDA adelantado de la misma fuente, el EV/EBITDA es de los últimos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Amphenol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 Connectivity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Corning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Littelfuse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Sensata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Belden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Japan Aviation Electronics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Celestica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15,3x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 / 18,5x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 / 2,8x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r>
    </w:tbl>
    <w:p>
      <w:pPr>
        <w:spacing w:after="160" w:before="0"/>
      </w:pPr>
    </w:p>
    <w:p>
      <w:pPr>
        <w:spacing w:after="100"/>
      </w:pPr>
      <w:r>
        <w:t xml:space="preserve">La mediana del PER de los próximos 12 meses de los comparables es de ≈ 18.5x. Amphenol cotiza por encima de los conectores clásicos (TE ≈ 16x, Sensata y Belden ≈ 10-11x, JAE ≈ 13x) y cerca de los proveedores de IA (Vertiv, Corning), porque crece más (ventas +54 % en 2026 y +20 % en 2027 según el consenso) y tiene más margen (EBITDA del 33 % en los últimos doce meses frente al 26 % de TE) [30]. La prima frente a TE (≈ 50 %) se justifica en parte por el crecimiento y el ROIC, pero supone que el ciclo de IA sigue: si Amphenol creciera como TE (≈ 10 %), su múltiplo debería acercarse al de TE.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CommScope CCS (fibra para centros de datos, banda ancha, edificios)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Amphenol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3.600 M y margen EBITDA del 26 % previstos para 2025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Trexon (interconexión de alta fiabilidad para defensa)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Amphenol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 ni EBITDA publicados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Richards Manufacturing (conectores y accesorios para redes eléctricas)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 Connectivity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 400 M y margen EBITDA de «mid-30s» (35 % para el cálculo)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móviles de CommScope (antenas exteriores y DAS, Andrew)</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Amphenol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1.200 M y margen EBITDA del 25 % previstos para 2024; negocio en declive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 (Carlisle Interconnect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900 M y margen EBITDA ajustado del 20 % previstos para 2024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(10,1x – 12,6x)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30,40 – 38,92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del sector se han pagado a 7-16 veces el EBITDA (mediana ≈ 11x): muy por debajo de las ≈ 23 veces del EBITDA de los últimos doce meses a las que cotiza Amphenol [13, 33, 34, 35]. Eso explica por qué comprar crea valor para Amphenol (compra a 11x lo que la bolsa le paga a 20x o más), pero no sirve para valorar la propia Amphenol: con 200.000 M USD de capitalización y sin accionista de control, no es objeto probable de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(+54,4 %, fijo) es el consenso de ventas [30]: 16.378 M reales en el 1S26 + la guía del 3T26 (9.300-9.400 M) + ≈ 9.900 M en el 4T26 con pedidos/ventas de 1,23 [4]; CCS aporta ≈ 4.600 M y el orgánico ≈ 30 %. 2027e +17 % (≈ 4 puntos de CCS todo el año y 13 de orgánico), por debajo del consenso (+19,6 %), porque la cartera de pedidos da visibilidad de meses, no de años. Después baja deprisa: +9 % en 2028e y del 6 % al 4 % en 2029e-2033e, más que el mercado de conectores (3,7 % previsto [16]) por el contenido de cada servidor y la cuota ganada, y menos que el 15,6 % histórico.</w:t>
      </w:r>
    </w:p>
    <w:p>
      <w:pPr>
        <w:keepNext/>
        <w:spacing w:after="100"/>
      </w:pPr>
      <w:r>
        <w:rPr>
          <w:b/>
          <w:bCs/>
        </w:rPr>
        <w:t xml:space="preserve">Márgenes.</w:t>
      </w:r>
    </w:p>
    <w:p>
      <w:pPr>
        <w:spacing w:after="100"/>
      </w:pPr>
      <w:r>
        <w:t xml:space="preserve">Margen EBITDA = EBITDA ajustado de la empresa menos 0,5 puntos de gastos de compras que se repiten: 32,8 % en 2026e (33,7 % ajustado en el 1S26 [4]), 33,0 % en 2027e y bajada al 31,0 % desde 2031e. El margen de 2025-2026 está en máximos por el volumen de IA (Communications Solutions al 33,6 % en el 2T26 [11]); el 31 % final supone que la competencia de Luxshare y Foxconn en cables de alta velocidad y la vuelta a una mezcla normal quitan parte del pico, sin volver al 24-25 % de 2022-2024.</w:t>
      </w:r>
    </w:p>
    <w:p>
      <w:pPr>
        <w:keepNext/>
        <w:spacing w:after="100"/>
      </w:pPr>
      <w:r>
        <w:rPr>
          <w:b/>
          <w:bCs/>
        </w:rPr>
        <w:t xml:space="preserve">Inversión y circulante.</w:t>
      </w:r>
    </w:p>
    <w:p>
      <w:pPr>
        <w:spacing w:after="100"/>
      </w:pPr>
      <w:r>
        <w:t xml:space="preserve">Capex del 4,0 % de las ventas en 2026e-2027e (647 M en el 1S26, guía en el máximo del 3-4 % [4]) que baja al 3,6 %; amortización total del 4,3 % al 3,5 % (con los intangibles de CCS). Circulante del 22 % de las ventas (clientes 6.790 + existencias 4.552 − proveedores 4.009 = 7.333 M en junio de 2026, el 21 % de las ventas anualizadas del 2T26 [2]). No se proyectan compras nuevas: crecer por compras costaría capital que el DCF no cuenta.</w:t>
      </w:r>
    </w:p>
    <w:p>
      <w:pPr>
        <w:keepNext/>
        <w:spacing w:after="100"/>
      </w:pPr>
      <w:r>
        <w:rPr>
          <w:b/>
          <w:bCs/>
        </w:rPr>
        <w:t xml:space="preserve">Coste del capital.</w:t>
      </w:r>
    </w:p>
    <w:p>
      <w:pPr>
        <w:spacing w:after="100"/>
      </w:pPr>
      <w:r>
        <w:t xml:space="preserve">Tasa libre del 5,12 % (bono a 10 años, 20-oct-2026 [31]); beta de 1,20, entre la ajustada (1,17) y la mensual a 5 años (1,25) [29]; prima del 5,5 %; coste de la deuda del 5,0 % antes de impuestos (bonos de 2025-2026 al 3,4-5,4 % [41]) y peso de la deuda del 9 % a valor de mercado. WACC del 11,0 %. Con la prima implícita del mercado (4,2 % [32]) el WACC sería del 9,6 %.</w:t>
      </w:r>
    </w:p>
    <w:p>
      <w:pPr>
        <w:keepNext/>
        <w:spacing w:after="100"/>
      </w:pPr>
      <w:r>
        <w:rPr>
          <w:b/>
          <w:bCs/>
        </w:rPr>
        <w:t xml:space="preserve">Valor terminal.</w:t>
      </w:r>
    </w:p>
    <w:p>
      <w:pPr>
        <w:spacing w:after="100"/>
      </w:pPr>
      <w:r>
        <w:t xml:space="preserve">Crecimiento a perpetuidad del 3,0 %: la electrónica crece algo más que el PIB nominal por el contenido de cada equipo (automóvil eléctrico, centros de datos, defensa). El múltiplo de salida implícito (8,1 veces el EBITDA) es muy inferior a los 24 veces de hoy y a los 13-17 de 2016-2022 [29]: es la forma en que el WACC del 11 % castiga el valor terminal.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7.492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(reinvierte el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 (histórico: 36,5 %)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 frente al 13,2 %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7.492 M, el 9 % del NOPAT, con un capex bruto medio del 3,8 % de las ventas). En un negocio de activos ligeros, el crecimiento medio del 13,2 %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12 % (IT datacom con pedidos/ventas de 1,23 y las nuevas plataformas de IA; industria y defensa al 8-10 %), precio del 1 % y 4 puntos de perímetro (CCS todo el año frente a once meses y medio en 2026, y Trexon) [4,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7 %: la inversión de las nubes deja de subir al 40-60 % anual [18]; precio del 1 % y 1 punto de perímetro residual.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y precio del 1 %; el centro de datos crece con el mercado, la fibra de CCS y la defensa compensan comunicaciones y móviles.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y precio del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3,5 % y precio del 1 %: converge hacia el mercado de conectores (3,7 % previsto [16]) más medio punto de ganancia de cuota.</w:t>
            </w:r>
          </w:p>
        </w:tc>
      </w:tr>
    </w:tbl>
    <w:p>
      <w:pPr>
        <w:spacing w:after="160" w:before="0"/>
      </w:pPr>
    </w:p>
    <w:p>
      <w:pPr>
        <w:spacing w:after="100"/>
      </w:pPr>
      <w:r>
        <w:t xml:space="preserve">Sí, con matiz. El crecimiento proyectado después de 2026e (7,3 % medio en 2027e-2033e) está por debajo del histórico (15,6 % anual en 2016-2025, la mitad orgánico) y casi no necesita capital: el capex del 3,6-4,0 % de las ventas apenas supera la amortización, y el ROIC (28,8 % en 2025; ≈ 20 % con CCS) está muy por encima del WACC [1]. La cuota (13,3 % del mercado de conectores en 2024 [14]) solo sube unos puntos: no hace falta quitarle el mercado a TE ni a Molex. El motor también da «Sí». El matiz no es la calidad sino el ciclo: el 43 % de las ventas es IT datacom y depende de la inversión de cuatro nubes; si se frena, el riesgo es de nivel (2027e-2028e), no de capacidad de crecer. mercado_final va a null porque la cuota medida es solo de conectores y Amphenol vende además sensores y antenas (≈ 15-20 %).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 (base: 7,3 %)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 (base: 31,0 %)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11,0 %)</w:t>
            </w:r>
          </w:p>
        </w:tc>
      </w:tr>
    </w:tbl>
    <w:p>
      <w:pPr>
        <w:spacing w:after="160" w:before="0"/>
      </w:pPr>
    </w:p>
    <w:p>
      <w:pPr>
        <w:spacing w:after="100"/>
      </w:pPr>
      <w:r>
        <w:t xml:space="preserve">El DCF da 39,47 USD por acción, un 50,2 % bajo el precio, con un WACC del 11,0 % y un valor terminal que pesa el 59 %. El DCF inverso dice que el precio descuenta un crecimiento del 22,5 % anual en 2027e-2033e con nuestro margen, tres veces el 7,3 % de nuestro base; o, dicho de otra manera, una rentabilidad anual del 7,2 % frente al 11,0 % que pedimos. Con la prima del mercado (4,2 %, WACC del 9,6 %) el DCF sube a 49,17 USD, todavía un 38 % bajo el precio. Para justificar 79 USD hacen falta las dos cosas a la vez: que la IA siga creciendo a doble dígito durante siete años y que el margen se quede en el pico.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Digestión de la inversión en IA en 2027-2028, como la de 2001 en telecomunicaciones: las nubes frenan su capex tras dos años de subidas del 40-60 %, los ODM reducen existencias y los cables de cobre de alta velocidad pierden parte del rack frente a la óptica integrada. Ventas +5 % en 2027e y −6 % en 2028e, margen 3-4 puntos menor esos años y 2 puntos menor después, y WACC +0,5.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sigue creciendo pero más despacio (+17 % en 2027e, +9 % en 2028e) y CCS cumple el plan; el margen baja del 33 % al 31 % con la competencia asiática en cables.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segunda ola (inferencia, redes de 1,6T, centros de datos soberanos) mantiene IT datacom al 30 %+ un año más: ventas +21 % y +13 % en 2027e-2028e y margen un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79,3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37,26 USD (-53,0 %).</w:t>
      </w:r>
    </w:p>
    <w:p>
      <w:pPr>
        <w:spacing w:after="100"/>
      </w:pPr>
      <w:r>
        <w:t xml:space="preserve">Los tres escenarios del DCF quedan bajo el precio (bajista 23,86 USD, −69,9 %; base 39,47, −50,2 %; alcista 46,24, −41,7 %): con un WACC del 11 %, ni el alcista justifica 79 USD. El bajista no es una catástrofe sino una pausa de dos años en la inversión en IA. El valor ponderado de los escenarios (37,26 USD) queda un 53 % bajo el precio.</w:t>
      </w:r>
    </w:p>
    <w:p>
      <w:pPr>
        <w:pStyle w:val="Heading1"/>
      </w:pPr>
      <w:r>
        <w:t xml:space="preserve">22. Suma de partes</w:t>
      </w:r>
    </w:p>
    <w:p>
      <w:pPr>
        <w:pStyle w:val="Confianza"/>
        <w:spacing w:after="100"/>
      </w:pPr>
      <w:r>
        <w:t xml:space="preserve">Confianza: Media</w:t>
      </w:r>
    </w:p>
    <w:p>
      <w:pPr>
        <w:spacing w:after="100"/>
      </w:pPr>
      <w:r>
        <w:t xml:space="preserve">No aplica: los tres segmentos (Communications Solutions, Harsh Environment Solutions e Interconnect and Sensor Systems; CCS dentro de Communications) fabrican lo mismo, conectores, cables y sensores, con la misma organización descentralizada, los mismos clientes industriales y márgenes parecidos (27-34 % operativo en el 2T26) [2]. Separarlos no revela valor escondido: los comparables de cada uno serían los mismos (TE, Molex, Corning en fibra).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79,3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intrínseco ponderado (largo plazo):</w:t>
      </w:r>
      <w:r>
        <w:t xml:space="preserve"> 41,45 USD (-47,7 % sobre 79,32).</w:t>
      </w:r>
    </w:p>
    <w:p>
      <w:pPr>
        <w:spacing w:after="100"/>
      </w:pPr>
      <w:r>
        <w:t xml:space="preserve">Pesos: DCF 40 %, escenarios 45 % y comparables 15 %. El DCF y los escenarios mandan porque el negocio es estable fuera de la IA y la asimetría del ciclo es lo que decide. Los comparables pesan poco: TE Connectivity (16,5 veces el BPA adelantado) y Sensata o Belden (10-11) no tienen la exposición a la IA de Amphenol, y Corning o Vertiv (24-32) sí la tienen; la mediana (18,5 veces) da 59,30 USD [30]. Las transacciones no se usan: son de negocios comprados por Amphenol a 7-11 veces el EBITDA, la prueba de su disciplina, no del valor de Amphenol entera. El DCF inverso (22,5 % de crecimiento anual) es la mejor medida de lo que paga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(igual a la mediana)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bl>
    <w:p>
      <w:pPr>
        <w:spacing w:after="160" w:before="0"/>
      </w:pPr>
    </w:p>
    <w:p>
      <w:pPr>
        <w:spacing w:after="100"/>
      </w:pPr>
      <w:r>
        <w:rPr>
          <w:b/>
          <w:bCs/>
        </w:rPr>
        <w:t xml:space="preserve">Objetivo a 12 meses (ponderado):</w:t>
      </w:r>
      <w:r>
        <w:t xml:space="preserve"> 81,48 USD · rentabilidad +3,3 % (base +13,5 %) · señal Mantener.</w:t>
      </w:r>
    </w:p>
    <w:p>
      <w:pPr>
        <w:spacing w:after="100"/>
      </w:pPr>
      <w:r>
        <w:t xml:space="preserve">Para comparar, con la regla v2 (historia al cierre, mismo precio): 21,5x / 25,3x / 32,9x, 13,4 %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(2,68 USD) coincide con el consenso (2,69) y el de 2027e (3,25) queda un 2,4 % por debajo (3,33) porque proyectamos ventas un 2 % menores (41.720 frente a 42.661 M) [30]. La diferencia con el objetivo medio de los analistas (102,97 USD, +30 %) está en el múltiplo: aplican ≈ 31 veces el BPA de 2027 y nosotros 25,3 veces el de 2028e, la mediana de Amphenol en cinco años. El consenso ha subido el BPA de 2027 un 14 % en 90 días (de 2,92 a 3,33) [30]: el mercado ya cuenta con que el ciclo de IA sigue.</w:t>
      </w:r>
    </w:p>
    <w:p>
      <w:pPr>
        <w:keepNext/>
        <w:spacing w:after="100"/>
      </w:pPr>
      <w:r>
        <w:rPr>
          <w:b/>
          <w:bCs/>
        </w:rPr>
        <w:t xml:space="preserve">Del valor intrínseco al objetivo a 12 meses.</w:t>
      </w:r>
    </w:p>
    <w:p>
      <w:pPr>
        <w:spacing w:after="100"/>
      </w:pPr>
      <w:r>
        <w:t xml:space="preserve">El objetivo a 12 meses (81,48 USD, ponderado) da un 3,3 % de rentabilidad con dividendo y el base (89,56 USD) un 13,5 %: el base pasa el listón del 12 %, pero la ponderada se queda lejos del 15 % porque el bajista (46,06 USD, −41 %) pesa un 25 %. El BPA base crece un 28,5 % anual desde 2025 (1,67 USD), pero dos tercios ya están en el 1S26 real y en la guía del 3T26 (2026e de 2,68, igual que el consenso); desde 2026e crece un 15 % anual. El valor intrínseco (41,45 USD) está un 48 % bajo el precio: no pasa el filtro de valor real. Es un Mantener: el negocio es excelente y el BPA sigue subiendo, pero el precio ya paga el ciclo de IA y el bajista es grande.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3T26: ventas de 9.300-9.400 M y BPA de 0,70-0,71 USD; la empresa ha batido su guía cada trimestre desde 2023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enero de 2026 la acción cayó un 12 % el día de resultados pese a batir: la guía manda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Planes de capex de 2027 de Microsoft, Alphabet, Amazon y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un billón de USD esperado en 2027 [18]; un recorte sería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Rampa de las plataformas de IA de 2027 (Nvidia Rubin, racks de 1,6T)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contenido de cobre y fibra por rack o paso a óptica integrada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programa de recompras de 2.000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o no según la deuda tras CCS (1,3 veces el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del asunto fiscal de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devengos o fin de la incertidumbre (490 M USD ya registrados)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compras (Norwitt: «la compra sigue siendo prioridad»)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comprado a 7-11 veces el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o digestión de la inversión en centros de datos de IA (IT datacom es el 43 % de las ventas del 2T26)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y 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a 12 meses (bajista: BPA 2,28 × 20,2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industria, defensa y automóvil (≈ 50 % de las ventas); costes variables y modelo descentralizado que recorta deprisa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Pedidos/ventas por debajo de 1,0 o recorte del capex de 2027 de alguna de las cuatro nubes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25,3 veces el BPA adelantado y 24 veces el EBITDA tras subir un 96 % en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PER vuelve a 20,8 (mínimo de cinco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creciendo al 15 % anual en el base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el día de resultados pese a batir, como en enero de 2026 [37]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tecnológico: óptica integrada (CPO) en lugar de cobre de alta velocidad dentro del rack</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CCS y la fibra de Amphenol cubren la transición; la óptica también necesita conectores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de Nvidia o de las nubes que pasen el «scale-up» a óptica antes de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cables y conectores de alta velocidad (Luxshare, Foxconn Interconnect, Molex; TE en potencia)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(2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conjunto con el cliente y capacidad de fabricar en volumen fuera de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Communications Solutions por debajo del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CCS y deuda (18.811 M de deuda bruta; fondo de comercio e intangibles de 22.844 M, por encima del patrimonio)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CCS ya supera el plan (4.600 M de ventas y +0,30 USD de BPA antes del split en 2026) y la deuda neta es de 1,3 veces el EBITDA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CCS por debajo de 4.300 M en 2026 o deterioro de su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China (15,9 % de las ventas, fábricas en China, asunto fiscal abierto)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 y 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repartida en ≈ 40 países; devolución de aranceles IEEPA (80 M en el 2T26)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devengos fiscales en China o tipo ajustado por encima del 27 %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continuas de directivos (511,9 M USD en 12 meses, una sola compra de 1,3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Señal, no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ejercicios de opciones que vencen y venta el mismo día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acciones propias, no de opciones, del consejero delegado</w:t>
            </w:r>
          </w:p>
        </w:tc>
      </w:tr>
    </w:tbl>
    <w:p>
      <w:pPr>
        <w:spacing w:after="160" w:before="0"/>
      </w:pPr>
    </w:p>
    <w:p>
      <w:pPr>
        <w:pStyle w:val="Heading2"/>
      </w:pPr>
      <w:r>
        <w:t xml:space="preserve">Pre-mortem</w:t>
      </w:r>
    </w:p>
    <w:p>
      <w:pPr>
        <w:spacing w:after="100"/>
      </w:pPr>
      <w:r>
        <w:t xml:space="preserve">Octubre de 2029: la acción ha perdido un 40 %. Las cuatro grandes nubes llegaron a 2027 con más de un billón de USD de inversión anual y en 2028 decidieron digerirla: los modelos de IA no generaban ingresos al ritmo del gasto, el precio de la inferencia cayó y los ODM tenían existencias para seis meses. Los pedidos de IT datacom de Amphenol cayeron un 30 % en dos trimestres; a la vez, Nvidia llevó la óptica integrada al interior del rack en su plataforma de 2028 y los cables de cobre de alta velocidad, la línea con más margen, perdieron volumen y precio frente a Luxshare. El margen operativo volvió del 30 % al 22-23 % de 2022, el BPA de 2028 se quedó en 2,2 USD en lugar de 3,5 y el mercado volvió a pagar 20 veces, no 25. Lo habrían anticipado la relación pedidos/ventas por debajo de 1,0, el margen de Communications Solutions bajando del 30 % y las nubes rebajando su guía de capex en las presentaciones de enero de 2028.</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−41 % a 12 meses si la inversión se frena (bajista); +28 % si sigue (alcista)</w:t>
      </w:r>
    </w:p>
    <w:p>
      <w:pPr>
        <w:spacing w:after="100"/>
      </w:pPr>
      <w:r>
        <w:t xml:space="preserve">Para Amphenol la IA no es una amenaza de sustitución sino el motor de la demanda: IT datacom pasó del 36 % de las ventas en 2025 al 43 % en el 2T26, creciendo un 63 % orgánico, y es la línea de más margen [4, 11]. Si el gasto en IA se frena, el golpe es directo: en nuestro bajista las ventas caen un 6 % en 2028e, el margen cede 4 puntos y el BPA queda un 36 % bajo el base (−41 % de precio a 12 meses). La parte que sí puede sustituir es tecnológica: la óptica integrada desplazaría cable de cobre; CCS (fibra) es su cobertura. Señales: pedidos/ventas, guía de capex de las nubes y el margen de Communications Solutions.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Lo material es (1) la cadena de suministro y el origen de los metales (cobre, oro, estaño, tántalo de zonas de conflicto) y los aranceles, con fábricas en ≈ 40 países y el 15,9 % de las ventas enviado a China [1]; (2) la energía de las fábricas, que crece con el volumen de IA, y (3) la fiscalidad internacional: el asunto fiscal de China ha costado 490 M USD en devengos desde el 4T25 y ha subido el tipo ajustado al 27 % [3, 4]. La exposición a defensa (9 % de las ventas) excluye a Amphenol de algunos fondos con filtros ESG [1].</w:t>
      </w:r>
    </w:p>
    <w:p>
      <w:pPr>
        <w:pStyle w:val="Heading2"/>
      </w:pPr>
      <w:r>
        <w:t xml:space="preserve">Controversias</w:t>
      </w:r>
    </w:p>
    <w:p>
      <w:pPr>
        <w:spacing w:after="100"/>
      </w:pPr>
      <w:r>
        <w:t xml:space="preserve">Sin sanciones ni litigios relevantes en tres años según los informes de la empresa [1]. El asunto abierto es fiscal: avisos de pago de las autoridades de China (230 M USD) y una reevaluación de 160 M de años anteriores en el 1T26, más 100 M en el 4T25 [3]. Las ventas de los directivos (511,9 M USD en 12 meses) son ejercicio de opciones y venta en el mismo día [24].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IT datacom va a las cuatro grandes nubes y a Nvidia (directo o por ODM), y cuántos meses de pedidos firmes hay en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base (+9 % en 2028e) y el bajista (−6 %): −41 %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Cobre frente a óptica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IA son cables de cobre de alta velocidad dentro del rack, y cuál sería el contenido de Amphenol por rack si el «scale-up» pasa a óptica integrada?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línea de más margen y la más expuesta a un cambio tecnológico.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operativo ajustado del 29,8 % del 2T26 es volumen y mezcla de IA que se iría con una caída de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que se queda en el 31 % EBITDA; volver al 25 % de 2023 restaría un 20 % al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orgánico y margen tiene CCS fuera de los centros de datos (banda ancha, edificios), y qué falta de su plan de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10.500 M USD y la mitad del fondo de comercio; el BPA de 2026 ya cuenta con +0,15 USD de CCS.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falta por resolver del asunto fiscal de China y por qué el tipo ajustado sube al 27 % de forma permanente?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tipo son ≈ 1,4 % de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vuelven las recompras por encima de la dilución de opciones (≈ 1 % anual) y qué tamaño máximo de compra se plantea con 1,3 veces de deuda neta?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BPA no cuenta con recompras netas.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alcista («Amphenol continues to impress», «A powerhouse powering on»), pero con piezas que discuten el precio: «What Q3 must show to justify its premium», «The 6x revenue multiple is not» y «Should continue to rise until the AI race cools off»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de los treinta mensajes marcados como alcistas y ninguno bajista; se habla de máximos, de los objetivos de Goldman (116) y Bank of America (104) y de compras de opciones de noviembre; algunos esperan a 80 USD para entrar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(noticias y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de subidas de objetivos, inicio de cobertura de Bernstein y Wolfe, y algún aviso de valoración («May be near fair value», Zacks la baja a Mantener)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la subida del 6-oct por Goldman y Baird y pide «vigilar» cualquier pausa en la construcción de centros de datos de IA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como motor de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IT datacom +63 % orgánico y 43 % de las ventas en el 2T26; es también la concentración de riesgo del informe [42, 43].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a ≈ 30x el BPA de 2026 y ≈ 24x el de 2027 del consenso; el informe coincide en que el precio ya descuenta mucho crecimiento [42].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Cuándo se frena la IA («AI race cools off»)</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informe (escenario bajista con digestión de la inversión en 2028) [39, 42].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del 3T26 (28-oct)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espera 0,73 USD frente a una guía de 0,70-0,71: la empresa suele batir su guía, el listón ya lo descuenta [43].</w:t>
            </w:r>
          </w:p>
        </w:tc>
      </w:tr>
    </w:tbl>
    <w:p>
      <w:pPr>
        <w:spacing w:after="160" w:before="0"/>
      </w:pPr>
    </w:p>
    <w:p>
      <w:pPr>
        <w:spacing w:after="100"/>
      </w:pPr>
      <w:r>
        <w:t xml:space="preserve">El sentimiento de los particulares es positivo y va con el de los analistas (17 de 19 recomiendan comprar), sin euforia extrema: hay debate abierto sobre la valoración y sobre cuándo se frena la inversión en IA. No aporta un riesgo que el informe no tenga; confirma que la acción es un vehículo de la tesis de IA y que reaccionará con fuerza a cualquier señal de digestión de la inversión de las nubes. Las cifras de los foros no se usan.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3 explicados. Fuentes: 44 (22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22,0 % frente a 23,7 % real: genera una variación de circulante de 2.365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7.149 M de flujo libre medio en sus tres primeros años, frente a 2.894 M de media real en los tres últimos: justifica el salto (circulante, inversión, márgenes) o ajusta los supuestos. Explicación: El DCF proyecta 7.149 M USD de flujo libre medio en 2026e-2028e frente a 2.894 M de media en 2023-2025 porque las ventas pasan de 15.223 M (2024) a 35.661 M (2026e): CCS añade ≈ 4.600 M y el negocio orgánico crece un 30-40 % [4, 13]. El flujo libre real ya lo confirma: 4.728 M en los últimos doce meses a junio de 2026 y 2.037 M en el 1S26 con un circulante que absorbe caja por el crecimiento [4]. El DCF ya resta un circulante del 22 % de las ventas nuevas.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(3,54) supone un 28,5 % anual desde 1,67 (2025): explícalo en valoracion.objetivo_12m.comentario o la confianza es baja. Explicación: Del BPA ajustado de 2025 (1,67 USD) al base de 2028e (3,54) hay un 28,5 % anual, pero dos tercios ya están en el 1S26 real (1,21 USD frente a 0,72 en el 1S25 [4]) y en la guía del 3T26 (0,70-0,71 [4]): nuestro 2026e es de 2,68 USD (consenso 2,69 [30]). Desde 2026e, el base crece un 15 % anual hasta 2028e (+21 % en 2027e y +9 % en 2028e), por debajo del consenso de 2027 (3,33). La confianza en 2028e es Media, no alta, por la dependencia de la IA (escenario bajista).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204.519, publicada 195.600: revisa acciones y precio. Explicación: La diferencia (204.519 frente a 195.600 M USD) es la que hay entre las acciones diluidas que pide el método (2.578 M en el 2T26: 1.289,2 antes del split [2]) y las acciones en circulación de la portada del 10-Q (1.233 M antes del split, 2.466 M ahora) con las que se calcula la capitalización publicada: ≈ 112 M de opciones en dinero (4,5 %), muchas por el plan de opciones de los directivos [22]. No es un error de datos.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20, 21, 26,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Propia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3T24 y consenso antes de los resultados de 3T24 a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2025 (solo comparan con el año anterior); 2) Yahoo earningsHistory (solo cuatro trimestres); 3) MarketBeat (sin histórico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5-8 años del mercado de conectores (Bishop) y TCAC histórico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Bishop &amp; Associates (de pago; solo los titulares de 2024 y 2025 son públicos); 2) Global Market Insights y GII (otro perímetro, sin serie gratuita); 3) prensa sectorial (passive-components.eu: solo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de la caída de abril-mayo de 2026 (−22 % en un mes) y de marzo de 2026 (−13,5 %)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empresa de marzo-mayo de 2026 (solo emisiones de bonos y la junta); 2) titulares de Seeking Alpha (RSS) y MarketBeat; 3) búsquedas en prensa (Zacks vía Chartmill: 403; Trading Economics sin causa)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explica como corrección del sector de IA, sin hecho propio confirmado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consenso y BPA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quoteSummary (solo BPA y ventas de dos ejercicios); 2) MarketBeat (solo el objetivo medio); 3) MarketScreener no abre sin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segmentos, mercados finales, adquisiciones, deuda, impuestos,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Amphenol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https://www.sec.gov/Archives/edgar/data/820313/000110465926013549/aph-20251231x10k.htm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(30-jun-2026): balance, deuda, compra de CommScope CCS, segmentos, geografías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Amphenol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https://www.sec.gov/Archives/edgar/data/820313/000110465926089194/aph-20260630x10q.htm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1T26 (31-mar-2026): asunto fiscal en China, CCS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https://www.sec.gov/Archives/edgar/data/820313/000110465926054128/aph-20260331x10q.htm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Reports Record Second Quarter 2026 Results (pedidos, conciliación GAAP-ajustado, guía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https://www.sec.gov/Archives/edgar/data/820313/000110465926087904/aph-20260729xex99d1.htm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Reports Record First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https://www.sec.gov/Archives/edgar/data/820313/000110465926050984/aph-20260429xex99d1.htm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Reports Record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https://www.sec.gov/Archives/edgar/data/820313/000110465926007259/aph-20260128xex99d1.htm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1T, 2T y 3T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https://www.sec.gov/Archives/edgar/data/820313/000110465925101429/aph-20251022xex99d1.htm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anuales 2020-2024 (BPA ajustado de cada ejercicio y crecimiento orgánico)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https://www.sec.gov/Archives/edgar/data/820313/000155837025000305/aph-20250122xex99d1.htm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Amphenol (companyfacts):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https://data.sec.gov/api/xbrl/companyfacts/CIK0000820313.json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Announces Two-for-One Stock Split and Third Quarter 2026 Dividend; 8-K del 4-sep-2026 (split efectuado)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https://www.sec.gov/Archives/edgar/data/820313/000110465926091969/tm2622441d1_ex99-1.htm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https://earningswhispers.com/transcript/APH/Q22026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APH 1Q26 AI Summary (guía del 2T26, tipo impositivo e intereses)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https://transcripts.platformaeronaut.com/summaries/APH-1Q26-AI-Summary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to acquire Connectivity and Cable Solutions business from CommScope; Amphenol completes acquisition of CCS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https://www.sec.gov/Archives/edgar/data/820313/000110465925073344/tm2522435d1_ex99-1.htm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Bishop reveals Top 10 connector manufacturers (ventas de conectores 2024 y mercado mundial de 86.480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Passive Components Blog (Bishop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https://passive-components.eu/bishop-reveals-top-10-connector-manufacturers/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Analysis of the World's Top 100 Electronic Connector Manufacturers (2025: 81.386 M USD de los 100 primeros, 82,1 % del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Bishop &amp; Associates (vía GII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https://www.giiresearch.com/report/bs2110463-analysis-worlds-top-100-electronic-connector.html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Connector Market Size, 2025-2035 (75.000 M USD en 2025; 3,7 % anual hasta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https://gminsights.com/industry-analysis/connector-market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TE Connectivity, Hirose, JAE, Corning y otros (ventas, márgenes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«Magnificent 7» earnings rush reveals AI spending surge, with hyperscaler capex set to reach $725 billion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https://finance.yahoo.com/markets/article/magnificent-7-earnings-rush-reveals-ai-spending-surge-with-hyperscaler-capex-set-to-reach-725-billion-in-2026-224901707.html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rises after Jefferies assumes coverage with Buy (óptica frente a cobre en los bastidores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https://www.stockopedia.com/share-prices/amphenol-NYQ:APH/news/amphenol-rises-after-jefferies-assumes-coverage-with-apos-buy-apos-rating-019e6a19-2ee2-7c4e-9d84-e901a1ba7015/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 ESG Risk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 Sustainalytics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https://sustainalytics.com/esg-rating/amphenol-corp/1007903073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ESG ratings (MSCI BBB, según el agregador)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KnowESG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https://knowesg.com/esg-ratings/amphenol-corporation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comités, remuneración,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https://www.sec.gov/Archives/edgar/data/820313/000110465926040688/tm261344-1_def14a.htm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https://www.sec.gov/Archives/edgar/data/820313/000110465926065682/tm2615386d1_8k.htm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21-oct-2025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https://www.sec.gov/cgi-bin/browse-edgar?action=getcompany&amp;CIK=0000820313&amp;type=4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Announces Board Succession Plan (Norwitt presidente; Loeffler se retira)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https://www.sec.gov/Archives/edgar/data/820313/000110465926010676/tm265098d1_ex99-1.htm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Appoints Sanjiv Lamba to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https://www.sec.gov/Archives/edgar/data/820313/000110465926002183/tm262604d1_ex99-1.htm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relevo en la división Harsh Environment Solutions (Luc Walter → Ryan Fisher, 1-ene-2027)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https://www.sec.gov/Archives/edgar/data/820313/000110465926114035/tm2627036d1_8k.htm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institucionales y participación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https://finance.yahoo.com/quote/APH/holders/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APH, SPY y XLK (precio, rentabilidades, beta, volatilidad, cierres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https://finance.yahoo.com/quote/APH/history/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recomendaciones, objetivos y cambios de los analistas de Amphenol y de sus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https://finance.yahoo.com/quote/APH/analysis/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(bono a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to Acquire CIT Business From Carlisle (2.025 M USD; ventas de 900 M y margen EBITDA del 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https://www.sec.gov/Archives/edgar/data/820313/000110465924008232/tm244465d1_ex99-1.htm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to Acquire Mobile Networks Businesses From CommScope (2.100 M USD; 1.200 M de ventas, margen EBITDA del 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https://www.businesswire.com/news/home/20240718840558/en/Amphenol-Corporation-to-Acquire-Mobile-Networks-Businesses-From-CommScope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 Connectivity to Acquire Richards Manufacturing for $2.3 Billion (≈ 400 M de ventas, margen EBITDA de «mid-30s»)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https://finance.yahoo.com/news/te-connectivity-acquire-richards-manufacturing-192024833.html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de APH (1-12 meses, máximos, medias, volatilidad, avisos)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(herramientas/movimiento.mjs)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https://finance.yahoo.com/quote/APH/chart/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crashes despite strong Q4 results,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https://seekingalpha.com/news/4543490-amphenol-crashes-despite-strong-q4-results-guidance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Shares in Amphenol Slumped 11% Today (4-feb-2026: venta general de valores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AOL)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https://www.aol.com/articles/why-shares-amphenol-slumped-11-201655859.html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Amphenol stock topped the market on Tuesday (Goldman Sachs sube el objetivo a 116 USD; Baird a 105)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https://www.fool.com/investing/2026/10/06/why-amphenol-stock-topped-the-market-on-tuesday/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fecha de los resultados del 3T26 (28-oct-2026) y noticias recientes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 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https://www.marketbeat.com/stocks/NYSE/APH/news/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bonos en euros (3,375 % 2029 y 3,875 % 2034) y en marzo (3,625 %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https://www.sec.gov/Archives/edgar/data/820313/000110465926055888/tm2613386d4_ex99-1.htm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 News and Analysis (titulares y artículos de opinión, jun-oct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https://seekingalpha.com/symbol/APH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$APH (30 mensajes, 3-19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https://stocktwits.com/symbol/APH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Modelo propio de BPA ajustado 2026e-2028e y de la historia del PER adelantado (notas/propio.mjs y supuestos.mjs)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(informes/amphenol-2026-10-21/notas)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informes/amphenol-2026-10-21/notas/propio.mjs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91,8 %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USD; ejercicio a 31 de diciembre. Todas las cifras por acción están en acciones de hoy: el split 2×1 entró en vigor el 2-sep-2026 [10], así que el BPA ajustado de 2025 publicado (3,34 USD) es 1,67 y los de 2020-2023 se dividen también por los splits de 2021 y 2024. El último trimestre publicado es el 2T26 (30-jun-2026); los resultados del 3T26 salen el 28-oct-2026, después de este análisis [40]. Precio: cierre del 20-oct-2026 (79,32 USD); la sesión del 21-oct estaba abierta al hacer el análisis (79,90 USD a las 11:55 de Nueva York). Comparables con datos de Yahoo de la sesión del 21-oct (precios casi iguales al cierre del 20-oct) [30]. El tamaño del mercado de 2025 (≈ 99.200 M USD) es una estimación propia a partir del total de los 100 primeros fabricantes de Bishop [15]. CCS (comprada en enero de 2026) no está en las cuentas de 2025: el balance y el LTM de junio de 2026 sí la incluyen.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Amphenol Corporation (APH)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79,32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(59,01 – 89,93)</c:v>
                </c:pt>
                <c:pt idx="1">
                  <c:v>Precio objetivo de los analistas (85,00 – 116,00)</c:v>
                </c:pt>
                <c:pt idx="2">
                  <c:v>Comparables: PER NTM (48,48 – 70,52)</c:v>
                </c:pt>
                <c:pt idx="3">
                  <c:v>DCF (WACC y g ± 0,5) (35,38 – 44,71)</c:v>
                </c:pt>
                <c:pt idx="4">
                  <c:v>Escenarios (bajista – alcista) (23,86 – 46,24)</c:v>
                </c:pt>
                <c:pt idx="5">
                  <c:v>DCF con la prima implícita del mercado (4,2 %)</c:v>
                </c:pt>
                <c:pt idx="6">
                  <c:v>Precio actual (79,32)</c:v>
                </c:pt>
              </c:strCache>
            </c:strRef>
          </c:cat>
          <c:val>
            <c:numRef>
              <c:f>Hoja1!$B$2:$B$8</c:f>
              <c:numCache>
                <c:formatCode>#,##0</c:formatCode>
                <c:ptCount val="7"/>
                <c:pt idx="0">
                  <c:v>59.01</c:v>
                </c:pt>
                <c:pt idx="1">
                  <c:v>85</c:v>
                </c:pt>
                <c:pt idx="2">
                  <c:v>48.48</c:v>
                </c:pt>
                <c:pt idx="3">
                  <c:v>35.38</c:v>
                </c:pt>
                <c:pt idx="4">
                  <c:v>23.86</c:v>
                </c:pt>
                <c:pt idx="5">
                  <c:v>45.31</c:v>
                </c:pt>
                <c:pt idx="6">
                  <c:v>78.92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(59,01 – 89,93)</c:v>
                </c:pt>
                <c:pt idx="1">
                  <c:v>Precio objetivo de los analistas (85,00 – 116,00)</c:v>
                </c:pt>
                <c:pt idx="2">
                  <c:v>Comparables: PER NTM (48,48 – 70,52)</c:v>
                </c:pt>
                <c:pt idx="3">
                  <c:v>DCF (WACC y g ± 0,5) (35,38 – 44,71)</c:v>
                </c:pt>
                <c:pt idx="4">
                  <c:v>Escenarios (bajista – alcista) (23,86 – 46,24)</c:v>
                </c:pt>
                <c:pt idx="5">
                  <c:v>DCF con la prima implícita del mercado (4,2 %)</c:v>
                </c:pt>
                <c:pt idx="6">
                  <c:v>Precio actual (79,32)</c:v>
                </c:pt>
              </c:strCache>
            </c:strRef>
          </c:cat>
          <c:val>
            <c:numRef>
              <c:f>Hoja1!$C$2:$C$8</c:f>
              <c:numCache>
                <c:formatCode>#,##0</c:formatCode>
                <c:ptCount val="7"/>
                <c:pt idx="0">
                  <c:v>30.92000000000001</c:v>
                </c:pt>
                <c:pt idx="1">
                  <c:v>31</c:v>
                </c:pt>
                <c:pt idx="2">
                  <c:v>22.04</c:v>
                </c:pt>
                <c:pt idx="3">
                  <c:v>9.329999999999998</c:v>
                </c:pt>
                <c:pt idx="4">
                  <c:v>22.380000000000003</c:v>
                </c:pt>
                <c:pt idx="5">
                  <c:v>8.36</c:v>
                </c:pt>
                <c:pt idx="6">
                  <c:v>0.7999999999999972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Communications Solutions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4912.8</c:v>
                </c:pt>
                <c:pt idx="1">
                  <c:v>6323.8</c:v>
                </c:pt>
                <c:pt idx="2">
                  <c:v>12056</c:v>
                </c:pt>
              </c:numCache>
            </c:numRef>
          </c:val>
        </c:ser>
        <c:ser>
          <c:idx val="1"/>
          <c:order val="1"/>
          <c:tx>
            <c:strRef>
              <c:f>Hoja1!$C$1</c:f>
              <c:strCache>
                <c:ptCount val="1"/>
                <c:pt idx="0">
                  <c:v>Harsh Environment Solutions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3530.8</c:v>
                </c:pt>
                <c:pt idx="1">
                  <c:v>4417.4</c:v>
                </c:pt>
                <c:pt idx="2">
                  <c:v>5881.7</c:v>
                </c:pt>
              </c:numCache>
            </c:numRef>
          </c:val>
        </c:ser>
        <c:ser>
          <c:idx val="2"/>
          <c:order val="2"/>
          <c:tx>
            <c:strRef>
              <c:f>Hoja1!$D$1</c:f>
              <c:strCache>
                <c:ptCount val="1"/>
                <c:pt idx="0">
                  <c:v>Interconnect and Sensor Systems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4111.1</c:v>
                </c:pt>
                <c:pt idx="1">
                  <c:v>4481.5</c:v>
                </c:pt>
                <c:pt idx="2">
                  <c:v>5157</c:v>
                </c:pt>
              </c:numCache>
            </c:numRef>
          </c:val>
        </c:ser>
        <c:ser>
          <c:idx val="3"/>
          <c:order val="3"/>
          <c:tx>
            <c:strRef>
              <c:f>Hoja1!$E$1</c:f>
              <c:strCache>
                <c:ptCount val="1"/>
                <c:pt idx="0">
                  <c:v>Corporativo y ajustes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Communications Solutions</c:v>
                </c:pt>
                <c:pt idx="1">
                  <c:v>Harsh Environment Solutions</c:v>
                </c:pt>
                <c:pt idx="2">
                  <c:v>Interconnect and Sensor Systems</c:v>
                </c:pt>
                <c:pt idx="3">
                  <c:v>Corporativo y ajustes</c:v>
                </c:pt>
              </c:strCache>
            </c:strRef>
          </c:cat>
          <c:val>
            <c:numRef>
              <c:f>Hoja1!$B$2:$B$5</c:f>
              <c:numCache>
                <c:formatCode>General</c:formatCode>
                <c:ptCount val="4"/>
                <c:pt idx="0">
                  <c:v>52.2</c:v>
                </c:pt>
                <c:pt idx="1">
                  <c:v>25.5</c:v>
                </c:pt>
                <c:pt idx="2">
                  <c:v>22.3</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China</c:v>
                </c:pt>
                <c:pt idx="2">
                  <c:v>Resto del mundo</c:v>
                </c:pt>
              </c:strCache>
            </c:strRef>
          </c:cat>
          <c:val>
            <c:numRef>
              <c:f>Hoja1!$B$2:$B$4</c:f>
              <c:numCache>
                <c:formatCode>0"%"</c:formatCode>
                <c:ptCount val="3"/>
                <c:pt idx="0">
                  <c:v>34.6</c:v>
                </c:pt>
                <c:pt idx="1">
                  <c:v>15.9</c:v>
                </c:pt>
                <c:pt idx="2">
                  <c:v>49.5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mundiales de conectores, Bishop &amp; Associates))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86480</c:v>
                </c:pt>
                <c:pt idx="1">
                  <c:v>99169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Amphenol</c:v>
                </c:pt>
                <c:pt idx="1">
                  <c:v>TE Connectivity</c:v>
                </c:pt>
                <c:pt idx="2">
                  <c:v>Molex (Koch Industries)</c:v>
                </c:pt>
                <c:pt idx="3">
                  <c:v>Aptiv (conectores)</c:v>
                </c:pt>
                <c:pt idx="4">
                  <c:v>Foxconn Interconnect Technology</c:v>
                </c:pt>
                <c:pt idx="5">
                  <c:v>Luxshare Precision</c:v>
                </c:pt>
                <c:pt idx="6">
                  <c:v>Hirose Electric</c:v>
                </c:pt>
                <c:pt idx="7">
                  <c:v>Japan Aviation Electronics (JAE)</c:v>
                </c:pt>
              </c:strCache>
            </c:strRef>
          </c:cat>
          <c:val>
            <c:numRef>
              <c:f>Hoja1!$B$2:$B$9</c:f>
              <c:numCache>
                <c:formatCode>0.0"%"</c:formatCode>
                <c:ptCount val="8"/>
                <c:pt idx="0">
                  <c:v>25.4</c:v>
                </c:pt>
                <c:pt idx="1">
                  <c:v>20.8</c:v>
                </c:pt>
                <c:pt idx="6">
                  <c:v>21.5</c:v>
                </c:pt>
                <c:pt idx="7">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6286.4</c:v>
                </c:pt>
                <c:pt idx="1">
                  <c:v>7011.3</c:v>
                </c:pt>
                <c:pt idx="2">
                  <c:v>8202</c:v>
                </c:pt>
                <c:pt idx="3">
                  <c:v>8225.4</c:v>
                </c:pt>
                <c:pt idx="4">
                  <c:v>8598.9</c:v>
                </c:pt>
                <c:pt idx="5">
                  <c:v>10876.3</c:v>
                </c:pt>
                <c:pt idx="6">
                  <c:v>12623</c:v>
                </c:pt>
                <c:pt idx="7">
                  <c:v>12554.7</c:v>
                </c:pt>
                <c:pt idx="8">
                  <c:v>15222.7</c:v>
                </c:pt>
                <c:pt idx="9">
                  <c:v>23094.7</c:v>
                </c:pt>
                <c:pt idx="10">
                  <c:v>35658</c:v>
                </c:pt>
                <c:pt idx="11">
                  <c:v>41720</c:v>
                </c:pt>
                <c:pt idx="12">
                  <c:v>45475</c:v>
                </c:pt>
                <c:pt idx="13">
                  <c:v>48203</c:v>
                </c:pt>
                <c:pt idx="14">
                  <c:v>50855</c:v>
                </c:pt>
                <c:pt idx="15">
                  <c:v>53397</c:v>
                </c:pt>
                <c:pt idx="16">
                  <c:v>55800</c:v>
                </c:pt>
                <c:pt idx="17">
                  <c:v>58032</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1422.2</c:v>
                </c:pt>
                <c:pt idx="1">
                  <c:v>1654.4</c:v>
                </c:pt>
                <c:pt idx="2">
                  <c:v>1986.6</c:v>
                </c:pt>
                <c:pt idx="3">
                  <c:v>1931.3</c:v>
                </c:pt>
                <c:pt idx="4">
                  <c:v>1946.5</c:v>
                </c:pt>
                <c:pt idx="5">
                  <c:v>2500.7</c:v>
                </c:pt>
                <c:pt idx="6">
                  <c:v>2978.7</c:v>
                </c:pt>
                <c:pt idx="7">
                  <c:v>2966</c:v>
                </c:pt>
                <c:pt idx="8">
                  <c:v>3729.4</c:v>
                </c:pt>
                <c:pt idx="9">
                  <c:v>6791</c:v>
                </c:pt>
                <c:pt idx="10">
                  <c:v>11696</c:v>
                </c:pt>
                <c:pt idx="11">
                  <c:v>13768</c:v>
                </c:pt>
                <c:pt idx="12">
                  <c:v>14779</c:v>
                </c:pt>
                <c:pt idx="13">
                  <c:v>15425</c:v>
                </c:pt>
                <c:pt idx="14">
                  <c:v>16019</c:v>
                </c:pt>
                <c:pt idx="15">
                  <c:v>16553</c:v>
                </c:pt>
                <c:pt idx="16">
                  <c:v>17298</c:v>
                </c:pt>
                <c:pt idx="17">
                  <c:v>17990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32.5</c:v>
                </c:pt>
                <c:pt idx="1">
                  <c:v>32.9</c:v>
                </c:pt>
                <c:pt idx="2">
                  <c:v>32.4</c:v>
                </c:pt>
                <c:pt idx="3">
                  <c:v>31.8</c:v>
                </c:pt>
                <c:pt idx="4">
                  <c:v>31</c:v>
                </c:pt>
                <c:pt idx="5">
                  <c:v>31.3</c:v>
                </c:pt>
                <c:pt idx="6">
                  <c:v>31.9</c:v>
                </c:pt>
                <c:pt idx="7">
                  <c:v>32.5</c:v>
                </c:pt>
                <c:pt idx="8">
                  <c:v>33.8</c:v>
                </c:pt>
                <c:pt idx="9">
                  <c:v>36.9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22.6</c:v>
                </c:pt>
                <c:pt idx="1">
                  <c:v>23.6</c:v>
                </c:pt>
                <c:pt idx="2">
                  <c:v>24.2</c:v>
                </c:pt>
                <c:pt idx="3">
                  <c:v>23.5</c:v>
                </c:pt>
                <c:pt idx="4">
                  <c:v>22.6</c:v>
                </c:pt>
                <c:pt idx="5">
                  <c:v>23</c:v>
                </c:pt>
                <c:pt idx="6">
                  <c:v>23.6</c:v>
                </c:pt>
                <c:pt idx="7">
                  <c:v>23.6</c:v>
                </c:pt>
                <c:pt idx="8">
                  <c:v>24.5</c:v>
                </c:pt>
                <c:pt idx="9">
                  <c:v>29.4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19.2</c:v>
                </c:pt>
                <c:pt idx="1">
                  <c:v>20.4</c:v>
                </c:pt>
                <c:pt idx="2">
                  <c:v>20.6</c:v>
                </c:pt>
                <c:pt idx="3">
                  <c:v>19.7</c:v>
                </c:pt>
                <c:pt idx="4">
                  <c:v>19.1</c:v>
                </c:pt>
                <c:pt idx="5">
                  <c:v>19.4</c:v>
                </c:pt>
                <c:pt idx="6">
                  <c:v>20.5</c:v>
                </c:pt>
                <c:pt idx="7">
                  <c:v>20.4</c:v>
                </c:pt>
                <c:pt idx="8">
                  <c:v>20.7</c:v>
                </c:pt>
                <c:pt idx="9">
                  <c:v>25.4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13.1</c:v>
                </c:pt>
                <c:pt idx="1">
                  <c:v>9.3</c:v>
                </c:pt>
                <c:pt idx="2">
                  <c:v>14.7</c:v>
                </c:pt>
                <c:pt idx="3">
                  <c:v>14</c:v>
                </c:pt>
                <c:pt idx="4">
                  <c:v>14</c:v>
                </c:pt>
                <c:pt idx="5">
                  <c:v>14.6</c:v>
                </c:pt>
                <c:pt idx="6">
                  <c:v>15.1</c:v>
                </c:pt>
                <c:pt idx="7">
                  <c:v>15.4</c:v>
                </c:pt>
                <c:pt idx="8">
                  <c:v>15.9</c:v>
                </c:pt>
                <c:pt idx="9">
                  <c:v>18.5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30</c:v>
                </c:pt>
                <c:pt idx="2">
                  <c:v>48</c:v>
                </c:pt>
                <c:pt idx="3">
                  <c:v>57</c:v>
                </c:pt>
                <c:pt idx="4">
                  <c:v>53</c:v>
                </c:pt>
                <c:pt idx="5">
                  <c:v>49</c:v>
                </c:pt>
                <c:pt idx="6">
                  <c:v>58</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1">
                  <c:v>20</c:v>
                </c:pt>
                <c:pt idx="2">
                  <c:v>33</c:v>
                </c:pt>
                <c:pt idx="3">
                  <c:v>41</c:v>
                </c:pt>
                <c:pt idx="4">
                  <c:v>41</c:v>
                </c:pt>
                <c:pt idx="5">
                  <c:v>37</c:v>
                </c:pt>
                <c:pt idx="6">
                  <c:v>33</c:v>
                </c:pt>
                <c:pt idx="7">
                  <c:v>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78</c:v>
                </c:pt>
                <c:pt idx="1">
                  <c:v>83</c:v>
                </c:pt>
                <c:pt idx="2">
                  <c:v>80</c:v>
                </c:pt>
                <c:pt idx="3">
                  <c:v>77</c:v>
                </c:pt>
                <c:pt idx="4">
                  <c:v>83</c:v>
                </c:pt>
                <c:pt idx="5">
                  <c:v>82</c:v>
                </c:pt>
                <c:pt idx="6">
                  <c:v>76</c:v>
                </c:pt>
                <c:pt idx="7">
                  <c:v>76</c:v>
                </c:pt>
                <c:pt idx="8">
                  <c:v>79</c:v>
                </c:pt>
                <c:pt idx="9">
                  <c:v>75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80</c:v>
                </c:pt>
                <c:pt idx="1">
                  <c:v>86</c:v>
                </c:pt>
                <c:pt idx="2">
                  <c:v>81</c:v>
                </c:pt>
                <c:pt idx="3">
                  <c:v>85</c:v>
                </c:pt>
                <c:pt idx="4">
                  <c:v>90</c:v>
                </c:pt>
                <c:pt idx="5">
                  <c:v>92</c:v>
                </c:pt>
                <c:pt idx="6">
                  <c:v>89</c:v>
                </c:pt>
                <c:pt idx="7">
                  <c:v>93</c:v>
                </c:pt>
                <c:pt idx="8">
                  <c:v>92</c:v>
                </c:pt>
                <c:pt idx="9">
                  <c:v>86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58</c:v>
                </c:pt>
                <c:pt idx="1">
                  <c:v>68</c:v>
                </c:pt>
                <c:pt idx="2">
                  <c:v>59</c:v>
                </c:pt>
                <c:pt idx="3">
                  <c:v>56</c:v>
                </c:pt>
                <c:pt idx="4">
                  <c:v>69</c:v>
                </c:pt>
                <c:pt idx="5">
                  <c:v>64</c:v>
                </c:pt>
                <c:pt idx="6">
                  <c:v>56</c:v>
                </c:pt>
                <c:pt idx="7">
                  <c:v>58</c:v>
                </c:pt>
                <c:pt idx="8">
                  <c:v>66</c:v>
                </c:pt>
                <c:pt idx="9">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886.8</c:v>
                </c:pt>
                <c:pt idx="1">
                  <c:v>917.6</c:v>
                </c:pt>
                <c:pt idx="2">
                  <c:v>802.1</c:v>
                </c:pt>
                <c:pt idx="3">
                  <c:v>1207.3</c:v>
                </c:pt>
                <c:pt idx="4">
                  <c:v>1315.2</c:v>
                </c:pt>
                <c:pt idx="5">
                  <c:v>1179.6999999999998</c:v>
                </c:pt>
                <c:pt idx="6">
                  <c:v>1790.8</c:v>
                </c:pt>
                <c:pt idx="7">
                  <c:v>2155.8999999999996</c:v>
                </c:pt>
                <c:pt idx="8">
                  <c:v>2149.2999999999997</c:v>
                </c:pt>
                <c:pt idx="9">
                  <c:v>4378.099999999999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822.9</c:v>
                </c:pt>
                <c:pt idx="1">
                  <c:v>650.5</c:v>
                </c:pt>
                <c:pt idx="2">
                  <c:v>1205</c:v>
                </c:pt>
                <c:pt idx="3">
                  <c:v>1155</c:v>
                </c:pt>
                <c:pt idx="4">
                  <c:v>1203.4</c:v>
                </c:pt>
                <c:pt idx="5">
                  <c:v>1590.8</c:v>
                </c:pt>
                <c:pt idx="6">
                  <c:v>1902.3</c:v>
                </c:pt>
                <c:pt idx="7">
                  <c:v>1928</c:v>
                </c:pt>
                <c:pt idx="8">
                  <c:v>2424</c:v>
                </c:pt>
                <c:pt idx="9">
                  <c:v>4270.3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15.4</c:v>
                </c:pt>
                <c:pt idx="1">
                  <c:v>14.8</c:v>
                </c:pt>
                <c:pt idx="2">
                  <c:v>21.1</c:v>
                </c:pt>
                <c:pt idx="3">
                  <c:v>18.4</c:v>
                </c:pt>
                <c:pt idx="4">
                  <c:v>17.4</c:v>
                </c:pt>
                <c:pt idx="5">
                  <c:v>19</c:v>
                </c:pt>
                <c:pt idx="6">
                  <c:v>19.8</c:v>
                </c:pt>
                <c:pt idx="7">
                  <c:v>18.8</c:v>
                </c:pt>
                <c:pt idx="8">
                  <c:v>20.7</c:v>
                </c:pt>
                <c:pt idx="9">
                  <c:v>28.8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c:v>
                </c:pt>
                <c:pt idx="1">
                  <c:v>11</c:v>
                </c:pt>
                <c:pt idx="2">
                  <c:v>11</c:v>
                </c:pt>
                <c:pt idx="3">
                  <c:v>11</c:v>
                </c:pt>
                <c:pt idx="4">
                  <c:v>11</c:v>
                </c:pt>
                <c:pt idx="5">
                  <c:v>11</c:v>
                </c:pt>
                <c:pt idx="6">
                  <c:v>11</c:v>
                </c:pt>
                <c:pt idx="7">
                  <c:v>11</c:v>
                </c:pt>
                <c:pt idx="8">
                  <c:v>11</c:v>
                </c:pt>
                <c:pt idx="9">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22.4</c:v>
                </c:pt>
                <c:pt idx="1">
                  <c:v>17</c:v>
                </c:pt>
                <c:pt idx="2">
                  <c:v>30.1</c:v>
                </c:pt>
                <c:pt idx="3">
                  <c:v>27</c:v>
                </c:pt>
                <c:pt idx="4">
                  <c:v>24.3</c:v>
                </c:pt>
                <c:pt idx="5">
                  <c:v>27.2</c:v>
                </c:pt>
                <c:pt idx="6">
                  <c:v>28.6</c:v>
                </c:pt>
                <c:pt idx="7">
                  <c:v>25.1</c:v>
                </c:pt>
                <c:pt idx="8">
                  <c:v>26.7</c:v>
                </c:pt>
                <c:pt idx="9">
                  <c:v>36.8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1.39</c:v>
                </c:pt>
                <c:pt idx="1">
                  <c:v>1.1</c:v>
                </c:pt>
                <c:pt idx="2">
                  <c:v>1.15</c:v>
                </c:pt>
                <c:pt idx="3">
                  <c:v>1.41</c:v>
                </c:pt>
                <c:pt idx="4">
                  <c:v>1.11</c:v>
                </c:pt>
                <c:pt idx="5">
                  <c:v>1.44</c:v>
                </c:pt>
                <c:pt idx="6">
                  <c:v>1.08</c:v>
                </c:pt>
                <c:pt idx="7">
                  <c:v>0.97</c:v>
                </c:pt>
                <c:pt idx="8">
                  <c:v>0.96</c:v>
                </c:pt>
                <c:pt idx="9">
                  <c:v>0.64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0</c:v>
                </c:pt>
                <c:pt idx="1">
                  <c:v>2884.5</c:v>
                </c:pt>
                <c:pt idx="2">
                  <c:v>2068.5</c:v>
                </c:pt>
                <c:pt idx="3">
                  <c:v>3167.9</c:v>
                </c:pt>
                <c:pt idx="4">
                  <c:v>1898.9</c:v>
                </c:pt>
                <c:pt idx="5">
                  <c:v>8901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1305.1</c:v>
                </c:pt>
                <c:pt idx="1">
                  <c:v>265.5</c:v>
                </c:pt>
                <c:pt idx="2">
                  <c:v>158.9</c:v>
                </c:pt>
                <c:pt idx="3">
                  <c:v>937.4</c:v>
                </c:pt>
                <c:pt idx="4">
                  <c:v>50.4</c:v>
                </c:pt>
                <c:pt idx="5">
                  <c:v>2225.4</c:v>
                </c:pt>
                <c:pt idx="6">
                  <c:v>288.2</c:v>
                </c:pt>
                <c:pt idx="7">
                  <c:v>970.4</c:v>
                </c:pt>
                <c:pt idx="8">
                  <c:v>2156.4</c:v>
                </c:pt>
                <c:pt idx="9">
                  <c:v>3818.6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172.7</c:v>
                </c:pt>
                <c:pt idx="1">
                  <c:v>205</c:v>
                </c:pt>
                <c:pt idx="2">
                  <c:v>253.7</c:v>
                </c:pt>
                <c:pt idx="3">
                  <c:v>279.5</c:v>
                </c:pt>
                <c:pt idx="4">
                  <c:v>297.6</c:v>
                </c:pt>
                <c:pt idx="5">
                  <c:v>346.7</c:v>
                </c:pt>
                <c:pt idx="6">
                  <c:v>477.4</c:v>
                </c:pt>
                <c:pt idx="7">
                  <c:v>500.6</c:v>
                </c:pt>
                <c:pt idx="8">
                  <c:v>595.1</c:v>
                </c:pt>
                <c:pt idx="9">
                  <c:v>802.2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325.8</c:v>
                </c:pt>
                <c:pt idx="1">
                  <c:v>618</c:v>
                </c:pt>
                <c:pt idx="2">
                  <c:v>935.2</c:v>
                </c:pt>
                <c:pt idx="3">
                  <c:v>601.7</c:v>
                </c:pt>
                <c:pt idx="4">
                  <c:v>641.3</c:v>
                </c:pt>
                <c:pt idx="5">
                  <c:v>661.7</c:v>
                </c:pt>
                <c:pt idx="6">
                  <c:v>730.5</c:v>
                </c:pt>
                <c:pt idx="7">
                  <c:v>585.1</c:v>
                </c:pt>
                <c:pt idx="8">
                  <c:v>689.3</c:v>
                </c:pt>
                <c:pt idx="9">
                  <c:v>665.2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c:v>
                </c:pt>
                <c:pt idx="2">
                  <c:v>FMR (Fidelity)</c:v>
                </c:pt>
                <c:pt idx="3">
                  <c:v>Consejeros y directivos</c:v>
                </c:pt>
              </c:strCache>
            </c:strRef>
          </c:cat>
          <c:val>
            <c:numRef>
              <c:f>Hoja1!$B$2:$B$5</c:f>
              <c:numCache>
                <c:formatCode>0.0"%"</c:formatCode>
                <c:ptCount val="4"/>
                <c:pt idx="0">
                  <c:v>10.2</c:v>
                </c:pt>
                <c:pt idx="1">
                  <c:v>8</c:v>
                </c:pt>
                <c:pt idx="2">
                  <c:v>7</c:v>
                </c:pt>
                <c:pt idx="3">
                  <c:v>0.53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29.9</c:v>
                </c:pt>
                <c:pt idx="1">
                  <c:v>31.8</c:v>
                </c:pt>
                <c:pt idx="2">
                  <c:v>-6.8</c:v>
                </c:pt>
                <c:pt idx="3">
                  <c:v>34.9</c:v>
                </c:pt>
                <c:pt idx="4">
                  <c:v>22.1</c:v>
                </c:pt>
                <c:pt idx="5">
                  <c:v>34.9</c:v>
                </c:pt>
                <c:pt idx="6">
                  <c:v>-12</c:v>
                </c:pt>
                <c:pt idx="7">
                  <c:v>31.5</c:v>
                </c:pt>
                <c:pt idx="8">
                  <c:v>41.3</c:v>
                </c:pt>
                <c:pt idx="9">
                  <c:v>96.1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16.3</c:v>
                </c:pt>
                <c:pt idx="1">
                  <c:v>17.9</c:v>
                </c:pt>
                <c:pt idx="2">
                  <c:v>13.9</c:v>
                </c:pt>
                <c:pt idx="3">
                  <c:v>18.7</c:v>
                </c:pt>
                <c:pt idx="4">
                  <c:v>21.8</c:v>
                </c:pt>
                <c:pt idx="5">
                  <c:v>23.3</c:v>
                </c:pt>
                <c:pt idx="6">
                  <c:v>17</c:v>
                </c:pt>
                <c:pt idx="7">
                  <c:v>21.7</c:v>
                </c:pt>
                <c:pt idx="8">
                  <c:v>24.5</c:v>
                </c:pt>
                <c:pt idx="9">
                  <c:v>26.1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20.2</c:v>
                </c:pt>
                <c:pt idx="1">
                  <c:v>20.2</c:v>
                </c:pt>
                <c:pt idx="2">
                  <c:v>20.2</c:v>
                </c:pt>
                <c:pt idx="3">
                  <c:v>20.2</c:v>
                </c:pt>
                <c:pt idx="4">
                  <c:v>20.2</c:v>
                </c:pt>
                <c:pt idx="5">
                  <c:v>20.2</c:v>
                </c:pt>
                <c:pt idx="6">
                  <c:v>20.2</c:v>
                </c:pt>
                <c:pt idx="7">
                  <c:v>20.2</c:v>
                </c:pt>
                <c:pt idx="8">
                  <c:v>20.2</c:v>
                </c:pt>
                <c:pt idx="9">
                  <c:v>20.2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CommScope CCS (fibra para centros de datos, banda ancha, edificios)</c:v>
                </c:pt>
                <c:pt idx="1">
                  <c:v>Trexon (interconexión de alta fiabilidad para defensa)</c:v>
                </c:pt>
                <c:pt idx="2">
                  <c:v>Richards Manufacturing (conectores y accesorios para redes eléctricas)</c:v>
                </c:pt>
                <c:pt idx="3">
                  <c:v>Redes móviles de CommScope (antenas exteriores y DAS, Andrew)</c:v>
                </c:pt>
                <c:pt idx="4">
                  <c:v>CIT (Carlisle Interconnect Technologies)</c:v>
                </c:pt>
              </c:strCache>
            </c:strRef>
          </c:cat>
          <c:val>
            <c:numRef>
              <c:f>Hoja1!$B$2:$B$6</c:f>
              <c:numCache>
                <c:formatCode>0.0"x"</c:formatCode>
                <c:ptCount val="5"/>
                <c:pt idx="0">
                  <c:v>11.2</c:v>
                </c:pt>
                <c:pt idx="2">
                  <c:v>16.4</c:v>
                </c:pt>
                <c:pt idx="3">
                  <c:v>7</c:v>
                </c:pt>
                <c:pt idx="4">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5161</c:v>
                </c:pt>
                <c:pt idx="1">
                  <c:v>7499</c:v>
                </c:pt>
                <c:pt idx="2">
                  <c:v>8786</c:v>
                </c:pt>
                <c:pt idx="3">
                  <c:v>9446</c:v>
                </c:pt>
                <c:pt idx="4">
                  <c:v>9865</c:v>
                </c:pt>
                <c:pt idx="5">
                  <c:v>10254</c:v>
                </c:pt>
                <c:pt idx="6">
                  <c:v>10771</c:v>
                </c:pt>
                <c:pt idx="7">
                  <c:v>11260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46974</c:v>
                </c:pt>
                <c:pt idx="1">
                  <c:v>68446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79,32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23.86</c:v>
                </c:pt>
                <c:pt idx="1">
                  <c:v>39.47</c:v>
                </c:pt>
                <c:pt idx="2">
                  <c:v>46.24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79,32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(59,01 – 89,93)</c:v>
                </c:pt>
                <c:pt idx="1">
                  <c:v>Precio objetivo de los analistas (85,00 – 116,00)</c:v>
                </c:pt>
                <c:pt idx="2">
                  <c:v>Comparables: PER NTM (48,48 – 70,52)</c:v>
                </c:pt>
                <c:pt idx="3">
                  <c:v>DCF (WACC y g ± 0,5) (35,38 – 44,71)</c:v>
                </c:pt>
                <c:pt idx="4">
                  <c:v>Escenarios (bajista – alcista) (23,86 – 46,24)</c:v>
                </c:pt>
                <c:pt idx="5">
                  <c:v>DCF con la prima implícita del mercado (4,2 %)</c:v>
                </c:pt>
                <c:pt idx="6">
                  <c:v>Precio actual (79,32)</c:v>
                </c:pt>
              </c:strCache>
            </c:strRef>
          </c:cat>
          <c:val>
            <c:numRef>
              <c:f>Hoja1!$B$2:$B$8</c:f>
              <c:numCache>
                <c:formatCode>#,##0</c:formatCode>
                <c:ptCount val="7"/>
                <c:pt idx="0">
                  <c:v>59.01</c:v>
                </c:pt>
                <c:pt idx="1">
                  <c:v>85</c:v>
                </c:pt>
                <c:pt idx="2">
                  <c:v>48.48</c:v>
                </c:pt>
                <c:pt idx="3">
                  <c:v>35.38</c:v>
                </c:pt>
                <c:pt idx="4">
                  <c:v>23.86</c:v>
                </c:pt>
                <c:pt idx="5">
                  <c:v>45.31</c:v>
                </c:pt>
                <c:pt idx="6">
                  <c:v>78.92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(59,01 – 89,93)</c:v>
                </c:pt>
                <c:pt idx="1">
                  <c:v>Precio objetivo de los analistas (85,00 – 116,00)</c:v>
                </c:pt>
                <c:pt idx="2">
                  <c:v>Comparables: PER NTM (48,48 – 70,52)</c:v>
                </c:pt>
                <c:pt idx="3">
                  <c:v>DCF (WACC y g ± 0,5) (35,38 – 44,71)</c:v>
                </c:pt>
                <c:pt idx="4">
                  <c:v>Escenarios (bajista – alcista) (23,86 – 46,24)</c:v>
                </c:pt>
                <c:pt idx="5">
                  <c:v>DCF con la prima implícita del mercado (4,2 %)</c:v>
                </c:pt>
                <c:pt idx="6">
                  <c:v>Precio actual (79,32)</c:v>
                </c:pt>
              </c:strCache>
            </c:strRef>
          </c:cat>
          <c:val>
            <c:numRef>
              <c:f>Hoja1!$C$2:$C$8</c:f>
              <c:numCache>
                <c:formatCode>#,##0</c:formatCode>
                <c:ptCount val="7"/>
                <c:pt idx="0">
                  <c:v>30.92000000000001</c:v>
                </c:pt>
                <c:pt idx="1">
                  <c:v>31</c:v>
                </c:pt>
                <c:pt idx="2">
                  <c:v>22.04</c:v>
                </c:pt>
                <c:pt idx="3">
                  <c:v>9.329999999999998</c:v>
                </c:pt>
                <c:pt idx="4">
                  <c:v>22.380000000000003</c:v>
                </c:pt>
                <c:pt idx="5">
                  <c:v>8.36</c:v>
                </c:pt>
                <c:pt idx="6">
                  <c:v>0.7999999999999972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