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Compañía Ejemplo, S.A.</w:t>
      </w:r>
    </w:p>
    <w:p>
      <w:pPr>
        <w:spacing w:after="60"/>
        <w:rPr>
          <w:color w:val="52514E"/>
          <w:sz w:val="22"/>
          <w:szCs w:val="22"/>
        </w:rPr>
      </w:pPr>
      <w:r>
        <w:rPr>
          <w:color w:val="52514E"/>
          <w:sz w:val="22"/>
          <w:szCs w:val="22"/>
        </w:rPr>
        <w:t xml:space="preserve">EJM · Bolsa de Madrid (Mercado Continuo) · ISIN ES0000000000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31,40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34,61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+12,3 % (base +17,6 %)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31,05 EUR · mercado 34,28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5.024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Compañía Ejemplo,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EJM / ES0000000000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Componentes y equipos eléctricos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Madrid · 1975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www.ejemplo.com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31,40 (3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24,10 – 33,90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5.024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5.654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6,5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34,61 EUR</w:t>
      </w:r>
      <w:r>
        <w:t xml:space="preserve"> frente a 31,40 · Rentabilidad a 12 meses </w:t>
      </w:r>
      <w:r>
        <w:rPr>
          <w:b/>
          <w:bCs/>
        </w:rPr>
        <w:t xml:space="preserve">+12,3 % (base +17,6 %)</w:t>
      </w:r>
      <w:r>
        <w:t xml:space="preserve"> · Valor intrínseco 31,05 EUR · con la prima implícita del mercado: 34,28 (+9,2 %) · Alcista / bajista +16,4 % / -47,2 %</w:t>
      </w:r>
    </w:p>
    <w:p>
      <w:pPr>
        <w:spacing w:after="100"/>
      </w:pPr>
      <w:r>
        <w:rPr>
          <w:b/>
        </w:rPr>
        <w:t xml:space="preserve">La recomendación y por qué.</w:t>
      </w:r>
      <w:r>
        <w:t xml:space="preserve"> Mantener, con convicción media. El valor objetivo de 31,05 EUR deja una rentabilidad total esperada casi nula, y la asimetría es mala: el escenario alcista gana un 16 % y el bajista pierde un 47 %. Con la prima de riesgo que hoy pide el mercado el valor sube a 34,28 EUR (+9 %), que tampoco llega para comprar: las dos reglas dan Mantener. El negocio es bueno, pero el precio ya paga un crecimiento que la empresa no ha demostrado.</w:t>
      </w:r>
    </w:p>
    <w:p>
      <w:pPr>
        <w:spacing w:after="100"/>
      </w:pPr>
      <w:r>
        <w:rPr>
          <w:b/>
        </w:rPr>
        <w:t xml:space="preserve">El negocio.</w:t>
      </w:r>
      <w:r>
        <w:t xml:space="preserve"> El 39 % de los ingresos viene ya de las redes de distribución, un mercado regulado que crece por encima del 7 % anual [1][19]. Ese cambio de mezcla explica los 160 pb de mejora del margen EBITDA desde 2021 [1] y un ROIC del 11,8 %, por encima de un WACC del 8,5 %: la empresa crea valor, aunque con un foso estrecho.</w:t>
      </w:r>
    </w:p>
    <w:p>
      <w:pPr>
        <w:spacing w:after="100"/>
      </w:pPr>
      <w:r>
        <w:rPr>
          <w:b/>
        </w:rPr>
        <w:t xml:space="preserve">Finanzas.</w:t>
      </w:r>
      <w:r>
        <w:t xml:space="preserve"> La deuda neta ajustada es de 1,2 veces el EBITDA, con vencimientos cómodos [14]: el balance no es un riesgo. La conversión del beneficio en caja es buena y la calidad contable no muestra alertas.</w:t>
      </w:r>
    </w:p>
    <w:p>
      <w:pPr>
        <w:spacing w:after="100"/>
      </w:pPr>
      <w:r>
        <w:rPr>
          <w:b/>
        </w:rPr>
        <w:t xml:space="preserve">Valoración.</w:t>
      </w:r>
      <w:r>
        <w:t xml:space="preserve"> El DCF (50 % del peso) da 28,08 EUR, con una etapa de transición de cinco años (27,61 EUR sin ella), y los comparables 33,82 EUR; la dispersión es moderada. Lo decisivo es el DCF inverso: el precio descuenta un crecimiento del 8,5 % anual en 2027-2032, casi el doble del 4,6 % de nuestro caso base y por encima de su historia. Para que la acción suba hay que creer que automoción se recupera a la vez que redes sigue creciendo.</w:t>
      </w:r>
    </w:p>
    <w:p>
      <w:pPr>
        <w:spacing w:after="100"/>
      </w:pPr>
      <w:r>
        <w:rPr>
          <w:b/>
        </w:rPr>
        <w:t xml:space="preserve">Riesgos y catalizadores.</w:t>
      </w:r>
      <w:r>
        <w:t xml:space="preserve"> El riesgo principal es la competencia asiática en transformadores, que ya recortó el margen de un competidor en 2023 [26]; en el bajista resta unos 12 EUR por acción. El catalizador más cercano son los concursos de redes de 2027 [8].</w:t>
      </w:r>
    </w:p>
    <w:p>
      <w:pPr>
        <w:spacing w:after="100"/>
      </w:pPr>
      <w:r>
        <w:rPr>
          <w:b/>
        </w:rPr>
        <w:t xml:space="preserve">Qué cambiaría la decisión.</w:t>
      </w:r>
      <w:r>
        <w:t xml:space="preserve"> Compraríamos por debajo de 30,37 EUR o si la cartera de redes acelera por encima del 10 %; venderíamos por encima de 37,10 EUR o si la tasa de concursos ganados baja del 45 % [6].</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34,61 EUR</w:t>
      </w:r>
      <w:r>
        <w:t xml:space="preserve"> (rentabilidad +12,3 % (base +17,6 %)) · Valor intrínseco: 31,05 EUR (-1,1 % sobre 31,40) · con la prima implícita del mercado: 34,28 (+9,2 %)</w:t>
      </w:r>
    </w:p>
    <w:p>
      <w:pPr>
        <w:spacing w:after="100"/>
      </w:pPr>
      <w:r>
        <w:t xml:space="preserve">Ejemplo fabrica equipos eléctricos de media tensión y obtiene ya el </w:t>
      </w:r>
      <w:r>
        <w:rPr>
          <w:b/>
        </w:rPr>
        <w:t xml:space="preserve">39 % de sus ingresos de las redes de distribución</w:t>
      </w:r>
      <w:r>
        <w:t xml:space="preserve">, un mercado que crece por encima del 7 % anual por la inversión regulada en redes [1][19]. El margen EBITDA ha subido 160 pb desde 2021 por ese cambio de mezcla [1].</w:t>
      </w:r>
    </w:p>
    <w:p>
      <w:pPr>
        <w:spacing w:after="100"/>
      </w:pPr>
      <w:r>
        <w:t xml:space="preserve">Al precio actual, el DCF inverso dice que el mercado descuenta un crecimiento anual cercano al de nuestra proyección: el precio ya recoge buena parte de la tesis de redes [16].</w:t>
      </w:r>
    </w:p>
    <w:p>
      <w:pPr>
        <w:spacing w:after="100"/>
      </w:pPr>
      <w:r>
        <w:t xml:space="preserve">Para ganar dinero hay que creer que el margen de redes seguirá subiendo y que automoción se estabiliza en 2027; ninguna de las dos cosas está demostrada [5][6].</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 × 1,70 = 24,14 · 17,7x × 2,05 = 36,28 · 19,6x × 2,20 = 43,12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 / 17,6 %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34,50 (nuestro base +5,2 %)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 / -47,2 %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 frente a 8,5 % y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(4,3 %, WACC 7,4 %)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frente a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30,66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30,66 y 39,18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39,18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la zona de compra con la cartera de redes intacta, pasaríamos a Comprar.</w:t>
      </w:r>
    </w:p>
    <w:p>
      <w:pPr>
        <w:pStyle w:val="ListParagraph"/>
        <w:numPr>
          <w:ilvl w:val="0"/>
          <w:numId w:val="2"/>
        </w:numPr>
        <w:spacing w:after="60"/>
      </w:pPr>
      <w:r>
        <w:t xml:space="preserve">Si la tasa de concursos ganados en transformadores cae por debajo del 45 %, pasaríamos a Vender [6].</w:t>
      </w:r>
    </w:p>
    <w:p>
      <w:pPr>
        <w:pStyle w:val="ListParagraph"/>
        <w:numPr>
          <w:ilvl w:val="0"/>
          <w:numId w:val="2"/>
        </w:numPr>
        <w:spacing w:after="60"/>
      </w:pPr>
      <w:r>
        <w:t xml:space="preserve">Si la dirección presenta un plan creíble de reducción de capacidad en automoción, revisaríamos al alza el margen [8].</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ingresos en torno al 6 % anual y márgenes estables, en línea con el consenso [16][17].</w:t>
      </w:r>
    </w:p>
    <w:p>
      <w:pPr>
        <w:keepNext/>
        <w:spacing w:after="100"/>
      </w:pPr>
      <w:r>
        <w:rPr>
          <w:b/>
          <w:bCs/>
        </w:rPr>
        <w:t xml:space="preserve">Lo que creemos nosotros.</w:t>
      </w:r>
    </w:p>
    <w:p>
      <w:pPr>
        <w:spacing w:after="100"/>
      </w:pPr>
      <w:r>
        <w:t xml:space="preserve">Coincidimos en crecimiento, pero vemos más riesgo en el margen de automoción y en la presión de precios asiática en transformadores [26].</w:t>
      </w:r>
    </w:p>
    <w:p>
      <w:pPr>
        <w:keepNext/>
        <w:spacing w:after="100"/>
      </w:pPr>
      <w:r>
        <w:rPr>
          <w:b/>
          <w:bCs/>
        </w:rPr>
        <w:t xml:space="preserve">Por qué podemos tener razón.</w:t>
      </w:r>
    </w:p>
    <w:p>
      <w:pPr>
        <w:spacing w:after="100"/>
      </w:pPr>
      <w:r>
        <w:t xml:space="preserve">La dirección no ha concretado el plan de reducción de capacidad en automoción y los concursos de transformadores se están perdiendo por precio [6][7].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1,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pStyle w:val="Heading2"/>
      </w:pPr>
      <w:r>
        <w:t xml:space="preserve">A favor</w:t>
      </w:r>
    </w:p>
    <w:p>
      <w:pPr>
        <w:pStyle w:val="ListParagraph"/>
        <w:numPr>
          <w:ilvl w:val="0"/>
          <w:numId w:val="2"/>
        </w:numPr>
        <w:spacing w:after="60"/>
      </w:pPr>
      <w:r>
        <w:rPr>
          <w:b/>
        </w:rPr>
        <w:t xml:space="preserve">Redes eléctricas</w:t>
      </w:r>
      <w:r>
        <w:t xml:space="preserve">: cartera de pedidos de 1,9 veces los ingresos del segmento [4].</w:t>
      </w:r>
    </w:p>
    <w:p>
      <w:pPr>
        <w:pStyle w:val="ListParagraph"/>
        <w:numPr>
          <w:ilvl w:val="0"/>
          <w:numId w:val="2"/>
        </w:numPr>
        <w:spacing w:after="60"/>
      </w:pPr>
      <w:r>
        <w:rPr>
          <w:b/>
        </w:rPr>
        <w:t xml:space="preserve">Balance</w:t>
      </w:r>
      <w:r>
        <w:t xml:space="preserve">: deuda neta de 1,3x EBITDA y sin vencimientos relevantes hasta 2028 [1].</w:t>
      </w:r>
    </w:p>
    <w:p>
      <w:pPr>
        <w:pStyle w:val="ListParagraph"/>
        <w:numPr>
          <w:ilvl w:val="0"/>
          <w:numId w:val="2"/>
        </w:numPr>
        <w:spacing w:after="60"/>
      </w:pPr>
      <w:r>
        <w:rPr>
          <w:b/>
        </w:rPr>
        <w:t xml:space="preserve">Asignación de capital</w:t>
      </w:r>
      <w:r>
        <w:t xml:space="preserve">: recompras de 120 M en tres años con el ROIC por encima del WACC [1].</w:t>
      </w:r>
    </w:p>
    <w:p>
      <w:pPr>
        <w:pStyle w:val="ListParagraph"/>
        <w:numPr>
          <w:ilvl w:val="0"/>
          <w:numId w:val="2"/>
        </w:numPr>
        <w:spacing w:after="60"/>
      </w:pPr>
      <w:r>
        <w:rPr>
          <w:b/>
        </w:rPr>
        <w:t xml:space="preserve">Gobierno</w:t>
      </w:r>
      <w:r>
        <w:t xml:space="preserve">: mayoría de independientes y variable ligado al ROIC [9][10].</w:t>
      </w:r>
    </w:p>
    <w:p>
      <w:pPr>
        <w:pStyle w:val="Heading2"/>
      </w:pPr>
      <w:r>
        <w:t xml:space="preserve">En contra</w:t>
      </w:r>
    </w:p>
    <w:p>
      <w:pPr>
        <w:pStyle w:val="ListParagraph"/>
        <w:numPr>
          <w:ilvl w:val="0"/>
          <w:numId w:val="2"/>
        </w:numPr>
        <w:spacing w:after="60"/>
      </w:pPr>
      <w:r>
        <w:rPr>
          <w:b/>
        </w:rPr>
        <w:t xml:space="preserve">Automoción</w:t>
      </w:r>
      <w:r>
        <w:t xml:space="preserve"> sigue cayendo (−6 % en el primer semestre) [4].</w:t>
      </w:r>
    </w:p>
    <w:p>
      <w:pPr>
        <w:pStyle w:val="ListParagraph"/>
        <w:numPr>
          <w:ilvl w:val="0"/>
          <w:numId w:val="2"/>
        </w:numPr>
        <w:spacing w:after="60"/>
      </w:pPr>
      <w:r>
        <w:rPr>
          <w:b/>
        </w:rPr>
        <w:t xml:space="preserve">Cobre</w:t>
      </w:r>
      <w:r>
        <w:t xml:space="preserve">: una subida del 10 % resta unos 40 pb de margen bruto si no se traslada [1].</w:t>
      </w:r>
    </w:p>
    <w:p>
      <w:pPr>
        <w:pStyle w:val="ListParagraph"/>
        <w:numPr>
          <w:ilvl w:val="0"/>
          <w:numId w:val="2"/>
        </w:numPr>
        <w:spacing w:after="60"/>
      </w:pPr>
      <w:r>
        <w:rPr>
          <w:b/>
        </w:rPr>
        <w:t xml:space="preserve">Valoración</w:t>
      </w:r>
      <w:r>
        <w:t xml:space="preserve">: el precio ya descuenta la mejora de márgenes [18].</w:t>
      </w:r>
    </w:p>
    <w:p>
      <w:pPr>
        <w:pStyle w:val="ListParagraph"/>
        <w:numPr>
          <w:ilvl w:val="0"/>
          <w:numId w:val="2"/>
        </w:numPr>
        <w:spacing w:after="60"/>
      </w:pPr>
      <w:r>
        <w:rPr>
          <w:b/>
        </w:rPr>
        <w:t xml:space="preserve">Competencia asiática</w:t>
      </w:r>
      <w:r>
        <w:t xml:space="preserve"> en transformadores con precios un 15-20 % inferiores [26].</w:t>
      </w:r>
    </w:p>
    <w:p>
      <w:pPr>
        <w:pStyle w:val="Heading2"/>
      </w:pPr>
      <w:r>
        <w:t xml:space="preserve">Qué tiene que pasar para que la tesis funcione</w:t>
      </w:r>
    </w:p>
    <w:p>
      <w:pPr>
        <w:spacing w:after="100"/>
      </w:pPr>
      <w:r>
        <w:t xml:space="preserve">La tesis depende de que la cartera de redes se convierta en ingresos al ritmo previsto y de que automoción toque fondo en 2027. La señal de alarma sería una caída de la cartera de pedidos dos trimestres seguidos [4].</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de redes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los ingresos de 12-18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 automoción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cae más, el segmento destruye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cobre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9.800 USD/t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11.000 USD/t</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principal de los cables.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Concursos de transformadores ganados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presión asiática.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 / 10,5x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20,4x / 17,9x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Fundada en 1975 como taller de bobinado, salió a bolsa en 1998 y se transformó con dos compras: cables especiales en 2008 y aparamenta en 2015. La familia fundadora conserva el 28 %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Madrid.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un fabricante de cables especiales.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aparamenta de media tensión.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consejera delegada.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cables especiales en Polonia por 120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estratégico 2025-2028 [8].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Diseña y fabrica aparamenta, transformadores de distribución y cableado para tres mercados: redes eléctricas, industria y automoción. Vende sobre todo a distribuidoras eléctricas con contratos marco de 3-5 años y a fabricantes industriales; tiene 14 plantas en seis países [1].</w:t>
      </w:r>
    </w:p>
    <w:p>
      <w:pPr>
        <w:pStyle w:val="Heading2"/>
      </w:pPr>
      <w:r>
        <w:t xml:space="preserve">Cómo gana dinero</w:t>
      </w:r>
    </w:p>
    <w:p>
      <w:pPr>
        <w:spacing w:after="100"/>
      </w:pPr>
      <w:r>
        <w:t xml:space="preserve">El 45 % de los ingresos de redes viene de contratos marco con revisión de precios por cobre. El margen depende del precio del cobre, de la utilización de las plantas (81 %) y de la mezcla: redes deja 17 % de margen EBIT frente al 6 % de automoción [1][4].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 eléctricas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Automoción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 eléctricas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Automoción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diez primeros clientes son el 31 % de las ventas; el mayor, el 7 %. La tasa de renovación de contratos marco es del 92 % [1]. Subió precios un 9 % en 2022-2023, frente a una inflación de costes del 11 % [2][3].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1,9 años de ingresos de redes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1 seis trimestres seguidos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Utilización de plantas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Cerca del límite en transformadores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Concursos ganados (transformadores)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de precios asiática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europeo de equipos de distribución eléctrica de media y baja tensión. Tomamos la cifra de la asociación sectorial [19]; la previsión de inversión del organismo europeo da un tamaño un 8 % mayor por perímetro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42.000 M EUR en 2025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regulada en redes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europeo de 584.000 M EUR hasta 2030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de la industria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eléctrica industrial +2 % anual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automóviles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2019 en un 18 %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cobre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 del coste de materiales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y una cola de especialistas; precios estables salvo en transformadores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Distribuidoras grandes que licitan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Cobre y acero cotizan en mercado; poca diferenciación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Homologaciones de 2-3 años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alternativa a la red física [19].</w:t>
            </w:r>
          </w:p>
        </w:tc>
      </w:tr>
    </w:tbl>
    <w:p>
      <w:pPr>
        <w:spacing w:after="160" w:before="0"/>
      </w:pPr>
    </w:p>
    <w:p>
      <w:pPr>
        <w:pStyle w:val="Heading2"/>
      </w:pPr>
      <w:r>
        <w:t xml:space="preserve">Ciclo</w:t>
      </w:r>
    </w:p>
    <w:p>
      <w:pPr>
        <w:spacing w:after="100"/>
      </w:pPr>
      <w:r>
        <w:t xml:space="preserve">La inversión en redes está en máximos y la regulación la asegura hasta 2030 [20]. En 2009 el sector cayó un 12 % y en 2020 un 8 %, la mitad que la industria [19].</w:t>
      </w:r>
    </w:p>
    <w:p>
      <w:pPr>
        <w:pStyle w:val="Heading2"/>
      </w:pPr>
      <w:r>
        <w:t xml:space="preserve">Regulación</w:t>
      </w:r>
    </w:p>
    <w:p>
      <w:pPr>
        <w:spacing w:after="100"/>
      </w:pPr>
      <w:r>
        <w:t xml:space="preserve">La remuneración regulada de las distribuidoras fija su inversión: la revisión de 2026 sube la tasa de retribución al 6,5 % [20].</w:t>
      </w:r>
    </w:p>
    <w:p>
      <w:pPr>
        <w:pStyle w:val="Heading2"/>
      </w:pPr>
      <w:r>
        <w:t xml:space="preserve">Tendencias y disrupción</w:t>
      </w:r>
    </w:p>
    <w:p>
      <w:pPr>
        <w:spacing w:after="100"/>
      </w:pPr>
      <w:r>
        <w:t xml:space="preserve">Digitalización de la red (sensores, telecontrol) y entrada de fabricantes asiáticos en transformadores. Ejemplo gana con la primera y pierde con la segunda [26].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5.º fabricante europeo de equipos de distribución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Alfa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aparamenta; compite en precio en grandes concursos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en transformadores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Gamma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 software de red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Delta Cables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Especialista en cable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equipos.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Homologaciones de 2-3 años con cada distribuidora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140 patentes, ninguna crítica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por debajo de los dos líderes [21][22].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en España con el 22 % de cuota [19].</w:t>
            </w:r>
          </w:p>
        </w:tc>
      </w:tr>
    </w:tbl>
    <w:p>
      <w:pPr>
        <w:spacing w:after="160" w:before="0"/>
      </w:pPr>
    </w:p>
    <w:p>
      <w:pPr>
        <w:pStyle w:val="Heading2"/>
      </w:pPr>
      <w:r>
        <w:t xml:space="preserve">Amenazas</w:t>
      </w:r>
    </w:p>
    <w:p>
      <w:pPr>
        <w:spacing w:after="100"/>
      </w:pPr>
      <w:r>
        <w:t xml:space="preserve">Fabricantes asiáticos de transformadores con precios un 15-20 % inferiores, ya homologados en dos distribuidoras europeas [26].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2016-2025: ingresos </w:t>
      </w:r>
      <w:r>
        <w:rPr>
          <w:b/>
          <w:bCs/>
        </w:rPr>
        <w:t xml:space="preserve">5,1 %</w:t>
      </w:r>
      <w:r>
        <w:t xml:space="preserve">, EBITDA </w:t>
      </w:r>
      <w:r>
        <w:rPr>
          <w:b/>
          <w:bCs/>
        </w:rPr>
        <w:t xml:space="preserve">6,5 %</w:t>
      </w:r>
      <w:r>
        <w:t xml:space="preserve">, BPA </w:t>
      </w:r>
      <w:r>
        <w:rPr>
          <w:b/>
          <w:bCs/>
        </w:rPr>
        <w:t xml:space="preserve">7,8 %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un 5,5 % anual en 2016-2025, con un 2020 de caída (−7,5 %) por automoción. El margen EBITDA pasó del 14,1 % al 15,9 % por el mayor peso de redes [1][2][3].</w:t>
      </w:r>
    </w:p>
    <w:p>
      <w:pPr>
        <w:pStyle w:val="Heading2"/>
      </w:pPr>
      <w:r>
        <w:t xml:space="preserve">Ajustes y partidas no recurrentes</w:t>
      </w:r>
    </w:p>
    <w:p>
      <w:pPr>
        <w:spacing w:after="100"/>
      </w:pPr>
      <w:r>
        <w:t xml:space="preserve">Las cifras son las reportadas. Los no recurrentes (reestructuración en 2020 y 2023) fueron inferiores al 3 % del EBIT [1][3].</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 dirección elevó la guía de margen al 16 % y anunció un plan de capacidad en transformadores. Los analistas preguntaron cuatro veces por los precios asiáticos; la respuesta fue genérica [5][6]. Frente a la conferencia anterior, el discurso sobre automoción pasó de «estabilización» a «revisión de la capacidad»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compra de Aparamenta Boreal (ficticia), consolidada desde octubre: tres meses en la cuenta y el balance completo).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baja de 2,0x a 1,3x EBITDA desde 2022. El ciclo de caja se ha mantenido estable en torno a 90 días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829</w:t>
      </w:r>
      <w:r>
        <w:t xml:space="preserve">, conversión </w:t>
      </w:r>
      <w:r>
        <w:rPr>
          <w:b/>
          <w:bCs/>
        </w:rPr>
        <w:t xml:space="preserve">67 %</w:t>
      </w:r>
      <w:r>
        <w:t xml:space="preserve"> del beneficio neto; adquisiciones 220, dividendos 541, recompras 120.</w:t>
      </w:r>
    </w:p>
    <w:p>
      <w:pPr>
        <w:spacing w:after="100"/>
      </w:pPr>
      <w:r>
        <w:t xml:space="preserve">La conversión de beneficio en caja es alta salvo en 2022, por la acumulación de inventario de cobre. La empresa estima el capex de mantenimiento en el 3 % de las ventas [1][8].</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Auditora Ejemplo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Sin cambios de criterio en cinco años. Capitaliza el 30 % del gasto en desarrollo, en línea con el sector [1]. Los tres indicadores del motor no muestran señales de alarma.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Factoring sin recurso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120 M fuera del balance que mejoran el circulante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19,3 % · </w:t>
      </w:r>
      <w:r>
        <w:rPr>
          <w:b/>
          <w:bCs/>
        </w:rPr>
        <w:t xml:space="preserve">WACC</w:t>
      </w:r>
      <w:r>
        <w:t xml:space="preserve">: 8,5 %.</w:t>
      </w:r>
    </w:p>
    <w:p>
      <w:pPr>
        <w:spacing w:after="100"/>
      </w:pPr>
      <w:r>
        <w:t xml:space="preserve">El ROIC supera al WACC todos los años desde 2016 y el diferencial se amplía con el peso de redes. El ROIC incremental confirma que el crecimiento reciente crea valor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210 M y líneas comprometidas no dispuestas de 500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(agencia ficticia), perspectiva estable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 de DN/EBITDA &lt; 3,5x, con holgura amplia. Factoring sin recurso de 120 M, que conviene sumar a la deuda en una lectura prudente. Reclamación fiscal de 18 M en Brasil, provisionada al 50 % [1].</w:t>
      </w:r>
    </w:p>
    <w:p>
      <w:pPr>
        <w:pStyle w:val="Heading1"/>
      </w:pPr>
      <w:r>
        <w:t xml:space="preserve">12. Asignación de capital</w:t>
      </w:r>
    </w:p>
    <w:p>
      <w:pPr>
        <w:pStyle w:val="Confianza"/>
        <w:spacing w:after="100"/>
      </w:pPr>
      <w:r>
        <w:t xml:space="preserve">Confianza: Alta</w:t>
      </w:r>
    </w:p>
    <w:p>
      <w:pPr>
        <w:spacing w:after="100"/>
      </w:pPr>
      <w:r>
        <w:t xml:space="preserve">Reparte el 40-50 % del beneficio y tiene un programa de recompra de hasta 100 M. Prioridad declarada: crecimiento orgánico en redes y compras pequeñas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Cables especiales (Polonia)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Cumple el plan; 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Software de red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 en redes [2].</w:t>
            </w:r>
          </w:p>
        </w:tc>
      </w:tr>
    </w:tbl>
    <w:p>
      <w:pPr>
        <w:spacing w:after="160" w:before="0"/>
      </w:pPr>
    </w:p>
    <w:p>
      <w:pPr>
        <w:spacing w:after="100"/>
      </w:pPr>
      <w:r>
        <w:t xml:space="preserve">Disciplina razonable: compras pequeñas a múltiplos moderados y recompras con el ROIC por encima del WACC [1][8].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Directora General (ficticia)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dirigió redes; con ella el margen EBITDA ha subido 160 pb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Director Financiero (ficticio)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Viene de un grupo industrial cotizado [9].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Crecer 5-7 %; margen ≥ 14,5 %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+6,2 %; 14,9 %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Crecer 5-7 %; margen ≥ 15 %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+4,8 %; 15,4 %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Crecer ~5 %; margen ≥ 15,5 %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 15,9 %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Cumple o casi cumple sus guías desde 2023. Sucesión sin plan público [9].</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(ficticio)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Directora General (ficticia)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 familiar (ficticio)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Consejera independiente A (ficticia)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 independiente B (ficticio)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Consejera independiente C (ficticia)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 independiente D (ficticio)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0,64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fundadora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pensiones nórdico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desde el 3,0 % en 2025 [11]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Gestora estadounidense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[11]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recompras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B</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 largo plazo depende al 50 % del ROIC y al 50 % del rendimiento total frente al IBEX; tiene cláusula de recuperación [10].</w:t>
      </w:r>
    </w:p>
    <w:p>
      <w:pPr>
        <w:pStyle w:val="Heading2"/>
      </w:pPr>
      <w:r>
        <w:t xml:space="preserve">Operaciones vinculadas, estructura de control y defensas</w:t>
      </w:r>
    </w:p>
    <w:p>
      <w:pPr>
        <w:spacing w:after="100"/>
      </w:pPr>
      <w:r>
        <w:t xml:space="preserve">La familia fundadora tiene el 28 % sin pacto con otros accionistas. No hay operaciones vinculadas relevantes ni límites de voto [9].</w:t>
      </w:r>
    </w:p>
    <w:p>
      <w:pPr>
        <w:pStyle w:val="Heading2"/>
      </w:pPr>
      <w:r>
        <w:t xml:space="preserve">Señales de alerta</w:t>
      </w:r>
    </w:p>
    <w:p>
      <w:pPr>
        <w:pStyle w:val="ListParagraph"/>
        <w:numPr>
          <w:ilvl w:val="0"/>
          <w:numId w:val="2"/>
        </w:numPr>
        <w:spacing w:after="60"/>
      </w:pPr>
      <w:r>
        <w:t xml:space="preserve">Ninguna relevante detectada tras revisar IAGC, IARC y hechos relevantes [12][13].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crecimiento del 6-8 % y margen EBITDA ≥ 16 %, elevado en julio de 2026 [4]. Plan 2028: margen del 17 %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11 analistas [16]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11 analistas [16]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9 analistas [17]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27,00 – 40,00</w:t>
            </w:r>
          </w:p>
        </w:tc>
      </w:tr>
    </w:tbl>
    <w:p>
      <w:pPr>
        <w:spacing w:after="160" w:before="0"/>
      </w:pPr>
    </w:p>
    <w:p>
      <w:pPr>
        <w:pStyle w:val="Heading2"/>
      </w:pPr>
      <w:r>
        <w:t xml:space="preserve">Revisiones de estimaciones</w:t>
      </w:r>
    </w:p>
    <w:p>
      <w:pPr>
        <w:spacing w:after="100"/>
      </w:pPr>
      <w:r>
        <w:t xml:space="preserve">El BPA de 2026 sube un 3 % en tres meses y un 7 % en doce, tras subir la guía de margen [16][17].</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r>
    </w:tbl>
    <w:p>
      <w:pPr>
        <w:spacing w:after="160" w:before="0"/>
      </w:pPr>
    </w:p>
    <w:p>
      <w:pPr>
        <w:spacing w:after="100"/>
      </w:pPr>
      <w:r>
        <w:t xml:space="preserve">Supera al índice en el último año por la mejora de márgenes, pero se queda por detrás del sector, que se ha beneficiado más del ciclo de redes [15].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Cotiza por encima de su media de diez años; la prima se explica por el mayor peso de redes, más estable [18].</w:t>
      </w:r>
    </w:p>
    <w:p>
      <w:pPr>
        <w:pStyle w:val="Heading1"/>
      </w:pPr>
      <w:r>
        <w:t xml:space="preserve">18. Comparables cotizados</w:t>
      </w:r>
    </w:p>
    <w:p>
      <w:pPr>
        <w:pStyle w:val="Confianza"/>
        <w:spacing w:after="100"/>
      </w:pPr>
      <w:r>
        <w:t xml:space="preserve">Confianza: Media</w:t>
      </w:r>
    </w:p>
    <w:p>
      <w:pPr>
        <w:spacing w:after="100"/>
      </w:pPr>
      <w:r>
        <w:t xml:space="preserve">Fabricantes europeos cotizados de equipos de distribución eléctrica con más de 1.000 M de ingresos. Se excluyen los conglomerados con menos del 40 % del negocio en distribución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Compañía Ejemplo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Alfa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Gamma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Delta Cables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Epsilon Grid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Zeta Power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10,9x / 12,5x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 / 11,9x / 13,7x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19,8x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 / 1,8x / 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4,4 + 1,05 × crecimiento; R² = 0,97. Para el crecimiento esperado de la empresa (6,6 %), el múltiplo ajustado es 11,4x y el valor por acción, 34,55.</w:t>
      </w:r>
    </w:p>
    <w:p>
      <w:pPr>
        <w:spacing w:after="100"/>
      </w:pPr>
      <w:r>
        <w:t xml:space="preserve">Ejemplo cotiza en la mitad baja del rango, coherente con un crecimiento y un ROIC por debajo de los líderes. La regresión sobre el crecimiento explica bien el múltiplo [15].</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 nórdico de aparamenta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Alfa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estratégica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Delta Transformers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capital privado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con exclusión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Cables industriales (Portugal)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Energy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un fondo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sensores de red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Gamma Systems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Cables especiales (Polonia)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Compañía Ejemplo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propia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10,5x (9,2x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24,24 – 35,26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equipos de red se pagan a 9-13x EBITDA. Con la familia en el 28 %, una OPA hostil no es probable [9][23].</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Seguimos el consenso en 2026-2028 (6-7 %) y convergemos al 3 % en 2032, por debajo del crecimiento previsto del mercado (7,3 %) [16][19].</w:t>
      </w:r>
    </w:p>
    <w:p>
      <w:pPr>
        <w:keepNext/>
        <w:spacing w:after="100"/>
      </w:pPr>
      <w:r>
        <w:rPr>
          <w:b/>
          <w:bCs/>
        </w:rPr>
        <w:t xml:space="preserve">Márgenes.</w:t>
      </w:r>
    </w:p>
    <w:p>
      <w:pPr>
        <w:spacing w:after="100"/>
      </w:pPr>
      <w:r>
        <w:t xml:space="preserve">El margen sube hasta el 16,8 %, por debajo del objetivo del plan (17 %) [8], por la presión en transformadores [26].</w:t>
      </w:r>
    </w:p>
    <w:p>
      <w:pPr>
        <w:keepNext/>
        <w:spacing w:after="100"/>
      </w:pPr>
      <w:r>
        <w:rPr>
          <w:b/>
          <w:bCs/>
        </w:rPr>
        <w:t xml:space="preserve">Inversión y circulante.</w:t>
      </w:r>
    </w:p>
    <w:p>
      <w:pPr>
        <w:spacing w:after="100"/>
      </w:pPr>
      <w:r>
        <w:t xml:space="preserve">Capex del 5 % por el plan de capacidad hasta 2028 y del 4,5 % después, por encima de la amortización (4,3 %) [8].</w:t>
      </w:r>
    </w:p>
    <w:p>
      <w:pPr>
        <w:keepNext/>
        <w:spacing w:after="100"/>
      </w:pPr>
      <w:r>
        <w:rPr>
          <w:b/>
          <w:bCs/>
        </w:rPr>
        <w:t xml:space="preserve">Coste del capital.</w:t>
      </w:r>
    </w:p>
    <w:p>
      <w:pPr>
        <w:spacing w:after="100"/>
      </w:pPr>
      <w:r>
        <w:t xml:space="preserve">Bono español a 10 años del 3,2 % [15], beta ajustada de 1,05 y prima de mercado del 5,5 %, más 0,5 puntos por tamaño [15].</w:t>
      </w:r>
    </w:p>
    <w:p>
      <w:pPr>
        <w:keepNext/>
        <w:spacing w:after="100"/>
      </w:pPr>
      <w:r>
        <w:rPr>
          <w:b/>
          <w:bCs/>
        </w:rPr>
        <w:t xml:space="preserve">Valor terminal.</w:t>
      </w:r>
    </w:p>
    <w:p>
      <w:pPr>
        <w:spacing w:after="100"/>
      </w:pPr>
      <w:r>
        <w:t xml:space="preserve">Crecimiento a perpetuidad del 2 %, en línea con la inflación a largo plazo; el múltiplo implícito se compara con los comparables [15].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5 años el DCF da 28,08 por acción; sin ella (crecimiento terminal desde 2032e), 27,61.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Las redes de distribución tienen inversión regulada comprometida hasta 2037 y la empresa solo cubre el 9 % del mercado europeo: el crecimiento de esa división dura más que la proyección explícita, aunque a un ritmo que converge con el de la inflación [19].</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M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 (hoy: 4,1 %)</w:t>
            </w:r>
          </w:p>
        </w:tc>
      </w:tr>
    </w:tbl>
    <w:p>
      <w:pPr>
        <w:spacing w:after="160" w:before="0"/>
      </w:pPr>
    </w:p>
    <w:p>
      <w:pPr>
        <w:spacing w:after="100"/>
      </w:pPr>
      <w:r>
        <w:t xml:space="preserve">La proyección apenas necesita inversión neta de la amortización (reinversión acumulada de 267 M, el 11 % del NOPAT, con un capex bruto medio del 4,7 % de las ventas). En un negocio de activos ligeros, el crecimiento medio del 4,9 % tiene que salir de subir precios y de ganar volumen sin capital nuevo, y la prueba es el poder de precios y la cuota (6,1 % del mercado en 2032e, frente al 4,1 %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redes de 1,4 años de ventas y subidas indexadas al cobre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capacidad: +12 % de producción de transformadores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regulada en redes [20].</w:t>
            </w:r>
          </w:p>
        </w:tc>
      </w:tr>
    </w:tbl>
    <w:p>
      <w:pPr>
        <w:spacing w:after="160" w:before="0"/>
      </w:pPr>
    </w:p>
    <w:p>
      <w:pPr>
        <w:spacing w:after="100"/>
      </w:pPr>
      <w:r>
        <w:t xml:space="preserve">El crecimiento proyectado (5 % de media) está por debajo del previsto para el mercado (7,3 %) [19] y se apoya en una cartera de pedidos que ya cubre 1,4 años de ventas [5]. La reinversión prevista lo financia con el ROIC actual y la cuota apenas cambia. El poder de precios es limitado (la competencia asiática presiona en transformadores [26]), por eso el precio aporta solo 2,5 puntos al año.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 (base: 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 (base: 16,8 %)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 (WACC: 8,5 %)</w:t>
            </w:r>
          </w:p>
        </w:tc>
      </w:tr>
    </w:tbl>
    <w:p>
      <w:pPr>
        <w:spacing w:after="160" w:before="0"/>
      </w:pPr>
    </w:p>
    <w:p>
      <w:pPr>
        <w:spacing w:after="100"/>
      </w:pPr>
      <w:r>
        <w:t xml:space="preserve">El DCF base da un valor cercano al precio actual; el valor terminal pesa en torno al 70 %. El DCF inverso dice que el mercado descuenta un crecimiento similar al de nuestra proyección: no hay margen de seguridad sin una mejora adicional del margen [16].</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Automoción sigue cayendo y la competencia asiática recorta el margen de transformadores, como le pasó a Delta Cables en 2023 [26].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crece según la cartera y automoción se estabiliza en 2027 [4].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Contratos en Norteamérica y margen de redes al 19 % [8].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31,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26,90 EUR (-14,3 %).</w:t>
      </w:r>
    </w:p>
    <w:p>
      <w:pPr>
        <w:spacing w:after="100"/>
      </w:pPr>
      <w:r>
        <w:t xml:space="preserve">La asimetría es desfavorable: el bajista pierde más de lo que gana el alcista [16].</w:t>
      </w:r>
    </w:p>
    <w:p>
      <w:pPr>
        <w:pStyle w:val="Heading1"/>
      </w:pPr>
      <w:r>
        <w:t xml:space="preserve">22. Suma de partes</w:t>
      </w:r>
    </w:p>
    <w:p>
      <w:pPr>
        <w:pStyle w:val="Confianza"/>
        <w:spacing w:after="100"/>
      </w:pPr>
      <w:r>
        <w:t xml:space="preserve">Confianza: Media</w:t>
      </w:r>
    </w:p>
    <w:p>
      <w:pPr>
        <w:spacing w:after="100"/>
      </w:pPr>
      <w:r>
        <w:t xml:space="preserve">Tres negocios con perfiles muy distintos: la suma de partes muestra cuánto vale redes por separado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 eléctricas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comparables puros de redes [15].</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Fabricantes industriales diversificados [15].</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Automoción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Proveedores de automoción europeos [15].</w:t>
            </w:r>
          </w:p>
        </w:tc>
      </w:tr>
    </w:tbl>
    <w:p>
      <w:pPr>
        <w:spacing w:after="160" w:before="0"/>
      </w:pPr>
    </w:p>
    <w:p>
      <w:pPr>
        <w:spacing w:after="100"/>
      </w:pPr>
      <w:r>
        <w:rPr>
          <w:b/>
          <w:bCs/>
        </w:rPr>
        <w:t xml:space="preserve">Valor por acción por suma de partes:</w:t>
      </w:r>
      <w:r>
        <w:t xml:space="preserve"> 40,44 (+28,8 %); con ±1x en los múltiplos, 33,78 – 47,09.</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31,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spacing w:after="100"/>
      </w:pPr>
      <w:r>
        <w:rPr>
          <w:b/>
          <w:bCs/>
        </w:rPr>
        <w:t xml:space="preserve">Valor intrínseco ponderado (largo plazo):</w:t>
      </w:r>
      <w:r>
        <w:t xml:space="preserve"> 31,05 EUR (-1,1 % sobre 31,40).</w:t>
      </w:r>
    </w:p>
    <w:p>
      <w:pPr>
        <w:spacing w:after="100"/>
      </w:pPr>
      <w:r>
        <w:t xml:space="preserve">El DCF pesa la mitad porque el negocio es predecible y regulado en redes. Las transacciones pesan poco: con la familia en el 28 %, una operación de control no es probable [9].</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(17x) a mitad de camino hacia la mediana de 5 años (18.5x)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+39,4 %</w:t>
            </w:r>
          </w:p>
        </w:tc>
      </w:tr>
    </w:tbl>
    <w:p>
      <w:pPr>
        <w:spacing w:after="160" w:before="0"/>
      </w:pPr>
    </w:p>
    <w:p>
      <w:pPr>
        <w:spacing w:after="100"/>
      </w:pPr>
      <w:r>
        <w:rPr>
          <w:b/>
          <w:bCs/>
        </w:rPr>
        <w:t xml:space="preserve">Objetivo a 12 meses (ponderado):</w:t>
      </w:r>
      <w:r>
        <w:t xml:space="preserve"> 34,61 EUR · rentabilidad +12,3 % (base +17,6 %) · señal Mantener.</w:t>
      </w:r>
    </w:p>
    <w:p>
      <w:pPr>
        <w:keepNext/>
        <w:spacing w:after="100"/>
      </w:pPr>
      <w:r>
        <w:rPr>
          <w:b/>
          <w:bCs/>
        </w:rPr>
        <w:t xml:space="preserve">Frente al consenso (solo contraste).</w:t>
      </w:r>
    </w:p>
    <w:p>
      <w:pPr>
        <w:spacing w:after="100"/>
      </w:pPr>
      <w:r>
        <w:t xml:space="preserve">Nuestro BPA de 2028 (2,05) queda un 1,5 % por encima del consenso (2,02) por un margen de Redes algo mayor. Nuestro base (34,85) se separa un 1 % de su objetivo medio: llegamos al mismo sitio con nuestras cifras.</w:t>
      </w:r>
    </w:p>
    <w:p>
      <w:pPr>
        <w:keepNext/>
        <w:spacing w:after="100"/>
      </w:pPr>
      <w:r>
        <w:rPr>
          <w:b/>
          <w:bCs/>
        </w:rPr>
        <w:t xml:space="preserve">Del valor intrínseco al objetivo a 12 meses.</w:t>
      </w:r>
    </w:p>
    <w:p>
      <w:pPr>
        <w:spacing w:after="100"/>
      </w:pPr>
      <w:r>
        <w:t xml:space="preserve">El valor intrínseco (31,05) queda cerca del precio y el objetivo a 12 meses apenas por encima: casi todo el potencial a un año viene del crecimiento del beneficio, no de una revalorización del múltiplo. El catalizador que cerraría la distancia al alcista son las adjudicaciones de redes del primer semestre de 2027.</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oct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tercer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 la cartera de redes y la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para automoción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regulatoria de redes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las distribuidoras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del bono de 300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de la refinanciación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asiática en transformadores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Homologaciones y servicio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ganados &lt;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prolongada de automoción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decreciente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&lt;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cobre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Cláusulas en el 45 % de redes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Cobre &gt; 11.000 USD/t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Retrasos en la inversión de redes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Marco regulado hasta 2030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la tasa de retribución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del plan de capacidad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por fases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o sobrecostes &gt;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 la consejera delegada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directivo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Salidas en la alta dirección</w:t>
            </w:r>
          </w:p>
        </w:tc>
      </w:tr>
    </w:tbl>
    <w:p>
      <w:pPr>
        <w:spacing w:after="160" w:before="0"/>
      </w:pPr>
    </w:p>
    <w:p>
      <w:pPr>
        <w:pStyle w:val="Heading2"/>
      </w:pPr>
      <w:r>
        <w:t xml:space="preserve">Pre-mortem</w:t>
      </w:r>
    </w:p>
    <w:p>
      <w:pPr>
        <w:spacing w:after="100"/>
      </w:pPr>
      <w:r>
        <w:t xml:space="preserve">Es 2029 y la acción ha caído un 40 %. Los fabricantes asiáticos ganaron tres concursos grandes en 2027 y el margen de transformadores cayó 4 puntos. Al mismo tiempo, automoción perdió otro 15 % de volumen y la empresa tardó en cerrar capacidad. El mercado dejó de pagar la prima de redes. La señal estaba en la tasa de concursos ganados, que ya bajaba en 2026 [6][26].</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Proveedor ESG 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Proveedor ESG B</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bajo (17,2)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2026-05</w:t>
            </w:r>
          </w:p>
        </w:tc>
      </w:tr>
    </w:tbl>
    <w:p>
      <w:pPr>
        <w:spacing w:after="160" w:before="0"/>
      </w:pPr>
    </w:p>
    <w:p>
      <w:pPr>
        <w:pStyle w:val="Heading2"/>
      </w:pPr>
      <w:r>
        <w:t xml:space="preserve">Asuntos materiales</w:t>
      </w:r>
    </w:p>
    <w:p>
      <w:pPr>
        <w:spacing w:after="100"/>
      </w:pPr>
      <w:r>
        <w:t xml:space="preserve">El 38 % de los ingresos es elegible en la taxonomía europea por su papel en la electrificación [1]. El consumo energético de las fundiciones expone a la empresa al precio del CO₂ [24].</w:t>
      </w:r>
    </w:p>
    <w:p>
      <w:pPr>
        <w:pStyle w:val="Heading2"/>
      </w:pPr>
      <w:r>
        <w:t xml:space="preserve">Controversias</w:t>
      </w:r>
    </w:p>
    <w:p>
      <w:pPr>
        <w:spacing w:after="100"/>
      </w:pPr>
      <w:r>
        <w:t xml:space="preserve">Sin controversias relevantes en los últimos tres años [24].</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Automoción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capacidad se cerrará y con qué coste?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segmento deja de destruir valor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Transformadores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diferencial de precio frente a los fabricantes asiáticos en los últimos concursos?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del margen [26].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se exige al plan de capacidad?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450 M de capex hasta 2028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Factoring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mantendrá el factoring sin recurso?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120 M fuera de la deuda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plan de sucesión para la consejera delegada?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público [9].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cartera tiene en Norteamérica y con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palanca del escenario alcista [25].</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inversores 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inversores particulares celebran la cartera de redes y piden más dividendo [27].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Comentarios de lectores (prensa económica)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Dudas sobre el margen de automoción; pocos comentarios con datos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 de inversores B</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Inquietud por los precios de los fabricantes asiáticos en transformadores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redes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la cartera crece y cubre 1,4 años de ventas [5].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asiática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el riesgo principal del informe; el margen aún no lo refleja [26].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payout ya está en la parte alta de la política [1].</w:t>
            </w:r>
          </w:p>
        </w:tc>
      </w:tr>
    </w:tbl>
    <w:p>
      <w:pPr>
        <w:spacing w:after="160" w:before="0"/>
      </w:pPr>
    </w:p>
    <w:p>
      <w:pPr>
        <w:spacing w:after="100"/>
      </w:pPr>
      <w:r>
        <w:t xml:space="preserve">El tono se ha enfriado desde los resultados del 1S: el optimismo por las redes sigue, pero el hilo más activo de septiembre gira en torno a la competencia asiática [27, 29]. No aporta cifras nuevas; confirma que el mercado ya mira el riesgo de margen que el informe sitúa en primer lugar, de modo que no es un catalizador oculto.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1 explicados. Fuentes: 29 (15 primarias); citas distintas en el texto: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6,1 % en 2032e frente al 4,1 %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20,4 % frente a 20,4 % real: genera una variación de circulante de 40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11,8 % frente a WACC 8,5 %: crecer apenas crea valor; la etapa de transición infla el DCF sin base. Explicación: El ROIC del grupo (11,8 %) se queda corto, pero el de redes, que es lo que sigue creciendo, supera el 20 % con retribución regulada; la etapa solo añade un 2 % al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 de la remuneración del primer ejecutivo sobre el salario 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no lo publica; 2) informe de sostenibilidad (EINF): da el salario medio pero no el ratio; 3) búsqueda en prensa económica: sin resultados. Calculado a partir de 1) y 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Compañía Ejemplo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2024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Compañía Ejemplo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2023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Compañía Ejemplo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1S 2026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Compañía Ejemplo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 2026 (ficticia)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Compañía Ejemplo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con analistas 1S 2026, transcripción (ficticia)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Compañía Ejemplo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con analistas 1T 2026, transcripción (ficticia)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Compañía Ejemplo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estratégico 2025-2028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Compañía Ejemplo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Compañía Ejemplo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remuneraciones 2025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Compañía Ejemplo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significativas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Posiciones cortas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rating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de rating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e históricos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de datos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mercado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de datos 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mercado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de datos 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históricos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de datos 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Estudio del mercado europeo de distribución eléctrica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Asociación 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Previsión de inversión en redes (ficticia)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Organismo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2025 de Grupo Alfa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Alfa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2025 de Beta Energy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Energy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 operaciones corporativas (ficticia)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de datos 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ESG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inicio de cobertura (ficticia)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Artículo sobre la entrada de fabricantes asiáticos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 económica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«Compañía Ejemplo tras el 1S 2026»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inversores 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de lectores a la noticia de resultados del 1S (ficticios)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 económica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sobre transformadores asiáticos (ficticio)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inversores 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https://example.com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97,4 %</w:t>
      </w:r>
      <w:r>
        <w:t xml:space="preserve"> · Secciones con menos del 60 % de campos cubiertos: </w:t>
      </w:r>
      <w:r>
        <w:rPr>
          <w:b/>
          <w:bCs/>
        </w:rPr>
        <w:t xml:space="preserve">ninguna</w:t>
      </w:r>
      <w:r>
        <w:t xml:space="preserve"> · Generado el 14 oct 2026.</w:t>
      </w:r>
    </w:p>
    <w:p>
      <w:pPr>
        <w:pStyle w:val="Nota"/>
        <w:spacing w:after="100"/>
      </w:pPr>
      <w:r>
        <w:t xml:space="preserve">EJEMPLO FICTICIO para probar la plantilla y el motor: la empresa, las personas y todas las cifras son inventadas.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Compañía Ejemplo, S.A. (EJM)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31,40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(24,10 – 33,90)</c:v>
                </c:pt>
                <c:pt idx="1">
                  <c:v>Precio objetivo de los analistas (27,00 – 40,00)</c:v>
                </c:pt>
                <c:pt idx="2">
                  <c:v>Comparables: EV/EBITDA NTM (29,06 – 38,26)</c:v>
                </c:pt>
                <c:pt idx="3">
                  <c:v>Comparables: PER NTM (29,92 – 38,77)</c:v>
                </c:pt>
                <c:pt idx="4">
                  <c:v>Transacciones precedentes (EV/EBITDA) (24,24 – 35,26)</c:v>
                </c:pt>
                <c:pt idx="5">
                  <c:v>DCF (WACC y g ± 0,5) (24,70 – 32,63)</c:v>
                </c:pt>
                <c:pt idx="6">
                  <c:v>Escenarios (bajista – alcista) (16,57 – 36,55)</c:v>
                </c:pt>
                <c:pt idx="7">
                  <c:v>Suma de partes (33,78 – 47,09)</c:v>
                </c:pt>
                <c:pt idx="8">
                  <c:v>DCF con la prima implícita del mercado (4,3 %)</c:v>
                </c:pt>
                <c:pt idx="9">
                  <c:v>Precio actual (31,40)</c:v>
                </c:pt>
              </c:strCache>
            </c:strRef>
          </c:cat>
          <c:val>
            <c:numRef>
              <c:f>Hoja1!$B$2:$B$11</c:f>
              <c:numCache>
                <c:formatCode>#,##0.0</c:formatCode>
                <c:ptCount val="10"/>
                <c:pt idx="0">
                  <c:v>24.1</c:v>
                </c:pt>
                <c:pt idx="1">
                  <c:v>27</c:v>
                </c:pt>
                <c:pt idx="2">
                  <c:v>29.06</c:v>
                </c:pt>
                <c:pt idx="3">
                  <c:v>29.92</c:v>
                </c:pt>
                <c:pt idx="4">
                  <c:v>24.24</c:v>
                </c:pt>
                <c:pt idx="5">
                  <c:v>24.7</c:v>
                </c:pt>
                <c:pt idx="6">
                  <c:v>16.57</c:v>
                </c:pt>
                <c:pt idx="7">
                  <c:v>33.78</c:v>
                </c:pt>
                <c:pt idx="8">
                  <c:v>31.22</c:v>
                </c:pt>
                <c:pt idx="9">
                  <c:v>31.24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(24,10 – 33,90)</c:v>
                </c:pt>
                <c:pt idx="1">
                  <c:v>Precio objetivo de los analistas (27,00 – 40,00)</c:v>
                </c:pt>
                <c:pt idx="2">
                  <c:v>Comparables: EV/EBITDA NTM (29,06 – 38,26)</c:v>
                </c:pt>
                <c:pt idx="3">
                  <c:v>Comparables: PER NTM (29,92 – 38,77)</c:v>
                </c:pt>
                <c:pt idx="4">
                  <c:v>Transacciones precedentes (EV/EBITDA) (24,24 – 35,26)</c:v>
                </c:pt>
                <c:pt idx="5">
                  <c:v>DCF (WACC y g ± 0,5) (24,70 – 32,63)</c:v>
                </c:pt>
                <c:pt idx="6">
                  <c:v>Escenarios (bajista – alcista) (16,57 – 36,55)</c:v>
                </c:pt>
                <c:pt idx="7">
                  <c:v>Suma de partes (33,78 – 47,09)</c:v>
                </c:pt>
                <c:pt idx="8">
                  <c:v>DCF con la prima implícita del mercado (4,3 %)</c:v>
                </c:pt>
                <c:pt idx="9">
                  <c:v>Precio actual (31,40)</c:v>
                </c:pt>
              </c:strCache>
            </c:strRef>
          </c:cat>
          <c:val>
            <c:numRef>
              <c:f>Hoja1!$C$2:$C$11</c:f>
              <c:numCache>
                <c:formatCode>#,##0.0</c:formatCode>
                <c:ptCount val="10"/>
                <c:pt idx="0">
                  <c:v>9.799999999999997</c:v>
                </c:pt>
                <c:pt idx="1">
                  <c:v>13</c:v>
                </c:pt>
                <c:pt idx="2">
                  <c:v>9.2</c:v>
                </c:pt>
                <c:pt idx="3">
                  <c:v>8.850000000000001</c:v>
                </c:pt>
                <c:pt idx="4">
                  <c:v>11.02</c:v>
                </c:pt>
                <c:pt idx="5">
                  <c:v>7.930000000000003</c:v>
                </c:pt>
                <c:pt idx="6">
                  <c:v>19.979999999999997</c:v>
                </c:pt>
                <c:pt idx="7">
                  <c:v>13.310000000000002</c:v>
                </c:pt>
                <c:pt idx="8">
                  <c:v>7.310000000000002</c:v>
                </c:pt>
                <c:pt idx="9">
                  <c:v>0.3200000000000003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Redes eléctricas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719</c:v>
                </c:pt>
                <c:pt idx="1">
                  <c:v>835</c:v>
                </c:pt>
                <c:pt idx="2">
                  <c:v>941</c:v>
                </c:pt>
                <c:pt idx="3">
                  <c:v>1042</c:v>
                </c:pt>
                <c:pt idx="4">
                  <c:v>1155</c:v>
                </c:pt>
              </c:numCache>
            </c:numRef>
          </c:val>
        </c:ser>
        <c:ser>
          <c:idx val="1"/>
          <c:order val="1"/>
          <c:tx>
            <c:strRef>
              <c:f>Hoja1!$C$1</c:f>
              <c:strCache>
                <c:ptCount val="1"/>
                <c:pt idx="0">
                  <c:v>Industria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1021</c:v>
                </c:pt>
                <c:pt idx="1">
                  <c:v>1089</c:v>
                </c:pt>
                <c:pt idx="2">
                  <c:v>1129</c:v>
                </c:pt>
                <c:pt idx="3">
                  <c:v>1155</c:v>
                </c:pt>
                <c:pt idx="4">
                  <c:v>1184</c:v>
                </c:pt>
              </c:numCache>
            </c:numRef>
          </c:val>
        </c:ser>
        <c:ser>
          <c:idx val="2"/>
          <c:order val="2"/>
          <c:tx>
            <c:strRef>
              <c:f>Hoja1!$D$1</c:f>
              <c:strCache>
                <c:ptCount val="1"/>
                <c:pt idx="0">
                  <c:v>Automoción</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580</c:v>
                </c:pt>
                <c:pt idx="1">
                  <c:v>607</c:v>
                </c:pt>
                <c:pt idx="2">
                  <c:v>618</c:v>
                </c:pt>
                <c:pt idx="3">
                  <c:v>620</c:v>
                </c:pt>
                <c:pt idx="4">
                  <c:v>622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Redes eléctricas</c:v>
                </c:pt>
                <c:pt idx="1">
                  <c:v>Industria</c:v>
                </c:pt>
                <c:pt idx="2">
                  <c:v>Automoción</c:v>
                </c:pt>
              </c:strCache>
            </c:strRef>
          </c:cat>
          <c:val>
            <c:numRef>
              <c:f>Hoja1!$B$2:$B$4</c:f>
              <c:numCache>
                <c:formatCode>General</c:formatCode>
                <c:ptCount val="3"/>
                <c:pt idx="0">
                  <c:v>39</c:v>
                </c:pt>
                <c:pt idx="1">
                  <c:v>40</c:v>
                </c:pt>
                <c:pt idx="2">
                  <c:v>21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España</c:v>
                </c:pt>
                <c:pt idx="1">
                  <c:v>Resto de Europa</c:v>
                </c:pt>
                <c:pt idx="2">
                  <c:v>Norteamérica</c:v>
                </c:pt>
                <c:pt idx="3">
                  <c:v>Latinoamérica</c:v>
                </c:pt>
                <c:pt idx="4">
                  <c:v>Resto</c:v>
                </c:pt>
              </c:strCache>
            </c:strRef>
          </c:cat>
          <c:val>
            <c:numRef>
              <c:f>Hoja1!$B$2:$B$6</c:f>
              <c:numCache>
                <c:formatCode>0"%"</c:formatCode>
                <c:ptCount val="5"/>
                <c:pt idx="0">
                  <c:v>34</c:v>
                </c:pt>
                <c:pt idx="1">
                  <c:v>38</c:v>
                </c:pt>
                <c:pt idx="2">
                  <c:v>17</c:v>
                </c:pt>
                <c:pt idx="3">
                  <c:v>8</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2021</c:v>
                </c:pt>
                <c:pt idx="1">
                  <c:v>2022</c:v>
                </c:pt>
                <c:pt idx="2">
                  <c:v>2023</c:v>
                </c:pt>
                <c:pt idx="3">
                  <c:v>2024</c:v>
                </c:pt>
                <c:pt idx="4">
                  <c:v>2025</c:v>
                </c:pt>
                <c:pt idx="5">
                  <c:v>2027e</c:v>
                </c:pt>
                <c:pt idx="6">
                  <c:v>2030e</c:v>
                </c:pt>
              </c:strCache>
            </c:strRef>
          </c:cat>
          <c:val>
            <c:numRef>
              <c:f>Hoja1!$B$2:$B$8</c:f>
              <c:numCache>
                <c:formatCode>#,##0</c:formatCode>
                <c:ptCount val="7"/>
                <c:pt idx="0">
                  <c:v>33.1</c:v>
                </c:pt>
                <c:pt idx="1">
                  <c:v>35.4</c:v>
                </c:pt>
                <c:pt idx="2">
                  <c:v>38.2</c:v>
                </c:pt>
                <c:pt idx="3">
                  <c:v>40</c:v>
                </c:pt>
                <c:pt idx="4">
                  <c:v>42</c:v>
                </c:pt>
                <c:pt idx="5">
                  <c:v>48.3</c:v>
                </c:pt>
                <c:pt idx="6">
                  <c:v>59.6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Compañía Ejemplo</c:v>
                </c:pt>
                <c:pt idx="1">
                  <c:v>Grupo Alfa</c:v>
                </c:pt>
                <c:pt idx="2">
                  <c:v>Beta Energy</c:v>
                </c:pt>
                <c:pt idx="3">
                  <c:v>Gamma Systems</c:v>
                </c:pt>
                <c:pt idx="4">
                  <c:v>Delta Cables</c:v>
                </c:pt>
              </c:strCache>
            </c:strRef>
          </c:cat>
          <c:val>
            <c:numRef>
              <c:f>Hoja1!$B$2:$B$6</c:f>
              <c:numCache>
                <c:formatCode>0.0"%"</c:formatCode>
                <c:ptCount val="5"/>
                <c:pt idx="0">
                  <c:v>11.6</c:v>
                </c:pt>
                <c:pt idx="1">
                  <c:v>15.2</c:v>
                </c:pt>
                <c:pt idx="2">
                  <c:v>10.8</c:v>
                </c:pt>
                <c:pt idx="3">
                  <c:v>17.4</c:v>
                </c:pt>
                <c:pt idx="4">
                  <c:v>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Hoja1!$B$2:$B$18</c:f>
              <c:numCache>
                <c:formatCode>#,##0</c:formatCode>
                <c:ptCount val="17"/>
                <c:pt idx="0">
                  <c:v>1900</c:v>
                </c:pt>
                <c:pt idx="1">
                  <c:v>2010</c:v>
                </c:pt>
                <c:pt idx="2">
                  <c:v>2139</c:v>
                </c:pt>
                <c:pt idx="3">
                  <c:v>2244</c:v>
                </c:pt>
                <c:pt idx="4">
                  <c:v>2075</c:v>
                </c:pt>
                <c:pt idx="5">
                  <c:v>2320</c:v>
                </c:pt>
                <c:pt idx="6">
                  <c:v>2531</c:v>
                </c:pt>
                <c:pt idx="7">
                  <c:v>2688</c:v>
                </c:pt>
                <c:pt idx="8">
                  <c:v>2817</c:v>
                </c:pt>
                <c:pt idx="9">
                  <c:v>2961</c:v>
                </c:pt>
                <c:pt idx="10">
                  <c:v>3156</c:v>
                </c:pt>
                <c:pt idx="11">
                  <c:v>3352</c:v>
                </c:pt>
                <c:pt idx="12">
                  <c:v>3547</c:v>
                </c:pt>
                <c:pt idx="13">
                  <c:v>3724</c:v>
                </c:pt>
                <c:pt idx="14">
                  <c:v>3880</c:v>
                </c:pt>
                <c:pt idx="15">
                  <c:v>4016</c:v>
                </c:pt>
                <c:pt idx="16">
                  <c:v>4137</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Hoja1!$C$2:$C$18</c:f>
              <c:numCache>
                <c:formatCode>#,##0</c:formatCode>
                <c:ptCount val="17"/>
                <c:pt idx="0">
                  <c:v>268</c:v>
                </c:pt>
                <c:pt idx="1">
                  <c:v>289</c:v>
                </c:pt>
                <c:pt idx="2">
                  <c:v>304</c:v>
                </c:pt>
                <c:pt idx="3">
                  <c:v>328</c:v>
                </c:pt>
                <c:pt idx="4">
                  <c:v>268</c:v>
                </c:pt>
                <c:pt idx="5">
                  <c:v>332</c:v>
                </c:pt>
                <c:pt idx="6">
                  <c:v>344</c:v>
                </c:pt>
                <c:pt idx="7">
                  <c:v>401</c:v>
                </c:pt>
                <c:pt idx="8">
                  <c:v>434</c:v>
                </c:pt>
                <c:pt idx="9">
                  <c:v>471</c:v>
                </c:pt>
                <c:pt idx="10">
                  <c:v>508</c:v>
                </c:pt>
                <c:pt idx="11">
                  <c:v>550</c:v>
                </c:pt>
                <c:pt idx="12">
                  <c:v>589</c:v>
                </c:pt>
                <c:pt idx="13">
                  <c:v>622</c:v>
                </c:pt>
                <c:pt idx="14">
                  <c:v>652</c:v>
                </c:pt>
                <c:pt idx="15">
                  <c:v>675</c:v>
                </c:pt>
                <c:pt idx="16">
                  <c:v>695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31.1</c:v>
                </c:pt>
                <c:pt idx="1">
                  <c:v>31.2</c:v>
                </c:pt>
                <c:pt idx="2">
                  <c:v>31.1</c:v>
                </c:pt>
                <c:pt idx="3">
                  <c:v>31.3</c:v>
                </c:pt>
                <c:pt idx="4">
                  <c:v>30.5</c:v>
                </c:pt>
                <c:pt idx="5">
                  <c:v>31.2</c:v>
                </c:pt>
                <c:pt idx="6">
                  <c:v>30.8</c:v>
                </c:pt>
                <c:pt idx="7">
                  <c:v>31.4</c:v>
                </c:pt>
                <c:pt idx="8">
                  <c:v>31.7</c:v>
                </c:pt>
                <c:pt idx="9">
                  <c:v>31.9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14.1</c:v>
                </c:pt>
                <c:pt idx="1">
                  <c:v>14.4</c:v>
                </c:pt>
                <c:pt idx="2">
                  <c:v>14.2</c:v>
                </c:pt>
                <c:pt idx="3">
                  <c:v>14.6</c:v>
                </c:pt>
                <c:pt idx="4">
                  <c:v>12.9</c:v>
                </c:pt>
                <c:pt idx="5">
                  <c:v>14.3</c:v>
                </c:pt>
                <c:pt idx="6">
                  <c:v>13.6</c:v>
                </c:pt>
                <c:pt idx="7">
                  <c:v>14.9</c:v>
                </c:pt>
                <c:pt idx="8">
                  <c:v>15.4</c:v>
                </c:pt>
                <c:pt idx="9">
                  <c:v>15.9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9.8</c:v>
                </c:pt>
                <c:pt idx="1">
                  <c:v>10.1</c:v>
                </c:pt>
                <c:pt idx="2">
                  <c:v>9.9</c:v>
                </c:pt>
                <c:pt idx="3">
                  <c:v>10.3</c:v>
                </c:pt>
                <c:pt idx="4">
                  <c:v>8.6</c:v>
                </c:pt>
                <c:pt idx="5">
                  <c:v>10</c:v>
                </c:pt>
                <c:pt idx="6">
                  <c:v>9.3</c:v>
                </c:pt>
                <c:pt idx="7">
                  <c:v>10.6</c:v>
                </c:pt>
                <c:pt idx="8">
                  <c:v>11.1</c:v>
                </c:pt>
                <c:pt idx="9">
                  <c:v>11.6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6.6</c:v>
                </c:pt>
                <c:pt idx="1">
                  <c:v>6.9</c:v>
                </c:pt>
                <c:pt idx="2">
                  <c:v>6.7</c:v>
                </c:pt>
                <c:pt idx="3">
                  <c:v>7</c:v>
                </c:pt>
                <c:pt idx="4">
                  <c:v>5.7</c:v>
                </c:pt>
                <c:pt idx="5">
                  <c:v>6.7</c:v>
                </c:pt>
                <c:pt idx="6">
                  <c:v>6.2</c:v>
                </c:pt>
                <c:pt idx="7">
                  <c:v>7.2</c:v>
                </c:pt>
                <c:pt idx="8">
                  <c:v>7.6</c:v>
                </c:pt>
                <c:pt idx="9">
                  <c:v>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6.2</c:v>
                </c:pt>
                <c:pt idx="1">
                  <c:v>4.4</c:v>
                </c:pt>
                <c:pt idx="2">
                  <c:v>4.9</c:v>
                </c:pt>
                <c:pt idx="3">
                  <c:v>5.6</c:v>
                </c:pt>
                <c:pt idx="4">
                  <c:v>4.8</c:v>
                </c:pt>
                <c:pt idx="5">
                  <c:v>5.2</c:v>
                </c:pt>
                <c:pt idx="6">
                  <c:v>6.6</c:v>
                </c:pt>
                <c:pt idx="7">
                  <c:v>7.1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4.1</c:v>
                </c:pt>
                <c:pt idx="1">
                  <c:v>3</c:v>
                </c:pt>
                <c:pt idx="2">
                  <c:v>4.2</c:v>
                </c:pt>
                <c:pt idx="3">
                  <c:v>5</c:v>
                </c:pt>
                <c:pt idx="4">
                  <c:v>4.6</c:v>
                </c:pt>
                <c:pt idx="5">
                  <c:v>5.1</c:v>
                </c:pt>
                <c:pt idx="6">
                  <c:v>6</c:v>
                </c:pt>
                <c:pt idx="7">
                  <c:v>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62</c:v>
                </c:pt>
                <c:pt idx="1">
                  <c:v>62</c:v>
                </c:pt>
                <c:pt idx="2">
                  <c:v>62</c:v>
                </c:pt>
                <c:pt idx="3">
                  <c:v>62</c:v>
                </c:pt>
                <c:pt idx="4">
                  <c:v>62</c:v>
                </c:pt>
                <c:pt idx="5">
                  <c:v>62</c:v>
                </c:pt>
                <c:pt idx="6">
                  <c:v>62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77</c:v>
                </c:pt>
                <c:pt idx="1">
                  <c:v>77</c:v>
                </c:pt>
                <c:pt idx="2">
                  <c:v>77</c:v>
                </c:pt>
                <c:pt idx="3">
                  <c:v>77</c:v>
                </c:pt>
                <c:pt idx="4">
                  <c:v>77</c:v>
                </c:pt>
                <c:pt idx="5">
                  <c:v>77</c:v>
                </c:pt>
                <c:pt idx="6">
                  <c:v>77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58</c:v>
                </c:pt>
                <c:pt idx="1">
                  <c:v>58</c:v>
                </c:pt>
                <c:pt idx="2">
                  <c:v>59</c:v>
                </c:pt>
                <c:pt idx="3">
                  <c:v>58</c:v>
                </c:pt>
                <c:pt idx="4">
                  <c:v>58</c:v>
                </c:pt>
                <c:pt idx="5">
                  <c:v>58</c:v>
                </c:pt>
                <c:pt idx="6">
                  <c:v>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127</c:v>
                </c:pt>
                <c:pt idx="1">
                  <c:v>90</c:v>
                </c:pt>
                <c:pt idx="2">
                  <c:v>98</c:v>
                </c:pt>
                <c:pt idx="3">
                  <c:v>42</c:v>
                </c:pt>
                <c:pt idx="4">
                  <c:v>139</c:v>
                </c:pt>
                <c:pt idx="5">
                  <c:v>157</c:v>
                </c:pt>
                <c:pt idx="6">
                  <c:v>176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157</c:v>
                </c:pt>
                <c:pt idx="1">
                  <c:v>119</c:v>
                </c:pt>
                <c:pt idx="2">
                  <c:v>156</c:v>
                </c:pt>
                <c:pt idx="3">
                  <c:v>157</c:v>
                </c:pt>
                <c:pt idx="4">
                  <c:v>194</c:v>
                </c:pt>
                <c:pt idx="5">
                  <c:v>214</c:v>
                </c:pt>
                <c:pt idx="6">
                  <c:v>235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3">
                  <c:v>9.9</c:v>
                </c:pt>
                <c:pt idx="4">
                  <c:v>7.6</c:v>
                </c:pt>
                <c:pt idx="5">
                  <c:v>9.2</c:v>
                </c:pt>
                <c:pt idx="6">
                  <c:v>8.6</c:v>
                </c:pt>
                <c:pt idx="7">
                  <c:v>10.1</c:v>
                </c:pt>
                <c:pt idx="8">
                  <c:v>10.9</c:v>
                </c:pt>
                <c:pt idx="9">
                  <c:v>11.8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8.5</c:v>
                </c:pt>
                <c:pt idx="1">
                  <c:v>8.5</c:v>
                </c:pt>
                <c:pt idx="2">
                  <c:v>8.5</c:v>
                </c:pt>
                <c:pt idx="3">
                  <c:v>8.5</c:v>
                </c:pt>
                <c:pt idx="4">
                  <c:v>8.5</c:v>
                </c:pt>
                <c:pt idx="5">
                  <c:v>8.5</c:v>
                </c:pt>
                <c:pt idx="6">
                  <c:v>8.5</c:v>
                </c:pt>
                <c:pt idx="7">
                  <c:v>8.5</c:v>
                </c:pt>
                <c:pt idx="8">
                  <c:v>8.5</c:v>
                </c:pt>
                <c:pt idx="9">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3">
                  <c:v>13.3</c:v>
                </c:pt>
                <c:pt idx="4">
                  <c:v>9.8</c:v>
                </c:pt>
                <c:pt idx="5">
                  <c:v>12.1</c:v>
                </c:pt>
                <c:pt idx="6">
                  <c:v>11.4</c:v>
                </c:pt>
                <c:pt idx="7">
                  <c:v>13.3</c:v>
                </c:pt>
                <c:pt idx="8">
                  <c:v>13.8</c:v>
                </c:pt>
                <c:pt idx="9">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1.7</c:v>
                </c:pt>
                <c:pt idx="1">
                  <c:v>1.96</c:v>
                </c:pt>
                <c:pt idx="2">
                  <c:v>1.92</c:v>
                </c:pt>
                <c:pt idx="3">
                  <c:v>1.94</c:v>
                </c:pt>
                <c:pt idx="4">
                  <c:v>1.5</c:v>
                </c:pt>
                <c:pt idx="5">
                  <c:v>1.24</c:v>
                </c:pt>
                <c:pt idx="6">
                  <c:v>1.05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40</c:v>
                </c:pt>
                <c:pt idx="1">
                  <c:v>65</c:v>
                </c:pt>
                <c:pt idx="2">
                  <c:v>300</c:v>
                </c:pt>
                <c:pt idx="3">
                  <c:v>120</c:v>
                </c:pt>
                <c:pt idx="4">
                  <c:v>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35</c:v>
                </c:pt>
                <c:pt idx="1">
                  <c:v>0</c:v>
                </c:pt>
                <c:pt idx="2">
                  <c:v>40</c:v>
                </c:pt>
                <c:pt idx="3">
                  <c:v>120</c:v>
                </c:pt>
                <c:pt idx="4">
                  <c:v>0</c:v>
                </c:pt>
                <c:pt idx="5">
                  <c:v>25</c:v>
                </c:pt>
                <c:pt idx="6">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68</c:v>
                </c:pt>
                <c:pt idx="1">
                  <c:v>52</c:v>
                </c:pt>
                <c:pt idx="2">
                  <c:v>68</c:v>
                </c:pt>
                <c:pt idx="3">
                  <c:v>70</c:v>
                </c:pt>
                <c:pt idx="4">
                  <c:v>85</c:v>
                </c:pt>
                <c:pt idx="5">
                  <c:v>94</c:v>
                </c:pt>
                <c:pt idx="6">
                  <c:v>104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0</c:v>
                </c:pt>
                <c:pt idx="2">
                  <c:v>0</c:v>
                </c:pt>
                <c:pt idx="3">
                  <c:v>0</c:v>
                </c:pt>
                <c:pt idx="4">
                  <c:v>30</c:v>
                </c:pt>
                <c:pt idx="5">
                  <c:v>40</c:v>
                </c:pt>
                <c:pt idx="6">
                  <c:v>50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2</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Familia fundadora</c:v>
                </c:pt>
                <c:pt idx="1">
                  <c:v>Fondo de pensiones nórdico</c:v>
                </c:pt>
                <c:pt idx="2">
                  <c:v>Gestora estadounidense</c:v>
                </c:pt>
                <c:pt idx="3">
                  <c:v>Autocartera</c:v>
                </c:pt>
              </c:strCache>
            </c:strRef>
          </c:cat>
          <c:val>
            <c:numRef>
              <c:f>Hoja1!$B$2:$B$5</c:f>
              <c:numCache>
                <c:formatCode>0.0"%"</c:formatCode>
                <c:ptCount val="4"/>
                <c:pt idx="0">
                  <c:v>28</c:v>
                </c:pt>
                <c:pt idx="1">
                  <c:v>5.1</c:v>
                </c:pt>
                <c:pt idx="2">
                  <c:v>3.2</c:v>
                </c:pt>
                <c:pt idx="3">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18</c:v>
                </c:pt>
                <c:pt idx="1">
                  <c:v>-14</c:v>
                </c:pt>
                <c:pt idx="2">
                  <c:v>24</c:v>
                </c:pt>
                <c:pt idx="3">
                  <c:v>-9</c:v>
                </c:pt>
                <c:pt idx="4">
                  <c:v>21</c:v>
                </c:pt>
                <c:pt idx="5">
                  <c:v>13</c:v>
                </c:pt>
                <c:pt idx="6">
                  <c:v>17</c:v>
                </c:pt>
              </c:numCache>
            </c:numRef>
          </c:val>
        </c:ser>
        <c:ser>
          <c:idx val="1"/>
          <c:order val="1"/>
          <c:tx>
            <c:strRef>
              <c:f>Hoja1!$C$1</c:f>
              <c:strCache>
                <c:ptCount val="1"/>
                <c:pt idx="0">
                  <c:v>Índice</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16.5</c:v>
                </c:pt>
                <c:pt idx="1">
                  <c:v>-12.7</c:v>
                </c:pt>
                <c:pt idx="2">
                  <c:v>10.2</c:v>
                </c:pt>
                <c:pt idx="3">
                  <c:v>-2</c:v>
                </c:pt>
                <c:pt idx="4">
                  <c:v>27</c:v>
                </c:pt>
                <c:pt idx="5">
                  <c:v>18</c:v>
                </c:pt>
                <c:pt idx="6">
                  <c:v>14.5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3">
                  <c:v>13.4</c:v>
                </c:pt>
                <c:pt idx="4">
                  <c:v>14.3</c:v>
                </c:pt>
                <c:pt idx="5">
                  <c:v>14.2</c:v>
                </c:pt>
                <c:pt idx="6">
                  <c:v>12.7</c:v>
                </c:pt>
                <c:pt idx="7">
                  <c:v>12.5</c:v>
                </c:pt>
                <c:pt idx="8">
                  <c:v>12.6</c:v>
                </c:pt>
                <c:pt idx="9">
                  <c:v>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12.7</c:v>
                </c:pt>
                <c:pt idx="1">
                  <c:v>12.7</c:v>
                </c:pt>
                <c:pt idx="2">
                  <c:v>12.7</c:v>
                </c:pt>
                <c:pt idx="3">
                  <c:v>12.7</c:v>
                </c:pt>
                <c:pt idx="4">
                  <c:v>12.7</c:v>
                </c:pt>
                <c:pt idx="5">
                  <c:v>12.7</c:v>
                </c:pt>
                <c:pt idx="6">
                  <c:v>12.7</c:v>
                </c:pt>
                <c:pt idx="7">
                  <c:v>12.7</c:v>
                </c:pt>
                <c:pt idx="8">
                  <c:v>12.7</c:v>
                </c:pt>
                <c:pt idx="9">
                  <c:v>12.7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Compañía Ejemplo</c:v>
                </c:pt>
                <c:pt idx="1">
                  <c:v>Grupo Alfa</c:v>
                </c:pt>
                <c:pt idx="2">
                  <c:v>Beta Energy</c:v>
                </c:pt>
                <c:pt idx="3">
                  <c:v>Gamma Systems</c:v>
                </c:pt>
                <c:pt idx="4">
                  <c:v>Delta Cables</c:v>
                </c:pt>
                <c:pt idx="5">
                  <c:v>Epsilon Grid</c:v>
                </c:pt>
                <c:pt idx="6">
                  <c:v>Zeta Power</c:v>
                </c:pt>
              </c:strCache>
            </c:strRef>
          </c:cat>
          <c:val>
            <c:numRef>
              <c:f>Hoja1!$B$2:$B$8</c:f>
              <c:numCache>
                <c:formatCode>0.0"x"</c:formatCode>
                <c:ptCount val="7"/>
                <c:pt idx="0">
                  <c:v>10.5</c:v>
                </c:pt>
                <c:pt idx="1">
                  <c:v>12.9</c:v>
                </c:pt>
                <c:pt idx="2">
                  <c:v>10.6</c:v>
                </c:pt>
                <c:pt idx="3">
                  <c:v>14.8</c:v>
                </c:pt>
                <c:pt idx="4">
                  <c:v>8.9</c:v>
                </c:pt>
                <c:pt idx="5">
                  <c:v>11.3</c:v>
                </c:pt>
                <c:pt idx="6">
                  <c:v>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Compañía Ejemplo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6.6</c:v>
                </c:pt>
              </c:numCache>
            </c:numRef>
          </c:xVal>
          <c:yVal>
            <c:numRef>
              <c:f>Hoja1!$C$2</c:f>
              <c:numCache>
                <c:formatCode>0.0"x"</c:formatCode>
                <c:ptCount val="1"/>
                <c:pt idx="0">
                  <c:v>10.5</c:v>
                </c:pt>
              </c:numCache>
            </c:numRef>
          </c:yVal>
          <c:smooth val="0"/>
        </c:ser>
        <c:ser>
          <c:idx val="1"/>
          <c:order val="1"/>
          <c:tx>
            <c:strRef>
              <c:f>Hoja1!$A$3</c:f>
              <c:strCache>
                <c:ptCount val="1"/>
                <c:pt idx="0">
                  <c:v>Grupo Alfa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8.2</c:v>
                </c:pt>
              </c:numCache>
            </c:numRef>
          </c:xVal>
          <c:yVal>
            <c:numRef>
              <c:f>Hoja1!$C$3</c:f>
              <c:numCache>
                <c:formatCode>0.0"x"</c:formatCode>
                <c:ptCount val="1"/>
                <c:pt idx="0">
                  <c:v>12.9</c:v>
                </c:pt>
              </c:numCache>
            </c:numRef>
          </c:yVal>
          <c:smooth val="0"/>
        </c:ser>
        <c:ser>
          <c:idx val="2"/>
          <c:order val="2"/>
          <c:tx>
            <c:strRef>
              <c:f>Hoja1!$A$4</c:f>
              <c:strCache>
                <c:ptCount val="1"/>
                <c:pt idx="0">
                  <c:v>Beta Energy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6.1</c:v>
                </c:pt>
              </c:numCache>
            </c:numRef>
          </c:xVal>
          <c:yVal>
            <c:numRef>
              <c:f>Hoja1!$C$4</c:f>
              <c:numCache>
                <c:formatCode>0.0"x"</c:formatCode>
                <c:ptCount val="1"/>
                <c:pt idx="0">
                  <c:v>10.6</c:v>
                </c:pt>
              </c:numCache>
            </c:numRef>
          </c:yVal>
          <c:smooth val="0"/>
        </c:ser>
        <c:ser>
          <c:idx val="3"/>
          <c:order val="3"/>
          <c:tx>
            <c:strRef>
              <c:f>Hoja1!$A$5</c:f>
              <c:strCache>
                <c:ptCount val="1"/>
                <c:pt idx="0">
                  <c:v>Gamma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9.4</c:v>
                </c:pt>
              </c:numCache>
            </c:numRef>
          </c:xVal>
          <c:yVal>
            <c:numRef>
              <c:f>Hoja1!$C$5</c:f>
              <c:numCache>
                <c:formatCode>0.0"x"</c:formatCode>
                <c:ptCount val="1"/>
                <c:pt idx="0">
                  <c:v>14.8</c:v>
                </c:pt>
              </c:numCache>
            </c:numRef>
          </c:yVal>
          <c:smooth val="0"/>
        </c:ser>
        <c:ser>
          <c:idx val="4"/>
          <c:order val="4"/>
          <c:tx>
            <c:strRef>
              <c:f>Hoja1!$A$6</c:f>
              <c:strCache>
                <c:ptCount val="1"/>
                <c:pt idx="0">
                  <c:v>Delta Cables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3.8</c:v>
                </c:pt>
              </c:numCache>
            </c:numRef>
          </c:xVal>
          <c:yVal>
            <c:numRef>
              <c:f>Hoja1!$C$6</c:f>
              <c:numCache>
                <c:formatCode>0.0"x"</c:formatCode>
                <c:ptCount val="1"/>
                <c:pt idx="0">
                  <c:v>8.9</c:v>
                </c:pt>
              </c:numCache>
            </c:numRef>
          </c:yVal>
          <c:smooth val="0"/>
        </c:ser>
        <c:ser>
          <c:idx val="5"/>
          <c:order val="5"/>
          <c:tx>
            <c:strRef>
              <c:f>Hoja1!$A$7</c:f>
              <c:strCache>
                <c:ptCount val="1"/>
                <c:pt idx="0">
                  <c:v>Epsilon Grid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c:v>
                </c:pt>
              </c:numCache>
            </c:numRef>
          </c:xVal>
          <c:yVal>
            <c:numRef>
              <c:f>Hoja1!$C$7</c:f>
              <c:numCache>
                <c:formatCode>0.0"x"</c:formatCode>
                <c:ptCount val="1"/>
                <c:pt idx="0">
                  <c:v>11.3</c:v>
                </c:pt>
              </c:numCache>
            </c:numRef>
          </c:yVal>
          <c:smooth val="0"/>
        </c:ser>
        <c:ser>
          <c:idx val="6"/>
          <c:order val="6"/>
          <c:tx>
            <c:strRef>
              <c:f>Hoja1!$A$8</c:f>
              <c:strCache>
                <c:ptCount val="1"/>
                <c:pt idx="0">
                  <c:v>Zeta Power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c:v>
                </c:pt>
              </c:numCache>
            </c:numRef>
          </c:xVal>
          <c:yVal>
            <c:numRef>
              <c:f>Hoja1!$C$8</c:f>
              <c:numCache>
                <c:formatCode>0.0"x"</c:formatCode>
                <c:ptCount val="1"/>
                <c:pt idx="0">
                  <c:v>9.5</c:v>
                </c:pt>
              </c:numCache>
            </c:numRef>
          </c:yVal>
          <c:smooth val="0"/>
        </c:ser>
        <c:axId val="10"/>
        <c:axId val="20"/>
      </c:scatterChart>
      <c:valAx>
        <c:axId val="10"/>
        <c:scaling>
          <c:orientation val="minMax"/>
          <c:max val="11"/>
          <c:min val="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Fabricante nórdico de aparamenta</c:v>
                </c:pt>
                <c:pt idx="1">
                  <c:v>Delta Transformers</c:v>
                </c:pt>
                <c:pt idx="2">
                  <c:v>Cables industriales (Portugal)</c:v>
                </c:pt>
                <c:pt idx="3">
                  <c:v>Especialista en sensores de red</c:v>
                </c:pt>
                <c:pt idx="4">
                  <c:v>Cables especiales (Polonia)</c:v>
                </c:pt>
              </c:strCache>
            </c:strRef>
          </c:cat>
          <c:val>
            <c:numRef>
              <c:f>Hoja1!$B$2:$B$6</c:f>
              <c:numCache>
                <c:formatCode>0.0"x"</c:formatCode>
                <c:ptCount val="5"/>
                <c:pt idx="0">
                  <c:v>12.8</c:v>
                </c:pt>
                <c:pt idx="1">
                  <c:v>10.5</c:v>
                </c:pt>
                <c:pt idx="2">
                  <c:v>9.2</c:v>
                </c:pt>
                <c:pt idx="3">
                  <c:v>18.5</c:v>
                </c:pt>
                <c:pt idx="4">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219</c:v>
                </c:pt>
                <c:pt idx="1">
                  <c:v>253</c:v>
                </c:pt>
                <c:pt idx="2">
                  <c:v>276</c:v>
                </c:pt>
                <c:pt idx="3">
                  <c:v>317</c:v>
                </c:pt>
                <c:pt idx="4">
                  <c:v>340</c:v>
                </c:pt>
                <c:pt idx="5">
                  <c:v>357</c:v>
                </c:pt>
                <c:pt idx="6">
                  <c:v>372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1510</c:v>
                </c:pt>
                <c:pt idx="1">
                  <c:v>972</c:v>
                </c:pt>
                <c:pt idx="2">
                  <c:v>2640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31,40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16.57</c:v>
                </c:pt>
                <c:pt idx="1">
                  <c:v>28.08</c:v>
                </c:pt>
                <c:pt idx="2">
                  <c:v>36.55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31,40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(24,10 – 33,90)</c:v>
                </c:pt>
                <c:pt idx="1">
                  <c:v>Precio objetivo de los analistas (27,00 – 40,00)</c:v>
                </c:pt>
                <c:pt idx="2">
                  <c:v>Comparables: EV/EBITDA NTM (29,06 – 38,26)</c:v>
                </c:pt>
                <c:pt idx="3">
                  <c:v>Comparables: PER NTM (29,92 – 38,77)</c:v>
                </c:pt>
                <c:pt idx="4">
                  <c:v>Transacciones precedentes (EV/EBITDA) (24,24 – 35,26)</c:v>
                </c:pt>
                <c:pt idx="5">
                  <c:v>DCF (WACC y g ± 0,5) (24,70 – 32,63)</c:v>
                </c:pt>
                <c:pt idx="6">
                  <c:v>Escenarios (bajista – alcista) (16,57 – 36,55)</c:v>
                </c:pt>
                <c:pt idx="7">
                  <c:v>Suma de partes (33,78 – 47,09)</c:v>
                </c:pt>
                <c:pt idx="8">
                  <c:v>DCF con la prima implícita del mercado (4,3 %)</c:v>
                </c:pt>
                <c:pt idx="9">
                  <c:v>Precio actual (31,40)</c:v>
                </c:pt>
              </c:strCache>
            </c:strRef>
          </c:cat>
          <c:val>
            <c:numRef>
              <c:f>Hoja1!$B$2:$B$11</c:f>
              <c:numCache>
                <c:formatCode>#,##0.0</c:formatCode>
                <c:ptCount val="10"/>
                <c:pt idx="0">
                  <c:v>24.1</c:v>
                </c:pt>
                <c:pt idx="1">
                  <c:v>27</c:v>
                </c:pt>
                <c:pt idx="2">
                  <c:v>29.06</c:v>
                </c:pt>
                <c:pt idx="3">
                  <c:v>29.92</c:v>
                </c:pt>
                <c:pt idx="4">
                  <c:v>24.24</c:v>
                </c:pt>
                <c:pt idx="5">
                  <c:v>24.7</c:v>
                </c:pt>
                <c:pt idx="6">
                  <c:v>16.57</c:v>
                </c:pt>
                <c:pt idx="7">
                  <c:v>33.78</c:v>
                </c:pt>
                <c:pt idx="8">
                  <c:v>31.22</c:v>
                </c:pt>
                <c:pt idx="9">
                  <c:v>31.24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(24,10 – 33,90)</c:v>
                </c:pt>
                <c:pt idx="1">
                  <c:v>Precio objetivo de los analistas (27,00 – 40,00)</c:v>
                </c:pt>
                <c:pt idx="2">
                  <c:v>Comparables: EV/EBITDA NTM (29,06 – 38,26)</c:v>
                </c:pt>
                <c:pt idx="3">
                  <c:v>Comparables: PER NTM (29,92 – 38,77)</c:v>
                </c:pt>
                <c:pt idx="4">
                  <c:v>Transacciones precedentes (EV/EBITDA) (24,24 – 35,26)</c:v>
                </c:pt>
                <c:pt idx="5">
                  <c:v>DCF (WACC y g ± 0,5) (24,70 – 32,63)</c:v>
                </c:pt>
                <c:pt idx="6">
                  <c:v>Escenarios (bajista – alcista) (16,57 – 36,55)</c:v>
                </c:pt>
                <c:pt idx="7">
                  <c:v>Suma de partes (33,78 – 47,09)</c:v>
                </c:pt>
                <c:pt idx="8">
                  <c:v>DCF con la prima implícita del mercado (4,3 %)</c:v>
                </c:pt>
                <c:pt idx="9">
                  <c:v>Precio actual (31,40)</c:v>
                </c:pt>
              </c:strCache>
            </c:strRef>
          </c:cat>
          <c:val>
            <c:numRef>
              <c:f>Hoja1!$C$2:$C$11</c:f>
              <c:numCache>
                <c:formatCode>#,##0.0</c:formatCode>
                <c:ptCount val="10"/>
                <c:pt idx="0">
                  <c:v>9.799999999999997</c:v>
                </c:pt>
                <c:pt idx="1">
                  <c:v>13</c:v>
                </c:pt>
                <c:pt idx="2">
                  <c:v>9.2</c:v>
                </c:pt>
                <c:pt idx="3">
                  <c:v>8.850000000000001</c:v>
                </c:pt>
                <c:pt idx="4">
                  <c:v>11.02</c:v>
                </c:pt>
                <c:pt idx="5">
                  <c:v>7.930000000000003</c:v>
                </c:pt>
                <c:pt idx="6">
                  <c:v>19.979999999999997</c:v>
                </c:pt>
                <c:pt idx="7">
                  <c:v>13.310000000000002</c:v>
                </c:pt>
                <c:pt idx="8">
                  <c:v>7.310000000000002</c:v>
                </c:pt>
                <c:pt idx="9">
                  <c:v>0.3200000000000003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