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DSV A/S</w:t>
      </w:r>
    </w:p>
    <w:p>
      <w:pPr>
        <w:spacing w:after="60"/>
        <w:rPr>
          <w:color w:val="52514E"/>
          <w:sz w:val="22"/>
          <w:szCs w:val="22"/>
        </w:rPr>
      </w:pPr>
      <w:r>
        <w:rPr>
          <w:color w:val="52514E"/>
          <w:sz w:val="22"/>
          <w:szCs w:val="22"/>
        </w:rPr>
        <w:t xml:space="preserve">DSV · Nasdaq Copenhagen · ISIN DK0060079531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DKK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1.211,50 DKK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1.484,72 DKK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+23,1 % (base +27,0 %)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1.299,67 DKK · mercado 1.706,58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289.764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DSV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DSV / DK0060079531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Copenhagen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Copenhagen 25 (OMXC25)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Transporte aéreo de mercancías y logística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Hedehusene (Dinamarca) · 1976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147.222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www.dsv.com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1.211,50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1.130,50 – 1.913,50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289.764 M DKK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379.765 M DKK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746 M DKK/día (569.000 acciones; media de 66 sesiones) [56]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1.484,72 DKK</w:t>
      </w:r>
      <w:r>
        <w:t xml:space="preserve"> frente a 1.211,50 · Rentabilidad a 12 meses </w:t>
      </w:r>
      <w:r>
        <w:rPr>
          <w:b/>
          <w:bCs/>
        </w:rPr>
        <w:t xml:space="preserve">+23,1 % (base +27,0 %)</w:t>
      </w:r>
      <w:r>
        <w:t xml:space="preserve"> · Valor intrínseco 1.299,67 DKK · con la prima implícita del mercado: 1.706,58 (+40,9 %) · Alcista / bajista +37,1 % / -34,6 %</w:t>
      </w:r>
    </w:p>
    <w:p>
      <w:pPr>
        <w:spacing w:after="100"/>
      </w:pPr>
      <w:r>
        <w:rPr>
          <w:b/>
        </w:rPr>
        <w:t xml:space="preserve">La recomendación y por qué.</w:t>
      </w:r>
      <w:r>
        <w:t xml:space="preserve"> Mantener, con convicción baja. El objetivo a 12 meses es de 1.484,72 DKK frente al cierre de 1.211,5 DKK del 19-oct: +23,1 % ponderado y +27,0 % en el base con la regla v3. El valor intrínseco es de 1.299,67 DKK (+7,3 %) y el objetivo medio de 21 analistas (1.824,95 DKK) queda un 16,1 % por encima de nuestro base. La regla da Comprar, pero no la seguimos: el ROIC solo supera al WACC en 0,3 puntos, la v2 da un 14,3 % y la compra no aguanta un BPA un 10 % peor. La convicción es baja porque las reglas del valor intrínseco discrepan y la asimetría es de 1,07 veces; subiría si el 3T26 (21-oct) enseña la conversión de Road al alza y bajaría con una guía de 2027 por debajo de 25.000 M de EBIT.</w:t>
      </w:r>
    </w:p>
    <w:p>
      <w:pPr>
        <w:spacing w:after="100"/>
      </w:pPr>
      <w:r>
        <w:rPr>
          <w:b/>
        </w:rPr>
        <w:t xml:space="preserve">El negocio.</w:t>
      </w:r>
      <w:r>
        <w:t xml:space="preserve"> DSV es el primer transitario del mundo, con un 6 % de cuota tras comprar Schenker [1]. Su ventaja es convertir más margen bruto en EBIT que nadie: un 29,3 % en 2025, aun diluida por Schenker, frente al 14,1 % de Kuehne+Nagel [1, 17]. El ROIC antes de impuestos es del 40,4 % sin el fondo de comercio y del 10,8 % con él [2]: la red rinde, la compra todavía no. La calidad sostiene el crecimiento proyectado (veredicto «Sí»): un 3,2 % orgánico anual, casi todo volumen, poco más que el 2,3 % del mercado [24]; lo que pide fe es que la conversión vuelva al 40 %.</w:t>
      </w:r>
    </w:p>
    <w:p>
      <w:pPr>
        <w:spacing w:after="100"/>
      </w:pPr>
      <w:r>
        <w:rPr>
          <w:b/>
        </w:rPr>
        <w:t xml:space="preserve">Finanzas.</w:t>
      </w:r>
      <w:r>
        <w:t xml:space="preserve"> El EBIT antes de partidas especiales pasará de 19.611 M en 2025 a unos 24.240 M en 2026 (guía de 23.500-25.500 M, sin cambios desde julio) y a unos 28.100 M en 2027 con las sinergias de 9.000 M [1, 2]. La deuda neta ajustada es de 89.631 M, 2,7 veces el EBITDA según DSV [2].</w:t>
      </w:r>
    </w:p>
    <w:p>
      <w:pPr>
        <w:spacing w:after="100"/>
      </w:pPr>
      <w:r>
        <w:rPr>
          <w:b/>
        </w:rPr>
        <w:t xml:space="preserve">Equipo y gobierno.</w:t>
      </w:r>
      <w:r>
        <w:t xml:space="preserve"> Resta algo: guía cumplida de 2021 a 2025, pero 39,0 M DKK para el consejero delegado (+37,8 %) con opciones sin condiciones de rendimiento y ventas de directivos por 265 M en doce meses; ninguna operación nueva desde julio [1, 34, 44, 45, 46, 47, 55].</w:t>
      </w:r>
    </w:p>
    <w:p>
      <w:pPr>
        <w:spacing w:after="100"/>
      </w:pPr>
      <w:r>
        <w:rPr>
          <w:b/>
        </w:rPr>
        <w:t xml:space="preserve">Valoración.</w:t>
      </w:r>
      <w:r>
        <w:t xml:space="preserve"> El DCF da 1.317,93 DKK y los escenarios 1.272,29. Frente al 7-oct (1.423,39) baja por la tasa: el Bund del 3,49 % sustituye al bono danés del 3,1 % y el WACC pasa del 7,97 % al 8,33 % [60]. El precio descuenta un crecimiento del 2,1 % anual o un margen EBITDA del 13,8 % (base: 14,5 %), con una rentabilidad implícita del 8,7 %. A 16,9 veces el beneficio de los próximos 12 meses cotiza un 30 % por debajo de Kuehne+Nagel [63]. Nuestro EBITDA está a menos de un 1,5 % del consenso; el BPA de 2028e (88,50), un 7,3 % por debajo, porque no suponemos desapalancamiento ni recompras.</w:t>
      </w:r>
    </w:p>
    <w:p>
      <w:pPr>
        <w:spacing w:after="100"/>
      </w:pPr>
      <w:r>
        <w:rPr>
          <w:b/>
        </w:rPr>
        <w:t xml:space="preserve">Riesgos y catalizadores.</w:t>
      </w:r>
      <w:r>
        <w:t xml:space="preserve"> Road: cada punto de margen EBITDA permanente resta un 12,9 % al valor, y Jyske admitió el 14-oct haber subestimado la pérdida de clientes [61]. Fletes: el bajista vale 791,72 DKK (−34,6 %). Tasa: con un WACC del 8,8 % el DCF baja a 1.186,88 DKK. La IA es amenaza y palanca: el 12-feb la acción cayó un 10,5 % por una plataforma de automatización de una empresa minúscula [78], y es parte de los 9.000 M de productividad del plan de 2030 [15]. Foros y prensa, divididos, esperan el 3T26 [61, 80].</w:t>
      </w:r>
    </w:p>
    <w:p>
      <w:pPr>
        <w:spacing w:after="100"/>
      </w:pPr>
      <w:r>
        <w:rPr>
          <w:b/>
        </w:rPr>
        <w:t xml:space="preserve">Qué cambiaría la decisión.</w:t>
      </w:r>
      <w:r>
        <w:t xml:space="preserve"> Las pruebas de rentabilidad pasarían por debajo de 1.168,78 DKK (v3, v2 y BPA −10 %), pero la calidad seguiría frenando la compra hasta que el ROIC con fondo de comercio se acerque al 13 %. Venderíamos por encima de 1.657,46 DKK, o si la guía de 2027 deja el EBIT antes de partidas especiales por debajo de 25.000 M.</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1.484,72 DKK</w:t>
      </w:r>
      <w:r>
        <w:t xml:space="preserve"> (rentabilidad +23,1 % (base +27,0 %)) · Valor intrínseco: 1.299,67 DKK (+7,3 % sobre 1.211,50) · con la prima implícita del mercado: 1.706,58 (+40,9 %)</w:t>
      </w:r>
    </w:p>
    <w:p>
      <w:pPr>
        <w:spacing w:after="100"/>
      </w:pPr>
      <w:r>
        <w:t xml:space="preserve">DSV es el mayor transitario del mundo tras comprar Schenker por 14.300 M EUR, a 14,0 veces su EBIT [13]. Su ventaja histórica es la productividad: convierte en EBIT más margen bruto que sus rivales (40,2 % en Air &amp; Sea en 2025) y ha sabido subir la conversión de cada compra, del 28,0 % al 43,1 % tras Panalpina [1, 6]. La compra de Schenker duplica el tamaño y promete 9.000 M de sinergias en 2027, más otros 9.000 M de productividad hasta 2030 [2, 15].</w:t>
      </w:r>
    </w:p>
    <w:p>
      <w:pPr>
        <w:spacing w:after="100"/>
      </w:pPr>
      <w:r>
        <w:t xml:space="preserve">A 1.211,5 DKK, el mercado se cree una parte de esa historia. El DCF inverso descuenta un crecimiento del 2,1 % anual o un margen EBITDA del 13,8 %, algo por debajo del 14,5 % de nuestro caso base. DSV cotiza a 11,8 veces el EBITDA, un 25 % por debajo de su media histórica, y a 16,9 veces el beneficio de los próximos 12 meses frente a 24,2 de Kuehne+Nagel [63]. Los tropiezos de Road (−14,2 % el día del 1S26), el miedo a la IA de febrero y el contrato de AWS que Amazon dio a Kuehne+Nagel explican el castigo [2, 28, 78].</w:t>
      </w:r>
    </w:p>
    <w:p>
      <w:pPr>
        <w:spacing w:after="100"/>
      </w:pPr>
      <w:r>
        <w:t xml:space="preserve">Para invertir hay que creer dos cosas: que los problemas de Road son de una integración en marcha y no una pérdida de clientes permanente, y que las sinergias llevan la conversión hacia el 40 % de 2023. Con eso, el precio de hoy deja un 23,1 % a 12 meses por la vuelta parcial del PER. Pero el valor intrínseco solo deja un 7,3 % de margen, el ROIC apenas cubre el coste de capital y los analistas han recortado objetivos en bloque antes del 3T26: el mercado acierta en cobrar el riesgo, aunque quizá lo cobre de más.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1.484,72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51,00 = 703,80 · 17,3x × 88,50 = 1.531,05 · 21,6x × 100,60 = 2.172,96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 / 27,0 %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1.824,95 (nuestro base -16,1 %)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1.299,67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37,1 % / -34,6 %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frente a 8,3 %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1.706,58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 frente a 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1.297,14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1.297,14 y 1.657,46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1.657,46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(ponderada del 23,1 % y base del 27,0 % con la v3, y valor intrínseco de 1.299,67 DKK por encima del precio), pero nos apartamos por tres motivos que la regla no recoge. Primero, la calidad: el ROIC de 2025 (8,6 %) solo supera al WACC (8,33 %) en 0,3 puntos, lejos de los 5 que pide el método para comprar; Schenker aún no rinde su coste. Segundo, el control: con la historia al cierre (v2) la rentabilidad ponderada es del 14,3 % y no llega al 15 %, y con un BPA un 10 % peor la compra tampoco aguanta. Tercero, el riesgo binario de Road tiene fecha: el 3T26 sale el 21-oct, y siete casas han recortado objetivo en una semana por la pérdida de clientes. No es un aplazamiento por resultados: es que hoy la compra no es robusta.</w:t>
      </w:r>
    </w:p>
    <w:p>
      <w:pPr>
        <w:pStyle w:val="Heading2"/>
      </w:pPr>
      <w:r>
        <w:t xml:space="preserve">Qué cambiaría la recomendación</w:t>
      </w:r>
    </w:p>
    <w:p>
      <w:pPr>
        <w:pStyle w:val="ListParagraph"/>
        <w:numPr>
          <w:ilvl w:val="0"/>
          <w:numId w:val="2"/>
        </w:numPr>
        <w:spacing w:after="60"/>
      </w:pPr>
      <w:r>
        <w:t xml:space="preserve">Si el 3T26 (21-oct) recorta la guía de 2026 por debajo de 23.500 M de EBIT antes de partidas especiales, rehacemos el informe y probablemente pasaríamos a Vender.</w:t>
      </w:r>
    </w:p>
    <w:p>
      <w:pPr>
        <w:pStyle w:val="ListParagraph"/>
        <w:numPr>
          <w:ilvl w:val="0"/>
          <w:numId w:val="2"/>
        </w:numPr>
        <w:spacing w:after="60"/>
      </w:pPr>
      <w:r>
        <w:t xml:space="preserve">Si la guía de 2027 (febrero) deja el EBIT antes de partidas especiales por debajo de 25.000 M, pasaríamos a Vender; por encima de 28.000 M, con Road recuperado, revisaríamos la calidad para volver a Comprar.</w:t>
      </w:r>
    </w:p>
    <w:p>
      <w:pPr>
        <w:pStyle w:val="ListParagraph"/>
        <w:numPr>
          <w:ilvl w:val="0"/>
          <w:numId w:val="2"/>
        </w:numPr>
        <w:spacing w:after="60"/>
      </w:pPr>
      <w:r>
        <w:t xml:space="preserve">Si el precio baja de 1.168,78 DKK sin cambios en las cifras, la compra pasaría las pruebas de rentabilidad (v3, v2 y BPA −10 %); seguiría faltando la calidad (ROIC − WACC ≥ 5 puntos).</w:t>
      </w:r>
    </w:p>
    <w:p>
      <w:pPr>
        <w:pStyle w:val="ListParagraph"/>
        <w:numPr>
          <w:ilvl w:val="0"/>
          <w:numId w:val="2"/>
        </w:numPr>
        <w:spacing w:after="60"/>
      </w:pPr>
      <w:r>
        <w:t xml:space="preserve">Si el precio sube por encima de 1.657,46 DKK sin cambios en las cifras, pasaríamos a Vender.</w:t>
      </w:r>
    </w:p>
    <w:p>
      <w:pPr>
        <w:pStyle w:val="ListParagraph"/>
        <w:numPr>
          <w:ilvl w:val="0"/>
          <w:numId w:val="2"/>
        </w:numPr>
        <w:spacing w:after="60"/>
      </w:pPr>
      <w:r>
        <w:t xml:space="preserve">Si DSV anuncia una compra grande antes de bajar de 2,0 veces de deuda neta sobre EBITDA, revisaríamos la tesis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Schenker ha dañado la máquina de DSV durante años: el PER sobre el beneficio de 2027e es de 15,7 veces, frente a una mediana de 21,2 en su historia, y siete casas recortaron objetivo antes del 3T26 por la pérdida de clientes en Road. Aun así, el DCF inverso ya incorpora buena parte de las sinergias (margen EBITDA del 13,8 %).</w:t>
      </w:r>
    </w:p>
    <w:p>
      <w:pPr>
        <w:keepNext/>
        <w:spacing w:after="100"/>
      </w:pPr>
      <w:r>
        <w:rPr>
          <w:b/>
          <w:bCs/>
        </w:rPr>
        <w:t xml:space="preserve">Lo que creemos nosotros.</w:t>
      </w:r>
    </w:p>
    <w:p>
      <w:pPr>
        <w:spacing w:after="100"/>
      </w:pPr>
      <w:r>
        <w:t xml:space="preserve">La integración va más deprisa de lo previsto (fin en 2026 frente a finales de 2028 en el plan inicial) y ya ha recortado más de 8.000 empleados de oficina [2]. Con las sinergias en la cuenta, la conversión de 2027 rondará el 34,5 % y la de 2030 el 40,5 %, cinco puntos por debajo del objetivo de la empresa. Coincidimos con el consenso en el EBIT; discrepamos en el precio, que para nosotros vale 1.299,67 DKK y no los 1.824,95 que esperan los analistas.</w:t>
      </w:r>
    </w:p>
    <w:p>
      <w:pPr>
        <w:keepNext/>
        <w:spacing w:after="100"/>
      </w:pPr>
      <w:r>
        <w:rPr>
          <w:b/>
          <w:bCs/>
        </w:rPr>
        <w:t xml:space="preserve">Por qué podemos tener razón.</w:t>
      </w:r>
    </w:p>
    <w:p>
      <w:pPr>
        <w:spacing w:after="100"/>
      </w:pPr>
      <w:r>
        <w:t xml:space="preserve">Porque DSV ya lo ha hecho tres veces (UTi, Panalpina y GIL) y en las tres la conversión y el ROIC acabaron por encima del punto de partida [6]; pero esta vez el fondo de comercio es mucho mayor (147.440 M a fin de 2025) y el ROIC con él está en el WACC, así que la vuelta al PER histórico exige demostrar primero la rentabilidad sobre lo pagado. Sin esa prueba, el valor intrínseco a una tasa del 8,33 % deja poco margen.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DKK) · precio actual 1.211,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menos crecimiento que el caso base</w:t>
      </w:r>
      <w:r>
        <w:t xml:space="preserve">: un 2,1 % anual frente al 3,2 %, y un margen EBITDA del 13,8 % frente al 14,5 %.</w:t>
      </w:r>
    </w:p>
    <w:p>
      <w:pPr>
        <w:pStyle w:val="ListParagraph"/>
        <w:numPr>
          <w:ilvl w:val="0"/>
          <w:numId w:val="2"/>
        </w:numPr>
        <w:spacing w:after="60"/>
      </w:pPr>
      <w:r>
        <w:rPr>
          <w:b/>
        </w:rPr>
        <w:t xml:space="preserve">Múltiplo bajo su historia</w:t>
      </w:r>
      <w:r>
        <w:t xml:space="preserve">: 11,8 veces el EBITDA frente a una media de 15,8 veces y un 20 % por debajo de Kuehne+Nagel en EV/EBITDA de los próximos 12 meses [63].</w:t>
      </w:r>
    </w:p>
    <w:p>
      <w:pPr>
        <w:pStyle w:val="ListParagraph"/>
        <w:numPr>
          <w:ilvl w:val="0"/>
          <w:numId w:val="2"/>
        </w:numPr>
        <w:spacing w:after="60"/>
      </w:pPr>
      <w:r>
        <w:rPr>
          <w:b/>
        </w:rPr>
        <w:t xml:space="preserve">Sinergias a medio hacer</w:t>
      </w:r>
      <w:r>
        <w:t xml:space="preserve">: más de 8.000 empleados de oficina menos y unos 5.000 M de los 9.000 M ya en la cuenta de 2026 [2].</w:t>
      </w:r>
    </w:p>
    <w:p>
      <w:pPr>
        <w:pStyle w:val="ListParagraph"/>
        <w:numPr>
          <w:ilvl w:val="0"/>
          <w:numId w:val="2"/>
        </w:numPr>
        <w:spacing w:after="60"/>
      </w:pPr>
      <w:r>
        <w:rPr>
          <w:b/>
        </w:rPr>
        <w:t xml:space="preserve">Historial de integrador</w:t>
      </w:r>
      <w:r>
        <w:t xml:space="preserve">: la conversión subió del 28,0 % al 43,1 % en dos años tras Panalpina y la guía se cumplió de 2021 a 2025 [1, 6].</w:t>
      </w:r>
    </w:p>
    <w:p>
      <w:pPr>
        <w:pStyle w:val="ListParagraph"/>
        <w:numPr>
          <w:ilvl w:val="0"/>
          <w:numId w:val="2"/>
        </w:numPr>
        <w:spacing w:after="60"/>
      </w:pPr>
      <w:r>
        <w:rPr>
          <w:b/>
        </w:rPr>
        <w:t xml:space="preserve">La red rinde</w:t>
      </w:r>
      <w:r>
        <w:t xml:space="preserve">: ROIC antes de impuestos del 40,4 % sin el fondo de comercio [2].</w:t>
      </w:r>
    </w:p>
    <w:p>
      <w:pPr>
        <w:pStyle w:val="Heading2"/>
      </w:pPr>
      <w:r>
        <w:t xml:space="preserve">En contra</w:t>
      </w:r>
    </w:p>
    <w:p>
      <w:pPr>
        <w:pStyle w:val="ListParagraph"/>
        <w:numPr>
          <w:ilvl w:val="0"/>
          <w:numId w:val="2"/>
        </w:numPr>
        <w:spacing w:after="60"/>
      </w:pPr>
      <w:r>
        <w:rPr>
          <w:b/>
        </w:rPr>
        <w:t xml:space="preserve">Road falla</w:t>
      </w:r>
      <w:r>
        <w:t xml:space="preserve">: menos productividad y clientes perdidos en Alemania, Francia y Países Bajos; −14,2 % el 22-jul y siete recortes de objetivo en octubre [2, 58].</w:t>
      </w:r>
    </w:p>
    <w:p>
      <w:pPr>
        <w:pStyle w:val="ListParagraph"/>
        <w:numPr>
          <w:ilvl w:val="0"/>
          <w:numId w:val="2"/>
        </w:numPr>
        <w:spacing w:after="60"/>
      </w:pPr>
      <w:r>
        <w:rPr>
          <w:b/>
        </w:rPr>
        <w:t xml:space="preserve">Schenker aún no paga su coste</w:t>
      </w:r>
      <w:r>
        <w:t xml:space="preserve">: ROIC del 8,6 % en 2025 frente a un WACC del 8,33 %, 0,3 puntos de diferencia.</w:t>
      </w:r>
    </w:p>
    <w:p>
      <w:pPr>
        <w:pStyle w:val="ListParagraph"/>
        <w:numPr>
          <w:ilvl w:val="0"/>
          <w:numId w:val="2"/>
        </w:numPr>
        <w:spacing w:after="60"/>
      </w:pPr>
      <w:r>
        <w:rPr>
          <w:b/>
        </w:rPr>
        <w:t xml:space="preserve">Poca asimetría</w:t>
      </w:r>
      <w:r>
        <w:t xml:space="preserve">: alcista +37,1 % y bajista −34,6 % (1,07 veces) con el WACC de hoy.</w:t>
      </w:r>
    </w:p>
    <w:p>
      <w:pPr>
        <w:pStyle w:val="ListParagraph"/>
        <w:numPr>
          <w:ilvl w:val="0"/>
          <w:numId w:val="2"/>
        </w:numPr>
        <w:spacing w:after="60"/>
      </w:pPr>
      <w:r>
        <w:rPr>
          <w:b/>
        </w:rPr>
        <w:t xml:space="preserve">Muy sensible a la tasa</w:t>
      </w:r>
      <w:r>
        <w:t xml:space="preserve">: con un WACC del 8,8 % el DCF baja a 1.186,88 DKK, por debajo del precio.</w:t>
      </w:r>
    </w:p>
    <w:p>
      <w:pPr>
        <w:pStyle w:val="ListParagraph"/>
        <w:numPr>
          <w:ilvl w:val="0"/>
          <w:numId w:val="2"/>
        </w:numPr>
        <w:spacing w:after="60"/>
      </w:pPr>
      <w:r>
        <w:rPr>
          <w:b/>
        </w:rPr>
        <w:t xml:space="preserve">Retribución sin exigencia</w:t>
      </w:r>
      <w:r>
        <w:t xml:space="preserve">: 39,0 M DKK para el consejero delegado (+37,8 %), opciones sin condiciones de rendimiento y ventas de directivos por 265 M en doce meses [34, 44, 45, 46, 47].</w:t>
      </w:r>
    </w:p>
    <w:p>
      <w:pPr>
        <w:pStyle w:val="Heading2"/>
      </w:pPr>
      <w:r>
        <w:t xml:space="preserve">Qué tiene que pasar para que la tesis funcione</w:t>
      </w:r>
    </w:p>
    <w:p>
      <w:pPr>
        <w:spacing w:after="100"/>
      </w:pPr>
      <w:r>
        <w:t xml:space="preserve">La tesis depende de que la conversión del grupo suba del 30,8 % del 2T26 hacia el 34-35 % en 2027 a medida que entran las sinergias. La señal de que no se cumple sería un 3T26 y un 4T26 con Road todavía por debajo del 15 % de conversión sin las plusvalías inmobiliarias, o una guía de 2027 con el EBIT antes de partidas especiales por debajo de 27.000 M. La deuda debe seguir bajando hacia 2,0 veces el EBITDA en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del grupo (EBIT antes de partidas especiales / 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 en el 3T26 o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medida directa de las sinergias; el caso base pide 34,5 % en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de Road sin plusvalías inmobiliarias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750 M en el 2T26 (999 M con unos 250 M de plusvalías)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750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Road es donde ha fallado la integración y donde los analistas ven la pérdida de clientes.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con arrendamientos / EBITDA (definición de DSV)</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 a fin de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bajar de 2,0x no vuelven las recompras y el rating A− queda en riesgo.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 con fondo de comercio (después de impuestos)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9 % a fin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requisito de calidad que hoy impide comprar: tiene que acercarse al WACC + 5 puntos.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 por TEU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3.964 DKK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3.800 DKK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Separa la caída de fletes de la pérdida de precio frente a rivales, y mide el riesgo de la IA en la comisión.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11,8x / 9,9x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41,9x / 16,9x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DSV nace en 1976 como «De Sammensluttede Vognmænd», una agrupación de diez transportistas daneses por carretera liderada por Leif Tullberg [16]. Su modelo de crecimiento ha sido comprar e integrar: la compra de DFDS Dan Transport en 2000 marcó el salto fuera de la carretera danesa y en 2001 la empresa se organizó en las tres divisiones que mantiene hoy (Road, Air &amp; Sea y Contract Logistics) [16]. Frans Maas (2006) y ABX (2008) la hicieron europea y global; UTi (2016), Panalpina (2019) y GIL de Agility (2021) la llevaron al podio mundial; y Schenker, comprada a Deutsche Bahn y cerrada a finales de abril de 2025, es la mayor operación de su historia y la convierte en el primer transitario del mundo [2, 16]. Jens H. Lund es consejero delegado desde 2024 [16]. En mayo de 2026 presentó la estrategia «Leverage to Lead» con objetivos para 2030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De Sammensluttede Vognmænd af 13-7 1976 A/S por Leif Tullberg y nueve transportistas independientes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DFDS Dan Transport Group, «un paso decisivo» que abre la etapa internacional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Organización en tres divisiones: Road, Air &amp; Sea y Contract Logistics, la estructura actual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Frans Maas (Países Bajos), refuerzo de la red europea de carretera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ABX Logistics: DSV pasa a ser una empresa global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UTi Worldwide (EE. UU.), gran salto en aire y mar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Panalpina: cuarto grupo de transporte y logística del mundo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Global Integrated Logistics (GIL) de Agility: entre los tres primeros del mundo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Jens H. Lund, consejero delegado del grupo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Schenker a Deutsche Bahn a finales de abril, la mayor de su historia; integración prevista para finales de 2026 y sinergias anuales de unos 9.000 M DKK con efecto pleno en 2027 [2,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(12 de mayo): estrategia «Leverage to Lead» con objetivo de conversión del grupo de ~45 % y ROIC antes de impuestos de ~20 % en 2030, y ~9.000 M DKK adicionales de productividad por IA y red [15].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DSV organiza el transporte de mercancías de terceros por aire, mar y carretera y gestiona almacenes y distribución, sobre todo entre empresas (B2B) [1]. El transporte lo hacen terceros (navieras, aerolíneas, transportistas por carretera y ferrocarril) y los almacenes son en su mayoría alquilados: es un modelo de pocos activos [1]. Tiene tres divisiones: </w:t>
      </w:r>
      <w:r>
        <w:rPr>
          <w:b/>
        </w:rPr>
        <w:t xml:space="preserve">Air &amp; Sea</w:t>
      </w:r>
      <w:r>
        <w:t xml:space="preserve"> (transitario aéreo y marítimo, con aduanas, consolidación y servicios de valor añadido; 3,70 millones de TEU y 2,01 millones de toneladas en 2025), </w:t>
      </w:r>
      <w:r>
        <w:rPr>
          <w:b/>
        </w:rPr>
        <w:t xml:space="preserve">Road</w:t>
      </w:r>
      <w:r>
        <w:t xml:space="preserve"> (grupaje y cargas completas, líder en Europa) y </w:t>
      </w:r>
      <w:r>
        <w:rPr>
          <w:b/>
        </w:rPr>
        <w:t xml:space="preserve">Contract Logistics</w:t>
      </w:r>
      <w:r>
        <w:t xml:space="preserve"> (unos 17 millones de m² en más de 1.200 centros a mitad de 2026) [1, 2]. Trabaja con unas 150.000 personas en más de 90 países y se organiza por sectores de cliente: aeroespacial y defensa, automoción, consumo, salud, industria y tecnología [1, 2].</w:t>
      </w:r>
    </w:p>
    <w:p>
      <w:pPr>
        <w:pStyle w:val="Heading2"/>
      </w:pPr>
      <w:r>
        <w:t xml:space="preserve">Cómo gana dinero</w:t>
      </w:r>
    </w:p>
    <w:p>
      <w:pPr>
        <w:spacing w:after="100"/>
      </w:pPr>
      <w:r>
        <w:t xml:space="preserve">El margen bruto es la diferencia entre lo que DSV cobra al cliente y lo que paga a la naviera, aerolínea o transportista, más las tarifas de aduanas y servicios [1]. Por eso los ingresos se mueven con los fletes (en el segundo trimestre de 2026 subieron un 23,4 % mientras el margen bruto de Air &amp; Sea bajó al 21,3 % desde el 24,6 % por el traspaso de tarifas y combustible), y lo que importa es el margen bruto por unidad: 4.274 DKK por TEU y 8.242 DKK por tonelada en 2025, frente a 4.752 y 8.551 en 2024 [1, 2]. El beneficio depende de convertir ese margen bruto en EBIT: la conversión del grupo fue del 29,3 % en 2025 (37,5 % en 2024) y la de Air &amp; Sea del 40,2 % (48,1 %) [1]. El coste es sobre todo personal, lo que da apalancamiento operativo con el volumen; la integración de Schenker y las sinergias de unos 9.000 M DKK son hoy la palanca principal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&amp; Sea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77.977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Contract Logistics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&amp; Sea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104.496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137.320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77.977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Contract Logistics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DSV dice no depender de ningún gran cliente: ninguno supera el 5 % de los ingresos del grupo [1]. No publica la cuota de los diez primeros ni tasas de renovación. Combina grandes cuentas globales, gestionadas por sectores, con una base amplia de pequeñas y medianas empresas, que la propia compañía considera central [2]. Tras la compra de Schenker mantuvo «una retención alta» de los mayores clientes globales, pero en el segundo trimestre de 2026 bajó la satisfacción en Road por los problemas operativos de la integración en Alemania, Francia y Países Bajos [2]. Como referencia del sector, en C.H. Robinson los cien primeros clientes suponen ~40 % de los ingresos y el primero ~2 % [20]. El poder de precios es limitado y se ve en el margen por unidad, no en el porcentaje: el margen bruto por TEU de DSV cayó de 4.752 a 4.274 DKK en 2025 y a 3.964 DKK en el primer semestre de 2026, en parte por la mezcla de Schenker, de menor margen [1,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marítimo (TEU)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2.686.009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3.695.424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Schenker 8 meses. Serie: 1.389.611 (2017), 1.442.348 (2018), 2.204.902 (2020), 2.493.951 (2021), 2.665.147 (2022), 2.519.295 (2023). 1S26: 1.983.978 TEU (+24 %) [1, 2, 4,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por TEU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Schenker aporta rendimientos más bajos; en el 1S26 bajó a 3.964 DKK frente a 4.679 en el 1S25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aéreo (toneladas)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1.398.398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2.013.127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635.655 (2017), 689.045 (2018), 1.272.405 (2020), 1.510.833 (2021), 1.557.972 (2022), 1.305.827 (2023). 1S26: 1.076.256 t (+28 %) [1, 2, 4,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por tonelada aérea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8.482 frente a 8.733; en el 2T26 subió a 8.722 por la crisis de Oriente Medio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conversión del grupo (EBIT/margen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división en 2025: Air &amp; Sea 40,2 % (48,1 %), Road 16,5 % (24,2 %), Contract Logistics 20,4 % (23,2 %). Máximo de 48,3 % en 2022; 28,4 % en el 1S26; objetivo 2030 de al menos el 45 %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 antes de impuestos (con fondo de comercio)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21,5 % (2016), 23,4 % (2017), 26,7 % (2018), 13,4 % (2019), 14,3 % (2020), 19,6 % (2021), 25,1 % (2022), 17,8 % (2023); 10,8 % LTM jun-26. Sin fondo de comercio ni relaciones con clientes: 77,9 % (2021), 105,1 % (2022), 76,3 % (2023), 57,7 % (2024), 48,1 % (2025), 40,4 % LTM jun-26 [1, 2,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(FTE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73.338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151.751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8.000 puestos de oficina menos desde el inicio de la integración (a jun-26)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transitario mundial (organización de transporte aéreo y marítimo internacional, con aduanas y servicios asociados), que pesa la mayor parte del beneficio de DSV (Air &amp; Sea fue el 66 % del EBIT antes de partidas especiales de 2025) [1]. Se mide por ingresos netos de los transitarios (Transport Intelligence) y por volumen: 25,2 millones de toneladas de carga aérea de exportación y 69,0 millones de TEU marítimos controlados por transitarios en 2025 (DHL, con WorldACD y CTS) [18, 24]. El tamaño en valor usa Ti; el volumen sirve de contraste. Quedan fuera la carretera europea y la logística por contrato, donde DSV también compite.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208.100 M EUR en 2025 (≈ 1,55 billones de DKK al tipo del BCE de cierre de 2025), +4,4 % en términos reales [23, 24]. En volumen: 25,2 M t de carga aérea y 69,0 M TEU marítimos controlados por transitarios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EUR (Ti, transitario mundi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mundial y PIB</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carga aérea creció un 3,4 % en 2025 (CTK) y IATA espera un 2,4 % en 2026; la OMC prevé un 1,9 % de crecimiento del comercio de mercancías en 2026 [24,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flete y combustible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Suben los ingresos y el margen absoluto pero diluyen el margen porcentual: en el 2T26 el margen bruto de Air &amp; Sea cayó al 21,3 % (24,6 %) por el traspaso de fletes y combustible [2]. El WCI estaba en 4.485 USD por FEU el 15-oct-2026 (+3 % en la semana), con Asia-Europa estable tras doce semanas de bajadas hasta el 1-oct [26], frente a 1.420 USD de media en 2019 y un máximo de 10.377 USD en septiembre de 2021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Adelantaron envíos en 2025 y distorsionaron la estacionalidad [1]; el fin de la exención de minimis redujo la demanda aérea China-EE. UU. en el 2S25 [19]. A cambio, la complejidad aduanera elevó un 13 % los ingresos de aduanas y otros servicios de Expeditors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Conflictos y cierres de rutas (Mar Rojo,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conflicto de Oriente Medio iniciado a finales de febrero de 2026 recortó un 22 % la capacidad aérea mundial y un 39 % las rutas Asia-Europa por la región [24]; las tarifas subieron y DSV elevó su margen por tonelada aérea en el 2T26 [2]. El tránsito por Suez en la semana 39 era un 68 % mayor que un año antes, lo que añade capacidad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y complejidad de las cadenas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20 primeros transitarios tienen ~40 % del mercado y DSV ~6 % tras Schenker; DSV prevé que la consolidación siga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Tecnología, IA y demanda de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cita la fuerte demanda aérea de los hiperescaladores en el 4T25 [17]; DSV crece en Technology y espera ~9.000 M DKK de productividad por IA y red hasta 2030 [2,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(los cinco primeros, ~19 %; los veinte primeros, ~40 %) con precios muy competidos [1]. En 2025 la conversión de Kuehne+Nagel en mar cayó del 41,1 % al 25,8 % y el EBIT de DHL Global Forwarding, Freight un 29,6 % [17,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repartidos (ninguno supera el 5 % de los ingresos de DSV) [1], pero los grandes cargadores reparten su carga entre varios proveedores logísticos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navieras ofrecen puerta a puerta y son a la vez proveedoras y competidoras [1]; las crisis de capacidad (−22 % de capacidad aérea en 2026) encarecen la compra, aunque se trasladan al cliente con retraso [2,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transitarios digitales cotizan y reservan en línea pero tienen poca capacidad logística [1]; competir en compras exige escala: DSV es uno de los mayores compradores de transporte del mundo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integración vertical de las navieras (puerta a puerta) y la logística propia de grandes cargadores sustituyen parte del servicio [1]; el transporte en sí no tiene sustituto.</w:t>
            </w:r>
          </w:p>
        </w:tc>
      </w:tr>
    </w:tbl>
    <w:p>
      <w:pPr>
        <w:spacing w:after="160" w:before="0"/>
      </w:pPr>
    </w:p>
    <w:p>
      <w:pPr>
        <w:pStyle w:val="Heading2"/>
      </w:pPr>
      <w:r>
        <w:t xml:space="preserve">Ciclo</w:t>
      </w:r>
    </w:p>
    <w:p>
      <w:pPr>
        <w:spacing w:after="100"/>
      </w:pPr>
      <w:r>
        <w:t xml:space="preserve">Los fletes siguen altos por Oriente Medio (WCI 4.485 USD/FEU el 15-oct-2026) pero Asia-Europa bajó doce semanas seguidas hasta el 1-oct y Ti prevé que el mercado crezca solo un 2,5 % en 2026 [24, 26]. En el último ciclo el beneficio del sector se multiplicó y volvió: el EBIT de Kuehne+Nagel pasó de 1.070 M CHF en 2020 a 3.763 M en 2022 y a 1.242 M en 2025, y su conversión del 14,3 % al 33,9 % y al 14,1 % [17]; el resultado de explotación de Expeditors, de 940 M USD en 2020 a 1.909 M en 2021 y a 940 M en 2023 [22]. El WCI tocó 10.377 USD/FEU en septiembre de 2021, frente a una media de 1.420 USD en 2019 [27]; el de hoy triplica aún la media de 2019. En 2020 el beneficio aguantó (Kuehne+Nagel, de 1.061 a 1.070 M CHF) y el salto llegó en 2021-22; 2023 devolvió la mitad. No hemos documentado 2008-09.</w:t>
      </w:r>
    </w:p>
    <w:p>
      <w:pPr>
        <w:pStyle w:val="Heading2"/>
      </w:pPr>
      <w:r>
        <w:t xml:space="preserve">Regulación</w:t>
      </w:r>
    </w:p>
    <w:p>
      <w:pPr>
        <w:spacing w:after="100"/>
      </w:pPr>
      <w:r>
        <w:t xml:space="preserve">Lo que más mueve las cifras es la política comercial de EE. UU.: los aranceles de 2025 y la retirada de la exención de minimis cambiaron los flujos (adelantos de carga, menor demanda aérea China-EE. UU. en el 2S25) y elevaron la demanda de servicios aduaneros [1, 19]. En descarbonización, DSV se ha fijado reducir un 50 % las emisiones de alcances 1 y 2 y un 30 % las de alcance 3 en 2030 frente a 2019 (objetivos validados por SBTi en 2023), y casi todo su inventario es transporte subcontratado [1]. En EE. UU., C.H. Robinson opera como agente de cargas con licencia del Departamento de Transporte [20]; Expeditors considera que la regulación no supone una restricción económica significativa [19].</w:t>
      </w:r>
    </w:p>
    <w:p>
      <w:pPr>
        <w:pStyle w:val="Heading2"/>
      </w:pPr>
      <w:r>
        <w:t xml:space="preserve">Tendencias y disrupción</w:t>
      </w:r>
    </w:p>
    <w:p>
      <w:pPr>
        <w:spacing w:after="100"/>
      </w:pPr>
      <w:r>
        <w:t xml:space="preserve">Tres tendencias: la regionalización de la producción y el doble aprovisionamiento, que alargan y complican las cadenas [1]; la digitalización e IA, que DSV quiere aprovechar con su plataforma de datos y unos 9.000 M DKK de ahorros en 2030 [2, 15]; y la entrada de navieras en el puerta a puerta, que compiten con sus clientes transitarios [1]. Los transitarios digitales no han ganado cuota relevante por su limitada capacidad logística [1]. El comercio electrónico transfronterizo y la carga de centros de datos sostienen el aéreo [17, 24]. Ti espera que el marítimo crezca a un 2,9 % anual hasta 2030 y el aéreo a un 1,6 % [24]. A DSV la escala le favorece en compras y tecnología, pero la integración resta foco comercial a corto plazo [2].</w:t>
      </w:r>
    </w:p>
    <w:p>
      <w:pPr>
        <w:pStyle w:val="Heading1"/>
      </w:pPr>
      <w:r>
        <w:t xml:space="preserve">4. Posición competitiva y foso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transitario mundial: ~6 % del mercado según la estimación de DSV sobre ingresos de 2024 proforma con Schenker, por delante de DHL (~5 %) y Kuehne+Nagel (~4 %) [1]. En volumen de 2025 (Schenker solo desde mayo), 3,70 M TEU frente a 69,0 M controlados por transitarios (≈5,4 %) y 2,01 M t frente a 25,2 M t de carga aérea de exportación (≈8,0 %) (estimación propia con [1, 18]). En carretera es líder en Europa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Kuehne+Nagel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KNIN.SW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24.476 M CHF y EBIT de 1.242 M (conversión del 14,1 %) en 2025 [17]. Se declara primero del mundo en mar y en aire. Mar: 4,33 M TEU con 483 CHF de margen bruto por TEU (≈ 3.871 DKK, frente a 4.274 de DSV) y conversión del 25,8 % (41,1 % en 2024); 2,24 M t aéreas con 776 CHF por tonelada (≈ 6.224 DKK) y conversión del 24,7 % [1, 17]. En septiembre de 2026 firmó un acuerdo de hasta siete años con Amazon para la logística de infraestructura de AWS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Global Forwarding, Freight (DHL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DHL.DE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División de DHL Group: 18.643 M EUR de ingresos y EBIT de 756 M EUR (−29,6 %, con 84 M de reestructuración); conversión del 16,9 % en la división y del 24,1 % en Global Forwarding [18]. Volúmenes de 2025: 1,77 M t aéreas (−1,0 %) y 3,27 M TEU (−1,2 %), con salida deliberada de negocio de bajo margen [18]. Cita a DSV y Kuehne+Nagel como sus competidores clave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Expeditors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diferencia de los rivales que crecieron comprando, opera un único sistema integrado en todas sus oficinas [19]. Ingresos de 11.069 M USD y resultado de explotación de 1.053 M en 2025; margen neto de transporte (ingresos menos costes directos) de 3.667 M USD, conversión del 28,7 % [19]. Aduanas y otros servicios ya son el 39 % de los ingresos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 Robinson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intermediación de carretera en Norteamérica (NAST); Global Forwarding facturó 3.090 M USD con 184 M de resultado del segmento [20]. Margen bruto ajustado del grupo de 2.729 M USD y resultado de explotación de 795 M: conversión del 29,1 %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Supply Chain (DHL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DHL.DE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132.782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competidor en logística por contrato: 17.778 M EUR de ingresos (+3,7 % sin divisa) y EBIT de 1.161 M EUR en 2025; 7.500 M EUR de contratos nuevos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GXO Logistics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Logística por contrato pura: 13.178 M USD de ingresos y 245 M de resultado de explotación en 2025; 1.043 centros y 221 millones de pies cuadrados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se define como plataforma cuyo valor crece con la red (más de 90 países, grupaje europeo) [1]; la densidad abarata la consolidación, pero los clientes pueden usar varias redes a la vez.</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cargadores reparten la carga entre varios proveedores logísticos [7]; ningún cliente supera el 5 % de los ingresos de DSV [1]. Algo más altos en logística por contrato e integraciones informáticas.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patentes ni licencias que excluyan: las licencias de agente o NVOCC son accesibles [7,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Air &amp; Sea del 48,1 % en 2024 y del 40,2 % en 2025, frente al 41,1 % y 25,8 % de Kuehne+Nagel en mar [1, 5]; margen EBIT del grupo del 7,9 % frente al 5,1 % de Kuehne+Nagel y el 4,1 % de DHL Global Forwarding, Freight [1,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transitario del mundo y uno de los mayores compradores de transporte [1]; la escala no impide que el mercado siga fragmentado (top 20 ~40 %) ni la entrada de competidores regionales [1].</w:t>
            </w:r>
          </w:p>
        </w:tc>
      </w:tr>
    </w:tbl>
    <w:p>
      <w:pPr>
        <w:spacing w:after="160" w:before="0"/>
      </w:pPr>
    </w:p>
    <w:p>
      <w:pPr>
        <w:pStyle w:val="Heading2"/>
      </w:pPr>
      <w:r>
        <w:t xml:space="preserve">Amenazas</w:t>
      </w:r>
    </w:p>
    <w:p>
      <w:pPr>
        <w:spacing w:after="100"/>
      </w:pPr>
      <w:r>
        <w:t xml:space="preserve">Primero, la ejecución: la integración de Schenker restó productividad y volumen en Road (Alemania, Francia, Países Bajos), cambió la dirección de la división y bajó la satisfacción de los clientes; el mar creció menos de lo esperado en Asia-Europa [2]. Segundo, los competidores que capten grandes cuentas mientras DSV integra: Kuehne+Nagel cerró con Amazon un acuerdo de hasta siete años para la logística de AWS y la acción de DSV cayó un 4,2 % ese día, aunque nadie confirmó que DSV pujara [28]. Tercero, la normalización de fletes tras Oriente Medio, que ya presiona el margen por TEU (3.964 DKK en el 1S26) [2, 26]. Cuarto, las navieras con oferta puerta a puerta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2016-2025: ingresos </w:t>
      </w:r>
      <w:r>
        <w:rPr>
          <w:b/>
          <w:bCs/>
        </w:rPr>
        <w:t xml:space="preserve">15,5 %</w:t>
      </w:r>
      <w:r>
        <w:t xml:space="preserve">, EBITDA </w:t>
      </w:r>
      <w:r>
        <w:rPr>
          <w:b/>
          <w:bCs/>
        </w:rPr>
        <w:t xml:space="preserve">23,4 %</w:t>
      </w:r>
      <w:r>
        <w:t xml:space="preserve">, BPA </w:t>
      </w:r>
      <w:r>
        <w:rPr>
          <w:b/>
          <w:bCs/>
        </w:rPr>
        <w:t xml:space="preserve">16,2 %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DK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Tres saltos de perímetro explican casi todo el crecimiento: UTi (2016), Panalpina (ago-2019), GIL (16-ago-2021) y Schenker (desde el 1-may-2025). Los ingresos pasan de 67.747 M DKK en 2016 a 247.331 M en 2025 [1, 7], pero con el ciclo de fletes en medio: 2021-2022 inflaron ingresos y margen (EBIT antes de partidas especiales de 25.204 M en 2022, margen operativo 10,7 %, conversión 48,3 %) y 2023-2024 los devolvieron (16.096 M en 2024) [1, 4]. En 2025 el EBIT antes de partidas especiales sube un 21,8 % a 19.611 M, pero el margen operativo cae de 9,6 % a 7,9 % y la conversión (EBIT/margen bruto) de 37,5 % a 29,3 % por la dilución de Schenker [1]. Sin Schenker y a tipo de cambio constante, el EBIT del 3T25 cayó un 7,3 % [11]. Proforma con Schenker desde el 1-ene-2025, los ingresos de 2025 habrían sido unos 293.368 M y el beneficio unos 8.644 M [1]. El LTM a jun-26 (290.772 M de ingresos, 22.136 M de EBIT antes de partidas especiales) ya tiene Schenker los doce meses y es la primera base limpia de perímetro [2]. 2016 y 2019 vienen de las tablas de cinco años (sin desglose de costes) y 2017-2018 no están reexpresados por NIIF 16 [6, 7].</w:t>
      </w:r>
    </w:p>
    <w:p>
      <w:pPr>
        <w:pStyle w:val="Heading2"/>
      </w:pPr>
      <w:r>
        <w:t xml:space="preserve">Ajustes y partidas no recurrentes</w:t>
      </w:r>
    </w:p>
    <w:p>
      <w:pPr>
        <w:spacing w:after="100"/>
      </w:pPr>
      <w:r>
        <w:t xml:space="preserve">DSV presenta el EBITDA y el EBIT antes de partidas especiales (special items); en la cuenta de esta nota van esas cifras tal como las publica, y las partidas especiales quedan entre el EBIT y el beneficio antes de impuestos (por eso bai = ebit + resultado financiero − partidas especiales). Partidas especiales (M DKK): 2016 1.002 (UTi); 2017 525; 2018 0; 2019 800 (Panalpina); 2020 2.164 (Panalpina); 2021 478 (GIL); 2022 1.117; 2023 0; 2024 853 (Schenker, de ellas 196 de costes de transacción); 2025 4.527 (Schenker; 554 de transacción) [1, 4, 6, 7]. 1S26: 2.921 [2]. Se repiten en cada compra grande: son recurrentes para un consolidador. El coste total de integración de Schenker se estima en unos 11.000 M DKK, con ~7.400 M acumulados a jun-26 y ~6.500 M esperados en 2026 [2]. 2025 incluye además una pérdida de actividades interrumpidas de 291 M [1]. LTM jun-26 calculado como 2025 − 1S25 + 1S26 con cifras antes de partidas especiales; el BPA LTM (28,89) es el beneficio atribuido LTM entre 237,742 M de acciones diluidas medias (estimación propia) [1, 2, 9, 12]. Para 2016 y 2019, bai e impuestos derivados de la tabla de cinco años (EBIT − especiales − financieros; tipo efectivo publicado) [6, 7]. El FCF LTM (11.491 M) es el flujo libre ajustado de DSV (después de arrendamientos, antes de partidas especiales pagadas y de compras): 16.335 M de 2025 − 7.147 M del 1S25 + 2.303 M del 1S26 [1, 2, 10]. Los crecimientos trimestrales se calculan sobre los ingresos del mismo trimestre del año anterior publicados en cada informe, y el EBITDA del 4T como el anual menos los nueve meses [1, 3, 8, 9, 10, 11, 12].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se han leído las transcripciones de las conferencias del 1T26 (29-abr-2026) ni del 2T26 (22-jul-2026); lo que sigue sale de los dos informes y del mensaje de la dirección en cada uno [2, 12]. En el 1T26 el discurso fue de resistencia: EBIT antes de partidas especiales de 4.855 M DKK (+31,2 % a tipo constante, por Schenker), más de 50 países integrados o en integración, sinergias de 9.000 M con impacto completo en 2027 (al menos +4.000 M en 2026) y previsión de EBIT de 23.000-25.500 M para 2026; el riesgo citado era la guerra en Oriente Medio [12]. En el 2T26 el tono cambia en dos cosas. Primero, la dirección admite problemas: la integración de Road en Alemania, Francia y Países Bajos bajó la productividad y empeoró la satisfacción de los clientes, y llevó a cambiar a los equipos locales y a poner al COO del grupo, Brian Ejsing, al frente de Road [2]. Segundo, estrecha la previsión por abajo (23.500-25.500 M) gracias a la carga aérea, que mejoró con la crisis de Oriente Medio (conversión de Air &amp; Sea del 42,4 %, la primera mejora desde la compra) [2]. El flujo libre ajustado del trimestre cayó a 786 M por el circulante, y unos 250 M del EBIT de Road vinieron de vender inmuebles [2]. En mayo de 2026 presentó la estrategia «Leverage to Lead»: unos 9.000 M de ahorro de costes a 2030, conversión de al menos el 45 % y ROIC antes de impuestos de al menos el 20 %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290.373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298.394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(2016: UTi Worldwide, comprada en enero de 2016: casi todo el año en la cuenta; la plantilla pasa de 22.783 a 44.779 FTE y 2015 no es comparable.; 2019: Panalpina, consolidada desde agosto de 2019 (canje de acciones): unos cinco meses en la cuenta y año completo en el balance; además entra la NIIF 16 (2017-2018 sin reexpresar).; 2021: GIL de Agility, consolidada desde el 16-ago-2021 (pago en acciones): unos 4,5 meses en la cuenta y completa en el balance.; 2024: Balance inflado por la financiación de Schenker antes del cierre: 83.576 M de caja (ampliación de 36.605 M y bonos) sin el negocio comprado; deuda neta negativa.; 2025: Schenker, cerrada el 30-abr-2025 y consolidada desde el 1-may-2025: ocho meses en la cuenta y completa en el balance; casi duplica ingresos, activo y plantilla.).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 arrendamientos (definición de DSV) pasó de −529 M DKK a cierre de 2024 (caja de la ampliación y los bonos aún sin usar) a 86.624 M a cierre de 2025 y 87.331 M a 30-jun-2026 [1, 2]. Antes de Schenker se movía entre 18.000 y 35.000 M (29.245 M en 2021, 34.583 M en 2023), porque DSV devolvía casi todo el flujo libre con recompras [1, 6]. El circulante neto que publica DSV es pequeño y volátil: 9.317 M en 2024, 1.242 M en 2025 (cobros y entrada de Schenker) y 10.789 M a 30-jun-2026, con 1.800 M de cuentas a cobrar por la venta de inmuebles de Schenker y fletes más caros [1, 2]. Los arrendamientos (sobre todo almacenes) suben de 12.278 M en 2020 a 30.930 M en 2025 y 32.155 M a jun-26 [1, 2, 6]. A 30-jun-2026: deuda financiera 63.372 M (48.193 M a largo, 15.179 M a corto), arrendamientos 32.155 M, caja 10.058 M, patrimonio de la dominante 125.609 M y minoritarios 370 M; clientes 55.064 M, activos de contrato 14.215 M, existencias 2.202 M, proveedores 25.639 M y coste devengado de servicios 15.574 M [2]. Acciones a 30-jun-2026: 240.445 miles emitidas y 1.739 miles en autocartera (1.672 miles a 21-jul-2026); diluidas, 239.178 miles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77.611</w:t>
      </w:r>
      <w:r>
        <w:t xml:space="preserve">, conversión </w:t>
      </w:r>
      <w:r>
        <w:rPr>
          <w:b/>
          <w:bCs/>
        </w:rPr>
        <w:t xml:space="preserve">110 %</w:t>
      </w:r>
      <w:r>
        <w:t xml:space="preserve"> del beneficio neto; adquisiciones 76.682, dividendos 8.940, recompras 71.137.</w:t>
      </w:r>
    </w:p>
    <w:p>
      <w:pPr>
        <w:spacing w:after="100"/>
      </w:pPr>
      <w:r>
        <w:t xml:space="preserve">DSV clasifica todos los intereses (también los de arrendamientos) y las partidas especiales pagadas dentro del flujo de explotación, así que el flujo operativo ya es después de intereses: en 2025 descontó 2.865 M de partidas especiales, 1.669 M de intereses de arrendamientos y 2.163 M de otros intereses [1]. El capex es bajo (entre el 1 % y el 1,6 % de los ingresos; 2.588 M en 2025) porque los almacenes y terminales se alquilan: el capex real de la red está en las altas de derechos de uso, que fueron 3.211 M (2020), 3.715 M (2021, más 2.375 M de GIL), 5.045 M (2022), 5.514 M (2023), 7.582 M (2024) y 7.781 M (2025, más 8.642 M de Schenker) [1, 4, 5, 6]. El flujo libre ajustado que publica DSV (tras arrendamientos y antes de partidas especiales y compras) fue de 8.746 M (2020), 8.659 M (2021), 22.810 M (2022), 11.471 M (2023), 5.550 M (2024) y 16.335 M (2025, una conversión del 117 % ayudada por la reducción del circulante) [1, 4, 6]. En el 2T26 cayó a 786 M (conversión ajustada del 36,9 %) por la subida temporal del circulante [2]. El circulante es la gran fuente de volatilidad: −4.604 M en 2021 y −4.212 M en 2024, +2.840 M en 2022 y +5.029 M en 2025 [1, 4, 6]. En 2021 la compra de GIL, pagada en acciones, aportó caja neta (+1.631 M por la caja adquirida), que aquí no se resta como adquisición [6]. En 2024 la emisión incluye la ampliación de 36.605 M para Schenker [1]. 2016 y 2019 solo tienen flujo operativo, dividendos y recompras (tablas de cinco años) [6, 7].</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Statsautoriseret Revisionspartnerselskab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a DSV desde la junta del 9-mar-2017 (nueve ejercicios hasta 2025) y emitió opinión favorable sobre 2025; la asignación del precio de compra de Schenker fue cuestión clave de auditoría [1]. La contabilidad de Schenker es provisional: de 86.807 M DKK pagados, el fondo de comercio es 75.106 M (87 %) y las relaciones con clientes solo 1.627 M, valoradas con un modelo de beneficios excedentes y un WACC de 8,25 % [1]; en el 1S26 el fondo de comercio se ajustó a 74.986 M [2]. Un intangible amortizable tan pequeño reduce la amortización futura y favorece el EBIT y el ROIC «sin fondo de comercio» frente a compras anteriores. Las partidas especiales (costes de integración por debajo del EBIT) se repiten en cada compra: 1.002 M (2016), 2.964 M (2019-2020), 478 M (2021), 1.117 M (2022) y unos 11.000 M previstos para Schenker [1, 2, 6, 7]. DSV no publica el impacto en resultados de Schenker por separado porque ya no lleva contabilidad de los dos perímetros [1]. El tipo impositivo efectivo subió al 30,3 % en 2025 y se espera en torno al 28 % en 2026 [1, 2]. En el 2T26, unos 250 M del EBIT de Road (999 M) vienen de ventas de inmuebles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del precio de Schenker provisional y con poco intangible amortizable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Relaciones con clientes de 1.627 M frente a 75.106 M de fondo de comercio; menos amortización futura y más riesgo de deterioro si la integración falla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 recurrentes fuera del EBIT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Aparecen en 2016-2017, 2019-2022 y 2024-2026; en total unos 11.000 M para Schenker (~7.400 M ya reconocidos a jun-26). El EBIT «antes de partidas especiales» sobrestima el beneficio de un consolidador en serie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muy dependiente del circulante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ajustada del 117 % en 2025 por la liberación de circulante y del 36,9 % en el 2T26 por su subida; 1.800 M a cobrar por inmuebles vendidos de Schenker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por venta de inmuebles dentro del EBIT antes de partidas especiales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250 M en el EBIT de Road del 2T26 (un cuarto del EBIT de la división en el trimestre)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cifras separadas de Schenker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no puede aislar el resultado de Schenker; las sinergias declaradas no se pueden verificar con datos contables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Actividades interrumpidas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291 M por una parte de Schenker clasificada para la venta (parte del negocio de carretera de EE. UU.)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56.858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101.646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101.582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108.174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158.095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147.440 M en 2025 (el 71 % del capital invertido medio); ha subido más de un 5 % en 3 de 7 años: comprador en serie. ROIC publicado 8,6 %; sin fondo de comercio, 29,7 %.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7,7 % · </w:t>
      </w:r>
      <w:r>
        <w:rPr>
          <w:b/>
          <w:bCs/>
        </w:rPr>
        <w:t xml:space="preserve">WACC</w:t>
      </w:r>
      <w:r>
        <w:t xml:space="preserve">: 8,3 %.</w:t>
      </w:r>
    </w:p>
    <w:p>
      <w:pPr>
        <w:spacing w:after="100"/>
      </w:pPr>
      <w:r>
        <w:rPr>
          <w:b/>
        </w:rPr>
        <w:t xml:space="preserve">DSV crea valor sobre sus activos operativos, pero todavía no sobre lo que pagó por Schenker.</w:t>
      </w:r>
      <w:r>
        <w:t xml:space="preserve"> El ROIC después de impuestos del informe cae del 22,9 % de 2017 y el 18,9 % de 2022 al 11,3 % en 2024 y al 8,6 % en 2025, ya casi en el WACC del 8,33 %; el ROIC incremental de la década es del 7,7 %. La propia DSV da el ROIC antes de impuestos de los últimos 12 meses a jun-26: </w:t>
      </w:r>
      <w:r>
        <w:rPr>
          <w:b/>
        </w:rPr>
        <w:t xml:space="preserve">10,8 % con el fondo de comercio</w:t>
      </w:r>
      <w:r>
        <w:t xml:space="preserve"> y las relaciones con clientes y </w:t>
      </w:r>
      <w:r>
        <w:rPr>
          <w:b/>
        </w:rPr>
        <w:t xml:space="preserve">40,4 % sin ellos</w:t>
      </w:r>
      <w:r>
        <w:t xml:space="preserve"> [2]. Después de impuestos (24 %, estimación propia) son un 8,2 % y un 30,7 %: el negocio rinde mucho sobre los almacenes alquilados y el circulante, y casi nada sobre los 75.106 M de fondo de comercio de Schenker [1]. Lo que mueve el ROIC es el margen, no la rotación: la conversión del grupo bajó del 37,5 % al 29,3 % con Schenker [1]. Frente a sus rivales, Expeditors (57,0 %) y C.H. Robinson (21,9 %) rinden más sin compras grandes y Kuehne+Nagel queda en el 16,3 %; DHL (9,2 %) y GXO (3,5 %), con más activos, por debajo [71, 72, 73, 74, 75]. El objetivo de 2030 es un ROIC antes de impuestos del ~20 % con el fondo de comercio [15]: es la cifra que diría si Schenker ha creado valor.</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85.469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89.631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10.058 M DKK y líneas de crédito comprometidas no dispuestas de 11.800 M DKK (1.580 M EUR), más líneas no comprometidas; bonos por 13.100 M DKK (1.750 M EUR) vencen en los 12 meses siguientes [2]. A 31-dic-2025: caja 13.179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(rebajó la perspectiva a negativa al anunciarse Schenker en septiembre de 2024; la búsqueda cita una vuelta a estable el 11-may-2026 que no se ha podido leer en el original) [87]. Moody’s: A3 [89]; Moody’s publicó una opinión de crédito actualizada el 7-oct-2026, que no se ha podido abrir. La política propia es deuda neta con arrendamientos por debajo de 2,0x el EBITDA antes de partidas especiales (2,7x a jun-26)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de prestación definida netas de 2.098 M DKK a cierre de 2025 (457 M en 2024), casi todas heredadas de Schenker (2.044 M en la compra) [1]. Provisiones de 12.417 M (5.928 M a largo y 6.489 M a corto; 5.290 M en 2024), con 8.108 M que entraron con Schenker [1]. «Accrued cost of services» (12.726 M) es coste de fletes devengado aún no facturado por los transportistas: en esta nota se suma a proveedores porque es la contrapartida de los activos de contrato [1]. No hay pagos aplazados ni contraprestación contingente por Schenker [1]. El seguro de crédito cubre el 48 % de los clientes a cobrar [1]. No se han localizado covenants financieros en los documentos leídos. El objetivo propio es deuda neta con arrendamientos por debajo de 2,0x el EBITDA antes de partidas especiales; estaba en 2,8x a cierre de 2025 (ajustado con Schenker los 12 meses) y en 2,7x a 30-jun-2026, con la meta de volver por debajo de 2,0x en el 1S27 [1, 2].</w:t>
      </w:r>
    </w:p>
    <w:p>
      <w:pPr>
        <w:pStyle w:val="Heading1"/>
      </w:pPr>
      <w:r>
        <w:t xml:space="preserve">12. Asignación de capital</w:t>
      </w:r>
    </w:p>
    <w:p>
      <w:pPr>
        <w:pStyle w:val="Confianza"/>
        <w:spacing w:after="100"/>
      </w:pPr>
      <w:r>
        <w:t xml:space="preserve">Confianza: Alta</w:t>
      </w:r>
    </w:p>
    <w:p>
      <w:pPr>
        <w:spacing w:after="100"/>
      </w:pPr>
      <w:r>
        <w:t xml:space="preserve">Orden de prioridades declarado para el flujo libre: 1) reducir deuda cuando el apalancamiento supera el objetivo (deuda neta con arrendamientos por debajo de 2,0x el EBITDA antes de partidas especiales); 2) compras e inversiones que creen valor; 3) devolver capital, sobre todo con recompras y con un dividendo de aproximadamente el 10 % del beneficio neto [1]. El dividendo propuesto por 2025 es de 7,00 DKK por acción (igual que en 2023 y 2024), un 20,6 % del beneficio [1]. Las recompras se suspendieron al anunciar Schenker (sep-2024) y no se han reanudado; el apalancamiento estaba en 2,8x a cierre de 2025 y en 2,7x a jun-26, con la meta de bajar de 2,0x en el 1S27 [1, 2, 13]. Entre 2021 y 2023 DSV recompró acciones por 52.151 M DKK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UTi Worldwide (transitario de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(importe no localizado en los documentos leídos)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Duplicó la plantilla (22.783 a 44.779 FTE); partidas especiales de 1.002 M en 2016 y 525 M en 2017; el ROIC antes de impuestos se recuperó al 23,4 % en 2017 y al 26,7 % en 2018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Panalpina (transitario suizo)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canje en acciones nuevas de DSV (de 188 a 235 millones de acciones emitidas)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Partidas especiales de 800 M (2019) y 2.164 M (2020); el ROIC antes de impuestos bajó al 13,4 % en 2019 y volvió al 19,6 % en 2021; la conversión del grupo subió del 28,0 % (2019) al 43,1 % (2021)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 Global Integrated Logistics de Agility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acciones nuevas de DSV (de 230 a 240 millones de acciones emitidas); valor empresa de las adquiridas de 30.675 M DKK</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16-ago-2021; coincidió con el pico de fletes: EBIT de 25.204 M y ROIC del 25,1 % en 2022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DB Schenker (Deutsche Bahn)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Todo en efectivo: 86.807 M DKK de contraprestación (75.595 M netos de caja). Captados 10.000 M EUR (75.000 M DKK) a partes iguales entre ampliación de capital (26,4 millones de acciones nuevas, 36.605 M DKK, oct-2024) y bonos; el resto, con préstamos a plazo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30-abr-2025 [14]. Valor empresa anunciado de 14.300 M EUR (unos 107.000 M DKK): 0,77x ventas y 14,0x EBIT de los últimos 12 meses [13]. Fondo de comercio de 75.106 M [1]. Sinergias de 9.000 M DKK al año con impacto completo en 2027 (al menos +4.000 M en 2026; ~5.000 M acumulados a fin de 2026) y costes de integración de ~11.000 M [2]. ROIC antes de impuestos del 10,8 % LTM jun-26 frente al 15,4 % de 2024; problemas de productividad y de clientes en Road en Alemania, Francia y Países Bajos [2].</w:t>
            </w:r>
          </w:p>
        </w:tc>
      </w:tr>
    </w:tbl>
    <w:p>
      <w:pPr>
        <w:spacing w:after="160" w:before="0"/>
      </w:pPr>
    </w:p>
    <w:p>
      <w:pPr>
        <w:spacing w:after="100"/>
      </w:pPr>
      <w:r>
        <w:t xml:space="preserve">DSV ha sido un consolidador disciplinado: cada gran compra (UTi, Panalpina, GIL) hundió primero el ROIC y la conversión y en dos o tres años los llevó por encima del punto de partida, y entre compras devolvió casi todo el flujo libre con recompras (17.841 M en 2021, 20.313 M en 2022, 13.997 M en 2023) [1, 6, 7]. Schenker rompe la pauta en tamaño: casi duplica el grupo, se pagó en efectivo y se financió en parte con 26,4 millones de acciones nuevas (las emitidas pasan de 219,0 millones en 2023 a 240,4 millones en 2024) [1, 3]. El beneficio por acción diluido de 2025 (34,3 DKK) está por debajo del de 2021 (48,2 DKK) y el ROIC antes de impuestos (12,8 %) en mínimos de la serie [1]. El juicio sobre la compra depende de las sinergias de 2026-2027 y de recuperar Road.</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Jens H. Lund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del grupo (Group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comité ejecutivo desde 2002: director financiero hasta 2021, director de operaciones (COO) de 2021 a 2024 y consejero delegado desde el 1 de febrero de 2024, sucesión anunciada en octubre de 2023 [31, 32]. Con él al frente, DSV cumplió la guía de EBIT antes de partidas especiales de 2024 (16.096 M DKK) y 2025 (19.611 M DKK) y cerró la compra de Schenker el 30 de abril de 2025 [1, 33]. Tenía 48.135 acciones y 331.545 opciones a 31-12-2025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Ebbe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(Group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el comité ejecutivo como director financiero el 26 de octubre de 2021, procedente de otro puesto dentro de DSV [34]. Ha financiado la compra de Schenker (ampliación de 37.300 M DKK en octubre de 2024) y el desapalancamiento posterior: más de 7.000 M DKK de reducción de deuda neta desde el cierre [1, 35]. Tenía 1.250 acciones y 153.315 opciones a 31-12-2025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Ejsing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(Group COO) y consejero delegado de la división Road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DSV desde 1986; consejero delegado de DSV Solutions (hoy Contract Logistics) de 2012 a 2024 y COO del grupo y miembro del comité ejecutivo desde el 1 de febrero de 2024 [32]. En 2026 asumió además la dirección de la división Road tras los problemas de productividad y comerciales de la integración en Alemania, Francia y Países Bajos [2]. Tenía 100 acciones y 87.215 opciones a 31-12-2025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Plenborg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marzo de 2011 y presidente; catedrático de contabilidad y auditoría en la Copenhagen Business School [1, 30]. Preside además ECIT AS y es consejero de Better Collective y Menzies Aviation [30]. No se considera independiente por llevar más de 12 años en el consejo [1]. Tenía 5.099 acciones a 31-12-2025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Frank Sobotka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la división Air &amp; Sea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DSV desde hace unos 14 años a 2024; director general de Air &amp; Sea Alemania y vicepresidente ejecutivo para Europa central, oriental y del sur antes de asumir la división el 1 de mayo de 2024, en sustitución de Carsten Trolle [32]. Air &amp; Sea aportó el 48 % del beneficio bruto de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antes de partidas especiales: 13.750-14.500 M DKK (guía vigente antes de la revisión), elevada a 15.250-16.000 M DKK el 20-oct-2021 [36]. La guía inicial de febrero de 2021 no se ha consultado.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16.223 M DKK [37]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18.000-20.000 M DKK [37]; elevada a 23.000-25.000 y después a 24.500-25.500 M DKK en octubre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25.204 M DKK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16.000-18.000 M DKK [39]; elevada a 17.000-18.500 M DKK en julio [40]; último rango 17.500-18.500 M DKK [41].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17.723 M DKK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15.000-17.000 M DKK [41]; rango de 15.500-17.000 acotado a 16.000-17.000 M DKK en octubre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16.096 M DKK, en la parte baja del rango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15.500-17.500 M DKK sin Schenker [33]; revisada con Schenker en el 1T25 (mínimo 19.500 M DKK) y último rango 19.500-20.500 M DKK [1, 34].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19.611 M DKK, en la parte baja del rango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23.000-25.500 M DKK con al menos 4.000 M DKK de sinergias incrementales de Schenker [1]; acotada a 23.500-25.500 M DKK el 22-jul-2026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1S26 con Road por debajo de lo esperado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Pendiente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«Leverage to Lead» (día del inversor, 12-may-2026): conversión del grupo ~45 % y ROIC antes de impuestos ~20 %; Air &amp; Sea &gt;55 %/&gt;20 %, Road &gt;35 %/&gt;20 %, Contract Logistics &gt;35 %/&gt;15 %; ~9.000 M DKK de sinergias de Schenker con pleno efecto desde 2027 y ~9.000 M DKK de productividad adicional hasta 2030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a medio plazo, sin resultado aún</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Pendiente</w:t>
            </w:r>
          </w:p>
        </w:tc>
      </w:tr>
    </w:tbl>
    <w:p>
      <w:pPr>
        <w:spacing w:after="160" w:before="0"/>
      </w:pPr>
    </w:p>
    <w:p>
      <w:pPr>
        <w:spacing w:after="100"/>
      </w:pPr>
      <w:r>
        <w:t xml:space="preserve">La dirección ha cumplido la guía anual de EBIT antes de partidas especiales cinco años seguidos (2021-2025), aunque en 2024 y 2025 lo hizo en la parte baja del rango y en 2021-2023 con revisiones al alza ayudadas por el ciclo de fletes [33, 36, 37, 38, 39, 40, 41, 42]. La sucesión del consejero delegado fue ordenada: anunciada en octubre de 2023 y efectiva en febrero de 2024, con un sucesor interno con 22 años en el comité ejecutivo [31, 32]. Todo el equipo es de la casa. El punto débil es la integración de Schenker en Road: en 2026 el COO tuvo que asumir también la división y la guía de 2026 depende de 4.000 M DKK de sinergias [1, 2]. La participación accionarial del equipo es pequeña (el consejero delegado, 0,02 % del capital) y su alineamiento descansa sobre todo en opciones [34].</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Plenborg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Nombramientos; miembro de Auditoría y Remuneración (composición de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Søren Rasmussen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publicadas tras la junta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Beat Walti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Benedikte Leroy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Remuneración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Natalie Shaverdian Riise-Knudsen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Auditoría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Sabine Bendiek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Nombramientos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Tan Chong Meng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publicadas tras la junta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Tarek Sultan Al-Essa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 (2025)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Thomas Plenborg</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6,66 / ventas 265,25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Ernst Göhner Stiftung (Suiza)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su presidente, Beat Walti, es consejero de DSV</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notificaciones de cambio en 2024-2026; última cifra notificada recogida en el informe anual 2025 [1, 30]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Agility Global PLC (grupo Agility, Kuwait)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su presidente, Tarek Sultan Al-Essa, es consejero de DSV</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19.304.348 acciones; reorganización interna en julio de 2025 (de Agility K.S.C.P a Agility Global PLC) sin cambio de participación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Group Companies (EE. UU.)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ancla con ~700 M USD en la ampliación de octubre de 2024 [1,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 (EE. UU.)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Subió al 6,36 % el 9-oct-2024 tras ser ancla con 1.100 M USD en la ampliación; bajó del 5 % el 27-oct-2025 [35, 49,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M de acciones a 31-12-2025 y 2,9 M a 3-feb-2026; sin recompras en 2025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Ebbe (CFO): ejercicio de opciones a 1.325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Ejsing (COO): ejercicio de opciones a 1.325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Ejsing (COO): ejercicio de opciones a 1.485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Ebbe (CFO): ejercicio de opciones a 1.485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Jens H. Lund (CEO): ejercicio de opciones a 1.325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Ebbe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Jens H. Lund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39,0 M DKK en 2025, un 37,8 % más que en 2024 (28,3 M) (salario medio de DSV A/S: +7,4 %); 137 veces el sueldo mediano del grupo [1, 34]. El nuevo bono anual (hasta el 10 % del paquete) pesa EBIT 40 % (mínimo 19.500 M DKK, rango revisado con Schenker), acción frente a rivales a dos años 40 % y emisiones 20 %; se cumplió entero [34]. Aparte, el presidente concedió 6,1 M DKK discrecionales al comité ejecutivo por la compra de Schenker (2,7 M al consejero delegado). </w:t>
      </w:r>
      <w:r>
        <w:rPr>
          <w:b/>
        </w:rPr>
        <w:t xml:space="preserve">No hay métrica de sinergias</w:t>
      </w:r>
      <w:r>
        <w:t xml:space="preserve"> en el variable [34]. El largo plazo son opciones con tres años de consolidación y </w:t>
      </w:r>
      <w:r>
        <w:rPr>
          <w:b/>
        </w:rPr>
        <w:t xml:space="preserve">sin condiciones de rendimiento</w:t>
      </w:r>
      <w:r>
        <w:t xml:space="preserve"> [34]. Política reformada en la junta de 2025; recuperación (clawback) a dos años y preaviso de hasta 24 meses sin indemnización adicional [34, 51].</w:t>
      </w:r>
    </w:p>
    <w:p>
      <w:pPr>
        <w:pStyle w:val="Heading2"/>
      </w:pPr>
      <w:r>
        <w:t xml:space="preserve">Operaciones vinculadas, estructura de control y defensas</w:t>
      </w:r>
    </w:p>
    <w:p>
      <w:pPr>
        <w:spacing w:after="100"/>
      </w:pPr>
      <w:r>
        <w:t xml:space="preserve">DSV no tiene accionista de control: 101.343 accionistas registrados y los 25 mayores suman ~60 % del capital flotante [1]. Una sola clase de acciones, un voto por acción y sin restricciones estatutarias de voto ni de transmisión [1, 30]. Los dos mayores accionistas, Ernst Göhner Stiftung (9,7 %) y Agility (8,0 %), tienen a sus presidentes en el consejo, aunque DSV los califica de independientes [1, 30]. No consta ninguna notificación de participación de Deutsche Bahn: la compra de Schenker se financió en parte con una ampliación de 37.300 M DKK a 1.410,50 DKK por acción sin derecho de suscripción preferente [35]. El consejo tiene autorización hasta marzo de 2030 para emitir hasta 48,1 M de acciones (un 20 % del capital) con o sin preferente [1]. En 2025 no hubo operaciones vinculadas con consejeros ni directivos [1].</w:t>
      </w:r>
    </w:p>
    <w:p>
      <w:pPr>
        <w:pStyle w:val="Heading2"/>
      </w:pPr>
      <w:r>
        <w:t xml:space="preserve">Señales de alerta</w:t>
      </w:r>
    </w:p>
    <w:p>
      <w:pPr>
        <w:pStyle w:val="ListParagraph"/>
        <w:numPr>
          <w:ilvl w:val="0"/>
          <w:numId w:val="2"/>
        </w:numPr>
        <w:spacing w:after="60"/>
      </w:pPr>
      <w:r>
        <w:t xml:space="preserve">Dos consejeros calificados de independientes presiden a los dos mayores accionistas: Beat Walti (Ernst Göhner Stiftung, 9,7 %) y Tarek Sultan Al-Essa (Agility Global, 8,0 %) [1, 30, 48].</w:t>
      </w:r>
    </w:p>
    <w:p>
      <w:pPr>
        <w:pStyle w:val="ListParagraph"/>
        <w:numPr>
          <w:ilvl w:val="0"/>
          <w:numId w:val="2"/>
        </w:numPr>
        <w:spacing w:after="60"/>
      </w:pPr>
      <w:r>
        <w:t xml:space="preserve">El presidente, Thomas Plenborg, no es independiente (más de 12 años en el consejo, desde 2011), negocia personalmente los sueldos del comité ejecutivo y desde 2025 puede conceder compensaciones extraordinarias discrecionales; en 2025 pagó 6,1 M DKK por la compra de Schenker [1, 34].</w:t>
      </w:r>
    </w:p>
    <w:p>
      <w:pPr>
        <w:pStyle w:val="ListParagraph"/>
        <w:numPr>
          <w:ilvl w:val="0"/>
          <w:numId w:val="2"/>
        </w:numPr>
        <w:spacing w:after="60"/>
      </w:pPr>
      <w:r>
        <w:t xml:space="preserve">Ventas de directivos por 265 M DKK en 12 meses, todas por ejercicio de opciones (las de febrero de 2026, a 1.828-1.851 DKK); tras el 1S26 solo hubo compras simbólicas de 6,7 M DKK, a ~1.400 DKK [44, 45, 46, 47].</w:t>
      </w:r>
    </w:p>
    <w:p>
      <w:pPr>
        <w:pStyle w:val="ListParagraph"/>
        <w:numPr>
          <w:ilvl w:val="0"/>
          <w:numId w:val="2"/>
        </w:numPr>
        <w:spacing w:after="60"/>
      </w:pPr>
      <w:r>
        <w:t xml:space="preserve">Posición corta agregada (posiciones ≥0,1 %) del 2,10 % del capital a 31-jul-2026, frente al 1,62 % de octubre de 2025; ninguna posición individual ≥0,5 % publicada desde mayo de 2019 [53, 54].</w:t>
      </w:r>
    </w:p>
    <w:p>
      <w:pPr>
        <w:pStyle w:val="ListParagraph"/>
        <w:numPr>
          <w:ilvl w:val="0"/>
          <w:numId w:val="2"/>
        </w:numPr>
        <w:spacing w:after="60"/>
      </w:pPr>
      <w:r>
        <w:t xml:space="preserve">Provisiones por litigios y disputas de 2.508 M DKK a cierre de 2025 (2.100 M incorporados con Schenker); DSV no detalla pasivos contingentes individuales y reconoce consultas de autoridades de competencia sin impacto material, según la dirección [1].</w:t>
      </w:r>
    </w:p>
    <w:p>
      <w:pPr>
        <w:pStyle w:val="ListParagraph"/>
        <w:numPr>
          <w:ilvl w:val="0"/>
          <w:numId w:val="2"/>
        </w:numPr>
        <w:spacing w:after="60"/>
      </w:pPr>
      <w:r>
        <w:t xml:space="preserve">Cambios de dirección en la división Road en 2026: el COO del grupo asume también su dirección y hay relevos en equipos de país por la integración de Schenker [2].</w:t>
      </w:r>
    </w:p>
    <w:p>
      <w:pPr>
        <w:pStyle w:val="ListParagraph"/>
        <w:numPr>
          <w:ilvl w:val="0"/>
          <w:numId w:val="2"/>
        </w:numPr>
        <w:spacing w:after="60"/>
      </w:pPr>
      <w:r>
        <w:t xml:space="preserve">Auditor: PwC desde el 9 de marzo de 2017 (nueve ejercicios), reelegido en las juntas de 2024, 2025 y 2026 [1, 29, 51, 52].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22 de julio de 2026, con el 1S26, DSV estrechó la guía del año: EBIT antes de partidas especiales de 23.500-25.500 M DKK (antes, 23.000-25.500 M), partidas especiales por costes de transacción e integración de Schenker de unos 6.500 M y un tipo efectivo de alrededor del 28 % [2]. La guía avisa de que la tensión geopolítica en Oriente Próximo puede afectar a la actividad del resto del año [2]. A medio plazo, el día del inversor del 12 de mayo de 2026 («Leverage to Lead») fijó para 2030 una ratio de conversión del grupo de ~45 % y un ROIC antes de impuestos de ~20 %, con unas sinergias de Schenker de ~9.000 M DKK con efecto pleno desde 2027 y otros ~9.000 M de productividad por IA, tecnología y red hasta 2030; mantiene el objetivo de deuda neta con arrendamientos por debajo de 2,0 veces el EBITDA antes de partidas especiales [15]. A 30 de junio la ratio era de 2,7 veces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21 analistas, 19-oct-2026 [57]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21 analistas, 19-oct-2026 [57]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311.666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21 analistas, 19-oct-2026 [57]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298.086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302.976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313.884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311.666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42.444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1.824,95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1.250,00 – 2.300,00</w:t>
            </w:r>
          </w:p>
        </w:tc>
      </w:tr>
    </w:tbl>
    <w:p>
      <w:pPr>
        <w:spacing w:after="160" w:before="0"/>
      </w:pPr>
    </w:p>
    <w:p>
      <w:pPr>
        <w:pStyle w:val="Heading2"/>
      </w:pPr>
      <w:r>
        <w:t xml:space="preserve">Revisiones de estimaciones</w:t>
      </w:r>
    </w:p>
    <w:p>
      <w:pPr>
        <w:spacing w:after="100"/>
      </w:pPr>
      <w:r>
        <w:t xml:space="preserve">En los doce días desde el análisis anterior el consenso ha bajado poco en beneficio y mucho en precio objetivo. El EBIT de MarketScreener pasa de 24.370 a 24.262 M DKK en 2026e (−0,4 %), de 28.942 a 28.504 M en 2027e (−1,5 %) y de 32.217 a 31.610 M en 2028e (−1,9 %); el BPA contable, de 41,00 a 40,67, de 81,30 a 79,42 y de 97,83 a 95,46 DKK [57]. El objetivo medio cae de 1.939 a 1.824,95 DKK y el mínimo de 1.580 a 1.250 DKK [58, 59]. Antes del 3T26, siete casas recortaron objetivo en una semana: Barclays (1.900 → 1.800, 8-oct), JPMorgan (rebaja a neutral, 1.400, 9-oct), Nordea (1.840 → 1.670, 13-oct), Jyske (2.100 → 1.600, 14-oct), UBS (1.945 → 1.805, 14-oct) y Deutsche Bank (1.823 → 1.425, 15-oct), y RBC empezó a cubrirla con «sector perform» y 1.250 DKK por los problemas de integración de Schenker [58, 61, 77]. Jyske lo resume: la pregunta no es si Road será débil en el 3T, sino si el 3T es el fondo [61]. Stock Analysis (S&amp;P Global) cuenta 21 analistas: 15 compra fuerte, 4 compra y 2 mantener; BPA ajustado de 2026e 61,95 DKK (55,69-68,58) [59]. No hay historial gratuito de revisiones de BPA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bl>
    <w:p>
      <w:pPr>
        <w:spacing w:after="160" w:before="0"/>
      </w:pPr>
    </w:p>
    <w:p>
      <w:pPr>
        <w:spacing w:after="100"/>
      </w:pPr>
      <w:r>
        <w:t xml:space="preserve">DSV pierde un 24,7 % en el año (con dividendos, hasta el 19-oct) frente al +10,6 % del STOXX Europe 600 y el +8,3 % del sectorial de bienes y servicios industriales, y a un año un 8,7 % frente al +15,9 % del índice [56]. Cerró el 19-oct en 1.211,5 DKK [88], un 36,3 % por debajo del máximo de febrero (1.913,5) y un 6,5 % por encima del mínimo de 52 semanas del 9-oct (1.130,5) [56]. Las caídas tienen fechas: el 12-feb, −10,5 % en la sesión del miedo a la IA en los intermediarios de transporte [78]; el 22-jul, −14,2 % con el 1S26, cuando la dirección admitió problemas de productividad y de clientes en Road [2]; el 21-sep, −5,6 % el día del contrato de Amazon con Kuehne+Nagel [28]. Antes del 3T26, siete casas recortaron el objetivo entre el 8 y el 15-oct y la acción rebotó un 6,5 % desde el mínimo, con +3,1 % el día del avance de resultados de DHL [58, 85]. La posición corta agregada subió del 1,62 % al 2,10 % del capital entre octubre de 2025 y julio de 2026 [53]. A diez años rinde un 14,5 % anual frente al 9,4 % del índice. Beta de 1,36 frente al STOXX 600 (mensual, cinco años), volatilidad del 35,8 % y caída máxima del −44,6 % (nov-2021 a sep-2022) [56].</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 / -15,5 % / -28,9 % / -5,4 %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-36,3 % / +6,5 %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12-feb cayó un 10,5 % en la sesión (−11 % según la prensa), con Kuehne+Nagel (−13 %) y C.H. Robinson (−15 %), por el comunicado de una pequeña empresa de EE. UU. (Algorhythm, antes de karaokes) que decía mover un 300-400 % más de carga con su plataforma de IA sin más plantilla. No fue un hecho de DSV, pero muestra que el mercado ya cotiza el riesgo de la IA en los intermediarios de transporte [56, 78, 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11,4 % en el mes hasta el 28-abr, la víspera del 1T26 (29-abr) y en plena subida de fletes por el conflicto de Oriente Medio; no hay anuncio de la empresa en esas fechas [55, 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7,6 % el 4-may sin causa propia localizada: la lista de anuncios no tiene hechos entre el 1T26 (29-abr) y el día del inversor (12-may) y la prensa danesa y alemana consultada no da motivo [55, 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22-jul cayó un 14,2 % con el 1S26: EBIT del 2T dentro de lo esperado pero problemas de productividad y de red en Road en Alemania, Francia y Países Bajos, y guía estrechada por arriba; en el mes hasta el 11-ago perdió un 19,7 % [2, 56]. Es el riesgo central del informe.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21-sep cayó un 5,6 % el día en que Kuehne+Nagel anunció el contrato de logística de AWS con Amazon; nadie ha confirmado que DSV compitiera por él [28, 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Mínimo de 52 semanas el 9-oct (1.130,5 DKK) y rebote de un 6,5 % hasta el 19-oct, con +3,4 % el 15-oct y +3,1 % el 16-oct, el día en que DHL adelantó un 3T con el EBIT de Global Forwarding en ≈ 260 M EUR frente a 195 M; DSV no publicó nada [55, 56, 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21-oct antes de la apertura, con conferencia a las 11:00 [55]. Es la primera prueba de si Road ha tocado fondo.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aplazar por resultados (reglas 11 y 13); el informe se revisa con ellos.</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Ola de recortes antes del 3T: Barclays 1.900 → 1.800 (8-oct), JPMorgan rebaja a neutral con 1.400 (9-oct), Nordea 1.840 → 1.670 (13-oct), Jyske 2.100 → 1.600 y UBS 1.945 → 1.805 (14-oct), Deutsche Bank 1.823 → 1.425 (15-oct) y RBC inicia en «sector perform» con 1.250 (15-oct). Jyske admite haber subestimado la pérdida de clientes y de volumen de Road por la integración [58, 61, 77]. El consenso de EBIT apenas baja (−0,4 % en 2026e y −1,5 % en 2027e) [57].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tesis bajista ya recogida (Road), no un hecho nuevo confirmado por la empresa; si el 3T26 confirma pérdida de clientes que baje la guía, se rehace el informe.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tras ejercer opciones (anuncios 1171 y 1172, julio) dentro de 265 M DKK en doce meses; ninguna operación nueva comunicada hasta el 19-oct [46, 47, 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Ernst Göhner Stiftung (9,7 %) y Agility (8,03 %) no han anunciado ventas ni hay colocación en estudio publicada; último aviso de participación significativa, BlackRock en oct-2025 [48, 49, 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AWS de Amazon con Kuehne+Nagel: la prensa danesa lo ligó a DSV sin confirmación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 agregada del 2,10 % del capital (julio, último dato publicado por la Finanstilsynet a 19-oct), desde el 1,62 % de oct-2025; sin demandas ni expedientes de reguladores contra DSV en los anuncios [53, 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acción baja un 28,9 % en seis meses y cotiza un 21 % por debajo de su media de 200 sesiones (aviso P5), pero cada caída fuerte tiene una causa que el informe ya recoge: Road en julio, el miedo a la IA en febrero y el contrato de Amazon con Kuehne+Nagel en septiembre. No hay hecho pendiente ajeno al análisis que pueda mover el precio más de un 5 % en contra (ni colocaciones, ni ampliaciones, ni decisiones de reguladores con fecha). Lo único con fecha son los resultados del 21-oct, que por las reglas 11 y 13 no retrasan la decisión. La ola de recortes de objetivos de la semana pasada es la misma tesis bajista de Road; si el 3T la confirma con una guía más baja, el informe se rehace. Veredicto global: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los cierres de cada ejercicio [56], DSV cotiza a 11,8 veces el EBITDA de los últimos 12 meses, un 25 % por debajo de su media de ocho años (15,8x) y en el percentil 13 de su historia (mínimo 9,3x). El PER de los últimos 12 meses (41,9x) no sirve: lo inflan 4.527 M de partidas especiales y los intereses de la deuda de Schenker; sobre nuestro BPA de 2027e, sin partidas especiales, el PER es de 15,7 veces, frente a una mediana adelantada de 21,2 veces en sus cinco últimos años válidos. Parte del descuento es estructural: Schenker añade carretera y logística por contrato, que convierten un 16-20 % del margen bruto en EBIT frente al 40 % de Air &amp; Sea [1], y la deuda neta pasó de 1,0-1,5 veces a 2,7 veces el EBITDA [2]. UBS lo resumía en agosto: los rivales cotizan cerca de sus máximos históricos y DSV cerca de sus mínimos, con un deterioro del sentimiento más rápido que el de los resultados [86].</w:t>
      </w:r>
    </w:p>
    <w:p>
      <w:pPr>
        <w:pStyle w:val="Heading1"/>
      </w:pPr>
      <w:r>
        <w:t xml:space="preserve">18. Comparables cotizados</w:t>
      </w:r>
    </w:p>
    <w:p>
      <w:pPr>
        <w:pStyle w:val="Confianza"/>
        <w:spacing w:after="100"/>
      </w:pPr>
      <w:r>
        <w:t xml:space="preserve">Confianza: Media</w:t>
      </w:r>
    </w:p>
    <w:p>
      <w:pPr>
        <w:spacing w:after="100"/>
      </w:pPr>
      <w:r>
        <w:t xml:space="preserve">Siete cotizadas de transitario y logística contractual, con el consenso de MarketScreener del 19-oct-2026 y los cierres del 19-oct (NX Holdings, el de Tokio del 19-oct) [63, 64, 65, 66, 67, 68, 69]: los dos rivales globales asset-light directos (Kuehne+Nagel y Expeditors), el mayor intermediario de carretera y transitario de EE. UU. (C.H. Robinson), DHL Group (dueño de DHL Global Forwarding), NX Holdings (transitario japonés global) y dos de logística contractual (GXO e ID Logistics), comparables con el negocio de almacén que trajo Schenker. Capitalización en millones de DKK al tipo del BCE del 19-oct-2026 [76]; múltiplos de los próximos 12 meses con el 20 % de 2026e y el 80 % de 2027e; EV/EBITDA de los últimos 12 meses, margen y ROIC sin cambios desde el 7-oct (ninguno ha publicado resultados desde entonces) [71, 72, 73, 74, 75]. Fuera Sinotrans (acciones A y H a precios distintos), Kintetsu World Express (no cotiza) y Kerry Logistics (sin consenso completo gratis).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DSV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Kuehne+Nagel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Expeditors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 Robinson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GXO Logistics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NX Holdings (Nippon Express)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Logistics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 / 7,2x / 13,2x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8,3x / 15,2x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 / 20,1x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290.772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1,0x / 1,1x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979,23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10,9 + -0,16 × crecimiento; R² = 0,01. El crecimiento explica poco los múltiplos de estos comparables (R² &lt; 0,3): la regresión no se usa en la valoración.</w:t>
      </w:r>
    </w:p>
    <w:p>
      <w:pPr>
        <w:spacing w:after="100"/>
      </w:pPr>
      <w:r>
        <w:t xml:space="preserve">La muestra tiene dos grupos que no se deben promediar. Los transitarios sin activos cotizan a 12-18 veces el EBITDA de los próximos 12 meses (Kuehne+Nagel 12,3x, C.H. Robinson 14,1x, Expeditors 17,8x) y los grupos con flota o almacenes a 5-7x (DHL 7,0x, NX 5,6x, ID Logistics 4,9x, GXO 7,2x) [63, 64, 65, 66, 67, 68, 69]. DSV, a 9,9x, queda en medio porque Schenker le dio más carretera y almacén. Además, Expeditors y C.H. Robinson aplican US GAAP y dejan el alquiler dentro del EBITDA, lo que sube su múltiplo frente a uno NIIF. El comparable más limpio es Kuehne+Nagel (NIIF, mismo negocio): DSV cotiza con un 20 % de descuento en EV/EBITDA y a 16,9 veces el beneficio de los próximos 12 meses del consenso frente a 24,2 veces [63]. La mediana de la muestra da 774,98 DKK por EV/EBITDA y 1.440,67 por PER; la regresión múltiplo-crecimiento no explica nada (R² 0,01). Con el PER, que mide lo mismo en todos, DSV está barata frente a sus pares; con el EV/EBITDA de la muestra completa, cara. Por esa fragilidad los comparables no pesan en el valor intrínseco (DCF 60 %, escenarios 40 %) y solo entran en la regla a 12 meses como techo del alcista (mediana del PER, 20,1x).</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Schenker (DB Schenker)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14.300 M EUR (≈107.000 M DKK) y valor de las acciones de 11.000 M EUR; DSV publicó 0,77x ventas y 14,0x EBIT de los 12 meses a junio de 2024, no el EBITDA [13]. Cerrada en 2025.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Bolloré Logistics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CMA CGM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4.850 M EUR con la deuda y la caja estimadas al cierre (29-feb-2024); EV/ventas con la facturación de 2022 (7.100 M EUR) que cita la prensa, estimación propia [70]. Convertido a DKK al tipo del BCE del 19-oct-2026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Integrated Logistics (GIL) de Agility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las adquiridas en 2021 según el informe anual de DSV (30.675 M DKK; GIL es casi toda la cifra); pagada sobre todo con acciones de DSV. No se publicó múltiplo [6].</w:t>
            </w:r>
          </w:p>
        </w:tc>
      </w:tr>
    </w:tbl>
    <w:p>
      <w:pPr>
        <w:spacing w:after="160" w:before="0"/>
      </w:pPr>
    </w:p>
    <w:p>
      <w:pPr>
        <w:spacing w:after="160" w:before="0"/>
      </w:pPr>
    </w:p>
    <w:p>
      <w:pPr>
        <w:spacing w:after="100"/>
      </w:pPr>
      <w:r>
        <w:t xml:space="preserve">Las operaciones del sector rara vez publican el EBITDA: la única con múltiplo oficial es la propia compra de Schenker por DSV, a 0,77 veces ventas y 14,0 veces EBIT [13], y Bolloré Logistics salió por unas 0,68 veces ventas de 2022 [70]. Con 0,77x ventas pagadas en 2024, DSV cotiza hoy a un valor empresa en torno a 1,2 veces las ventas de los últimos 12 meses (estimación propia con el puente del 1S26 [2] y las ventas del consenso [57]), con un margen mayor que el de Schenker. DSV es comprador, no objetivo: su tamaño (≈289.800 M DKK de capitalización al cierre del 19-oct) y un accionariado sin control lo hacen improbable como objetivo, así que el método de transacciones aporta poco al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DCF no proyecta ingresos sino margen bruto, porque los ingresos de un transitario suben y bajan con las tarifas que repercute al cliente (en 2023 cayeron un 36,0 % con un EBIT que bajó un 29,7 %) [4]. 2026e se fija con el 1S26: margen bruto de 39.180 M en el semestre y unos 79.500 M en el año, con ingresos de 297.762 M (+20,4 % por los cuatro meses más de Schenker) [2]. Para 2027e solo +2,5 % de margen bruto: las tarifas aéreas y marítimas que subieron con el conflicto de Oriente Medio se normalizan y el margen bruto por TEU ya bajó a 3.964 DKK en el 1S26 frente a 4.752 en 2024 [1, 2]. Después, +4 % anual hasta 2030 (volumen de 2-3 % más precio) y bajada al 2,5 % en 2035. Transport Intelligence prevé un mercado que crece un 2,3 % anual hasta 2030 [24]: el caso base supone que DSV gana algo de cuota, como hizo tras Panalpina y GIL. Los ingresos del caso base quedan a −0,1 %, −0,4 % y +0,7 % del consenso del 19-oct en 2026-2028 [57].</w:t>
      </w:r>
    </w:p>
    <w:p>
      <w:pPr>
        <w:keepNext/>
        <w:spacing w:after="100"/>
      </w:pPr>
      <w:r>
        <w:rPr>
          <w:b/>
          <w:bCs/>
        </w:rPr>
        <w:t xml:space="preserve">Márgenes.</w:t>
      </w:r>
    </w:p>
    <w:p>
      <w:pPr>
        <w:spacing w:after="100"/>
      </w:pPr>
      <w:r>
        <w:t xml:space="preserve">El margen se construye como conversión del margen bruto en EBIT antes de partidas especiales: 30,5 % en 2026e (EBIT ≈ 24.240 M, el centro de la guía de 23.500-25.500 M) [2], 34,5 % en 2027e con las sinergias completas (9.000 M, de los que unos 5.000 M ya estarán en 2026) [2], y 40,5 % en 2030e, para quedarse en el 41 %. No proyectamos desde el pico, que fue de todo el sector: Kuehne+Nagel pasó de 1.070 M CHF de EBIT en 2020 a 3.763 M en 2022 y a 1.242 M en 2025, y Expeditors de 940 a 1.909 y otra vez a 940 M USD [17, 22]. En DSV la conversión fue del 48,3 % en 2022 y del 40,4 % en 2023, ya con fletes normales; el caso base vuelve a la de 2023 con un grupo de doble tamaño y queda por debajo del objetivo de ~45 % de la empresa para 2030, que exige además 9.000 M de mejoras de productividad [1, 15]. Así el margen EBITDA pasa del 11,4 % de 2025 al 14,5 % (15,3 % en 2023, 13,1 % en 2024). El EBITDA queda a +0,6 %, −1,2 % y −0,2 % del consenso del 19-oct en 2026-2028 [57], que ha bajado algo en los doce días anteriores al 3T26. Los costes de integración que faltan no van en el margen sino en el puente.</w:t>
      </w:r>
    </w:p>
    <w:p>
      <w:pPr>
        <w:keepNext/>
        <w:spacing w:after="100"/>
      </w:pPr>
      <w:r>
        <w:rPr>
          <w:b/>
          <w:bCs/>
        </w:rPr>
        <w:t xml:space="preserve">Inversión y circulante.</w:t>
      </w:r>
    </w:p>
    <w:p>
      <w:pPr>
        <w:spacing w:after="100"/>
      </w:pPr>
      <w:r>
        <w:t xml:space="preserve">Con NIIF 16, el alquiler de los almacenes está fuera del EBITDA y su pasivo en la deuda, así que el capex del DCF incluye las altas de derechos de uso: 7.781 M en 2025 (más 8.642 M que entraron con Schenker) y 7.582 M en 2024, un 3-4,5 % de los ingresos, sobre un capex propio del 1,0-1,6 % [1]. El caso base usa un 4,1 % hasta 2028 (la logística por contrato sigue abriendo almacenes para centros de datos) y un 3,9 % desde 2031, frente a unas amortizaciones del 3,6 % que bajan al 3,5 %: la diferencia financia el crecimiento. El circulante es el 8,5 % de las ventas (clientes y activos de contrato menos proveedores y coste de fletes devengado), el de 2025; a jun-26 estaba más alto por los fletes caros y 1.800 M por cobrar de la venta de inmuebles de Schenker [2]. Impuestos: 28 % en 2026e (guía, por costes de integración no deducibles), 25 % en 2027e y 24 % después, el tipo de 2022-2024 [1, 2].</w:t>
      </w:r>
    </w:p>
    <w:p>
      <w:pPr>
        <w:keepNext/>
        <w:spacing w:after="100"/>
      </w:pPr>
      <w:r>
        <w:rPr>
          <w:b/>
          <w:bCs/>
        </w:rPr>
        <w:t xml:space="preserve">Coste del capital.</w:t>
      </w:r>
    </w:p>
    <w:p>
      <w:pPr>
        <w:spacing w:after="100"/>
      </w:pPr>
      <w:r>
        <w:t xml:space="preserve">Tasa libre del 3,49 %: el Bund alemán a 10 años del 19-oct-2026 [60]; la corona está anclada al euro y el riesgo país de Dinamarca (AAA) es nulo. El informe del 7-oct usó el bono danés de agosto (3,1 %), que no tiene dato diario oficial; el Bund es la referencia que fija el método para las divisas del euro y sus anclas. </w:t>
      </w:r>
      <w:r>
        <w:rPr>
          <w:b/>
        </w:rPr>
        <w:t xml:space="preserve">Beta de 1,20</w:t>
      </w:r>
      <w:r>
        <w:t xml:space="preserve"> tras comparar tres referencias: frente al STOXX 600 da 1,36 mensual a cinco años, 1,15 semanal a cinco y 1,21 semanal a dos (1,24 y 1,10 ajustadas); el OMXC25 pesa mucho en Novo Nordisk, y la sectorial (0,98) mide la sensibilidad al sector y no al mercado [56]. Prima de mercado del 5,5 % sin prima adicional (rating A−, país AAA). Coste de la deuda del 4,0 % antes de impuestos: bonos en euros de grado de inversión y arrendamientos, cuyo interés (2.124 M anualizados) es más caro [2]. Peso de la deuda del 25 % a valor de mercado (95.527 M de deuda y arrendamientos frente a 289.764 M de capitalización). Coste del capital del 10,09 % y WACC del 8,33 %.</w:t>
      </w:r>
    </w:p>
    <w:p>
      <w:pPr>
        <w:keepNext/>
        <w:spacing w:after="100"/>
      </w:pPr>
      <w:r>
        <w:rPr>
          <w:b/>
          <w:bCs/>
        </w:rPr>
        <w:t xml:space="preserve">Valor terminal.</w:t>
      </w:r>
    </w:p>
    <w:p>
      <w:pPr>
        <w:spacing w:after="100"/>
      </w:pPr>
      <w:r>
        <w:t xml:space="preserve">Gordon con un crecimiento del 2,25 %: la corona sigue al euro, con una inflación esperada del 2 %, y el Bund del 3,49 % pone el techo en el 3,0 %. El valor terminal equivale a 9,0 veces el EBITDA de 2035e, por debajo de las 11,8 veces actuales y de la media histórica de 15,8 veces, y pesa un 61 % del valor. La reinversión del último año (0,6 % de las ventas: capex sobre amortización y circulante) sostiene el 2,25 % con una rentabilidad marginal del ~31 % (estimación propia), coherente con el ROIC sin fondo de comercio: el crecimiento orgánico solo necesita circulante y almacenes alquilados, no compras. No se usa la etapa de transición: medido con el fondo de comercio de Schenker (8,6 % en 2025), el ROIC no supera al WACC (8,33 %) en los cinco puntos que exige el método, y los diez años explícitos ya bajan el crecimiento hasta el 2,5 %.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339.497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15.186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512.714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629.471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405.222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1.140,39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1.217,10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1.535,69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1.788,71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1.927,66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31.213 M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(reinvierte el 55 %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 (histórico: 7,7 %)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 frente al 4,9 %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31.213 M, el 11 % del NOPAT, con un capex bruto medio del 4,0 % de las ventas). En un negocio de activos ligeros, el crecimiento medio del 4,9 %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comprado: Schenker consolida doce meses frente a ocho en 2025; con los ingresos proforma de 2025 (293.368 M) el crecimiento es del 1,5 % [1, 2]. Ese 1,5 % se reparte entre algo de volumen (salida deliberada de negocio de bajo margen y clientes perdidos en Road) y fletes más caros por Oriente Medio que se repercuten (reparto, estimación propia) [2, 24].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como el mercado y algo más (Ti: +2,9 % marítimo y +1,6 % aéreo al año hasta 2030) [24]; los fletes se normalizan tras Oriente Medio (WCI de 4.485 USD por contenedor de 40 pies el 15-oct, frente a 1.420 de media en 2019) y bajan los ingresos repercutidos; el margen bruto crece un 2,5 % [2, 26, 27].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2-3 % y precio en línea con la inflación; sin compras nuevas en el DCF. Ingresos a +0,7 % del consenso del 19-oct [57].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al +2,3 % anual hasta 2030 [24]: el caso base supone una ganancia de cuota pequeña, como tras Panalpina y GIL [1].</w:t>
            </w:r>
          </w:p>
        </w:tc>
      </w:tr>
    </w:tbl>
    <w:p>
      <w:pPr>
        <w:spacing w:after="160" w:before="0"/>
      </w:pPr>
    </w:p>
    <w:p>
      <w:pPr>
        <w:spacing w:after="100"/>
      </w:pPr>
      <w:r>
        <w:t xml:space="preserve">Sí: el crecimiento orgánico proyectado (3,2 % anual en 2027e-2035e) apenas supera al del mercado (2,3 % según Ti) [24] y no hay crecimiento comprado gratis: Schenker ya está en el balance y no se proyectan compras. El foso es estrecho y de costes (escala en compras de transporte y una conversión de margen bruto en EBIT superior a la de Kuehne+Nagel y DHL) [1, 17, 18]; el poder de precios es escaso (el margen bruto por TEU cayó de 4.752 a 3.964 DKK) [1, 2], así que crece por volumen. La cuota en volumen (5,4 % en TEU, 8,0 % aérea) pasaría a ≈ 5,6 % en 2035: verosímil. La apuesta del caso base no es el crecimiento sino la conversión, y la prueba de cuota se hace a mano porque la cuota publicada (6 %) no tiene el perímetro del mercado de Ti.</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 (base: 3,2 %)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 (base: 14,5 %)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(WACC: 8,3 %)</w:t>
            </w:r>
          </w:p>
        </w:tc>
      </w:tr>
    </w:tbl>
    <w:p>
      <w:pPr>
        <w:spacing w:after="160" w:before="0"/>
      </w:pPr>
    </w:p>
    <w:p>
      <w:pPr>
        <w:spacing w:after="100"/>
      </w:pPr>
      <w:r>
        <w:t xml:space="preserve">El DCF da </w:t>
      </w:r>
      <w:r>
        <w:rPr>
          <w:b/>
        </w:rPr>
        <w:t xml:space="preserve">1.317,93 DKK por acción</w:t>
      </w:r>
      <w:r>
        <w:t xml:space="preserve">, un 8,8 % sobre el cierre de 1.211,5 DKK, con un valor terminal que pesa el 61 % y equivale a 9,0 veces el EBITDA final. Frente al informe del 7-oct (1.423,39 DKK) baja por la tasa, no por las cifras: el Bund del 3,49 % en lugar del bono danés del 3,1 % sube el WACC del 7,97 % al 8,33 %. Lo importante es el DCF inverso: </w:t>
      </w:r>
      <w:r>
        <w:rPr>
          <w:b/>
        </w:rPr>
        <w:t xml:space="preserve">al precio actual el mercado descuenta un crecimiento de los ingresos del 2,1 % anual en 2027e-2035e</w:t>
      </w:r>
      <w:r>
        <w:t xml:space="preserve"> (3,2 % en el caso base y 2,3 % previsto para el mercado) </w:t>
      </w:r>
      <w:r>
        <w:rPr>
          <w:b/>
        </w:rPr>
        <w:t xml:space="preserve">o un margen EBITDA del 13,8 %</w:t>
      </w:r>
      <w:r>
        <w:t xml:space="preserve"> en vez del 14,5 % (13,1 % en 2024 y 15,3 % en 2023, sin Schenker). Dicho de otra forma, el precio ya supone que las sinergias llegan en buena parte y solo duda de que la conversión vuelva al 40 % de 2023. La rentabilidad implícita es del 8,7 %, frente a un WACC del 8,33 % y al 7,16 % que pide hoy el mercado con su prima implícita. Nuestras cifras están a menos de un 1,5 % del consenso en EBITDA: la diferencia con el precio es pequeña y viene sobre todo de la tasa. Con un WACC del 8,8 % (beta sin ajustar), el DCF baja a 1.186,88 DKK, por debajo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problemas de Road en Alemania, Francia y Países Bajos se extienden y Air &amp; Sea pierde volumen en Asia-Europa, como ya pasó en el 2T26: las sinergias se quedan en unos 6.000 M y la conversión se estanca en torno al 35 %. En 2028 llega una caída de fletes como la de 2023 (EBIT −29,7 % en un año) y el crecimiento a largo plazo baja al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cumple el centro de la guía de 2026, cobra las sinergias completas en 2027 y vuelve en 2030 a la conversión de 2023 (≈40 %) con un grupo de doble tamaño, sin llegar al objetivo del 45 %. El margen bruto crece un 4 % anual con el mercado y algo de cuota.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1.661,57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integración termina en 2026 como promete la dirección, la productividad por IA y red se suma a las sinergias y la conversión se acerca al 45 % de 2030. Contract Logistics sigue creciendo con los centros de datos y el margen bruto crece un punto más al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DKK) · precio actual 1.211,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1.272,29 DKK (+5,0 %).</w:t>
      </w:r>
    </w:p>
    <w:p>
      <w:pPr>
        <w:spacing w:after="100"/>
      </w:pPr>
      <w:r>
        <w:t xml:space="preserve">El reparto ya no es asimétrico a favor: el alcista vale 1.661,57 DKK (+37,1 %) y el bajista 791,72 DKK (−34,6 %), una asimetría de 1,07 veces; el valor ponderado (25/50/25) es de 1.272,29 DKK. El bajista no es cosmético: suma un fallo parcial de la integración, que ya se ve en Road y que los analistas han empezado a recortar en octubre [61], y una caída de fletes como la de 2023, cuando el EBIT de DSV bajó un 29,7 % en un año [4]; con el WACC del 8,33 % ese bajista pesa más que el 7-oct. El alcista solo exige que se cumplan los objetivos de 2030 de la propia empresa [15], que DSV ha cumplido en sus compras anteriores (la conversión pasó del 28,0 % al 43,1 % entre 2019 y 2021 tras Panalpina) [6]. Con 1,07 coronas de ganancia por cada corona de pérdida, el valor intrínseco no compensa por sí solo el riesgo de ejecución.</w:t>
      </w:r>
    </w:p>
    <w:p>
      <w:pPr>
        <w:pStyle w:val="Heading1"/>
      </w:pPr>
      <w:r>
        <w:t xml:space="preserve">22. Suma de partes</w:t>
      </w:r>
    </w:p>
    <w:p>
      <w:pPr>
        <w:pStyle w:val="Confianza"/>
        <w:spacing w:after="100"/>
      </w:pPr>
      <w:r>
        <w:t xml:space="preserve">Confianza: Media</w:t>
      </w:r>
    </w:p>
    <w:p>
      <w:pPr>
        <w:spacing w:after="100"/>
      </w:pPr>
      <w:r>
        <w:t xml:space="preserve">No aplica. Las tres divisiones comparten red, clientes, sistemas y almacenes (Contract Logistics vende sobre todo a los clientes de Air &amp; Sea), y DSV no publica balances separados que permitan una deuda por división. Los comparables puros por división darían múltiplos de transitario a Air &amp; Sea y de logística de almacén a Road y Contract Logistics, que es justo la mezcla que ya recogen el DCF y el comentario de comparables.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DKK) · precio actual 1.211,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1.211,50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1.217,56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1.299,67 DKK (+7,3 % sobre 1.211,50).</w:t>
      </w:r>
    </w:p>
    <w:p>
      <w:pPr>
        <w:spacing w:after="100"/>
      </w:pPr>
      <w:r>
        <w:t xml:space="preserve">El valor intrínseco es de </w:t>
      </w:r>
      <w:r>
        <w:rPr>
          <w:b/>
        </w:rPr>
        <w:t xml:space="preserve">1.299,67 DKK</w:t>
      </w:r>
      <w:r>
        <w:t xml:space="preserve"> (+7,3 %): DCF 60 % y escenarios ponderados 40 %. El DCF manda porque DSV está en mitad de una integración que cambia su margen durante cuatro años y ningún múltiplo actual lo recoge; los escenarios ponen el riesgo de que falle. Los comparables no pesan por la mezcla de modelos y normas contables (774,98 DKK por EV/EBITDA frente a 1.440,67 por PER) y las transacciones tampoco: la única con múltiplo oficial es la propia compra de Schenker (0,77 veces ventas y 14,0 veces EBIT) [13], y DSV es comprador, no objetivo. El puente resta la deuda financiera (63.372 M), los arrendamientos (32.155 M) y las pensiones (2.059 M, en bruto) y suma la caja (10.058 M) del 30-jun-2026 [2]; en otros ajustes, −197 M de créditos con interés que DSV resta en su deuda neta y +2.300 M de costes de integración que quedan tras la fecha de corte (estimación propia: 6.500 M del año menos 2.921 M del 1S26, la mitad en el 4T, más 500 M en 2027) [2]. Deuda neta ajustada: 89.631 M. Con la prima del mercado (4,20 %), el objetivo sube a 1.706,58 DKK; el consenso de 21 analistas está en 1.824,95 DKK, por debajo de los 1.939 del 7-oct [58].</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(15.7x) × 1.1 (tope: la mediana de 5 años, 21.2x,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1.531,05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2.172,96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+79,9 %</w:t>
            </w:r>
          </w:p>
        </w:tc>
      </w:tr>
    </w:tbl>
    <w:p>
      <w:pPr>
        <w:spacing w:after="160" w:before="0"/>
      </w:pPr>
    </w:p>
    <w:p>
      <w:pPr>
        <w:spacing w:after="100"/>
      </w:pPr>
      <w:r>
        <w:rPr>
          <w:b/>
          <w:bCs/>
        </w:rPr>
        <w:t xml:space="preserve">Objetivo a 12 meses (ponderado):</w:t>
      </w:r>
      <w:r>
        <w:t xml:space="preserve"> 1.484,72 DKK · rentabilidad +23,1 % (base +27,0 %) · señal Comprar.</w:t>
      </w:r>
    </w:p>
    <w:p>
      <w:pPr>
        <w:spacing w:after="100"/>
      </w:pPr>
      <w:r>
        <w:t xml:space="preserve">Para comparar, con la regla v2 (historia al cierre, mismo precio): 13,3x / 15,7x / 20,4x, 14,3 % Mantener; con el tope anterior del base (×1,3, 14-oct mediodía): 27,3 %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2028e (88,5 DKK) queda un 7,3 % por debajo del consenso (95,46) aunque el EBIT casi coincide (31.357 frente a 31.610 M, −0,8 %): la diferencia está en los intereses, que mantenemos en los de hoy sin el desapalancamiento, y en no suponer recompras. Nuestro BPA de 2027e (77,07) está un 3,0 % por debajo del consenso (79,42). El precio base de la regla queda muy por debajo del objetivo medio de los analistas (1.824,95 DKK), porque la regla parte del PER de hoy (15,7x) y solo lo deja subir un 10 %, mientras los analistas suponen la vuelta al PER histórico de DSV (20-25x). No se acerca la cifra al consenso.</w:t>
      </w:r>
    </w:p>
    <w:p>
      <w:pPr>
        <w:keepNext/>
        <w:spacing w:after="100"/>
      </w:pPr>
      <w:r>
        <w:rPr>
          <w:b/>
          <w:bCs/>
        </w:rPr>
        <w:t xml:space="preserve">Del valor intrínseco al objetivo a 12 meses.</w:t>
      </w:r>
    </w:p>
    <w:p>
      <w:pPr>
        <w:spacing w:after="100"/>
      </w:pPr>
      <w:r>
        <w:t xml:space="preserve">El objetivo a 12 meses y el valor intrínseco están cerca, y los dos por encima del precio; la distancia entre ellos es menor del 25 %. Lo que tiene que pasar en el año para cerrar el resto es que el 3T26 (21-oct) y el 4T26 enseñen la conversión de Road al alza y que la guía de 2027 (febrero) recoja las sinergias completas: con eso el PER de hoy (15,7x sobre 2027e) puede subir hacia su historia. El BPA base de 2028e (88,50) supone un 37,2 % anual desde el publicado de 2025 (34,30), pero esa base está hundida por 4.527 M de partidas especiales, ocho meses de Schenker y los intereses de su deuda: desde el BPA diluido ajustado de los últimos 12 meses (52,0 DKK) [2] es un 19 % anual, con las sinergias y sin costes de integración en 2028.</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la nueva dirección de Road (Brian Ejsing) y con el efecto pleno de las subidas de fletes marítimos que el 1S26 anticipaba para el 3T. La guía de EBIT antes de partidas especiales (23.500-25.500 M) exige ≈12.400-14.400 M en el segundo semestre, frente a 11.110 M del primero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integración de Schenker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prevé cerrar la integración a finales de 2026 (antes, a finales de 2028). Con ella terminan las partidas especiales (≈11.000 M en total, ≈7.400 M a jun-26) y el flujo libre deja de cargar ≈6.500 M anuales [1,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las sinergias completas (9.000 M anuales con impacto pleno en 2027) y sin costes de integración: es el año en que el beneficio por acción ajustado debería saltar [1,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de las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política solo permite recompras con la deuda neta (con arrendamientos) por debajo de 2,0 veces el EBITDA antes de partidas especiales; a jun-26 estaba en 2,7x. Con un flujo libre ajustado de 16.335 M en 2025, el umbral queda al alcance a lo largo de 2027 [1, 2, 43].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 bonos por 13.100 M (1.750 M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de los bonos que vencen en los próximos doce meses, con 11.800 M de líneas comprometidas sin disponer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Normalización de los fletes tras el conflicto de Oriente Medio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tarifas aéreas y marítimas subieron en el 2T26 por el conflicto y el combustible; su vuelta reduce los ingresos pero no necesariamente el margen bruto por unidad, que es lo que gana el transitario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integración de Road no se recupera y contagia a Air &amp; Sea: pérdida de clientes y de productividad en Alemania, Francia y Países Bajos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−12,9 % por cada punto de margen EBITDA permanente (1.147,80 DKK en la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dirección (Ejsing, COO, al frente de Road); historial de integraciones de UTi, Panalpina y GIL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Road y volumen marítimo Asia-Europa en el 3T26 y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Sinergias por debajo de los 9.000 M o comidas por la inflación de costes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−12,9 % por cada 3.000 M de EBITDA anual perdidos (≈1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8.000 empleados de oficina menos ya a jun-26; integración prevista para fin de 2026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en febrero: EBIT antes de partidas especiales por debajo de 28.000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fletes y volúmenes tras el pico del conflicto de Oriente Medio, o recesión del comercio por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y 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791,72 DKK (−34,6 %) con una caída de un año como la de 2023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por unidad se mueve mucho menos que los ingresos; costes variables y plantilla ajustable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TEU por debajo de 3.800 DKK; índice WCI y volúmenes de IATA [25, 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grandes contratos frente a Kuehne+Nagel y otros (Amazon/AWS en septiembre)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 si el crecimiento es un punto menor cada año (1.218,54 DKK en la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5 % de los ingresos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Contract Logistics y del vertical de tecnología; anuncios de contratos de rivales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descuento más alta: beta sin ajustar o subida del Bund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−9,9 % con un WACC del 8,8 % (1.186,88 DKK)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 y deuda que baja con un flujo libre ajustado de 16.335 M en 2025 [1, 87]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10 años por encima del 3,75 %; deuda neta sobre EBITDA que no baja de 2,5x a fin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compra grande antes de desapalancar o de demostrar la integración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cuantificable: dilución y nuevos costes especiales (Schenker costará ≈11.000 M) [2]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de deuda por debajo de 2,0x antes de compras o recompras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Anuncios de compras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Retribución que no exige rentabilidad: opciones sin condiciones de rendimiento y bono sin métrica de sinergias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 resta credibilidad a los objetivos de 2030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ligado al EBIT (40 %) y a la cotización frente a rivales (40 %) [34]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en contra en la junta de 2027; nueva política de remuneración</w:t>
            </w:r>
          </w:p>
        </w:tc>
      </w:tr>
    </w:tbl>
    <w:p>
      <w:pPr>
        <w:spacing w:after="160" w:before="0"/>
      </w:pPr>
    </w:p>
    <w:p>
      <w:pPr>
        <w:pStyle w:val="Heading2"/>
      </w:pPr>
      <w:r>
        <w:t xml:space="preserve">Pre-mortem</w:t>
      </w:r>
    </w:p>
    <w:p>
      <w:pPr>
        <w:spacing w:after="100"/>
      </w:pPr>
      <w:r>
        <w:t xml:space="preserve">Octubre de 2029: la acción vale unos 680 DKK, un 40 % menos. Lo que pasó empezó en Road. Los problemas de productividad del 2T26 en Alemania, Francia y Países Bajos no eran un bache: la red de grupaje unificada perdió puntualidad, los clientes medianos se fueron a transportistas locales y la división pasó 2027 por debajo del 15 % de conversión. La dirección compensó con cierres de almacenes, y Contract Logistics perdió dos contratos grandes de centros de datos frente a Kuehne+Nagel. En Air &amp; Sea, los grandes clientes globales, que exigían licitar cada año, aprovecharon la caída de fletes de 2027-2028 tras el fin del conflicto de Oriente Medio para bajar precios: el margen bruto por TEU cayó por debajo de 3.500 DKK. Las sinergias se anunciaron completas, pero la inflación salarial y los costes de sistemas se las comieron: la conversión se quedó en el 33 % y el ROIC con fondo de comercio en el 7 %, por debajo del WACC. El mercado dejó de pagar por la historia de integrador: EV/EBITDA de 8 veces. Los indicadores que lo habrían anticipado eran visibles en 2026: la conversión de Road del 3T26 y el 4T26, el volumen marítimo de Asia-Europa por debajo del mercado y una guía de 2027 sin el salto de EBIT que prometen las sinergias.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 a +5 % a 3-5 años; neutral en el caso base</w:t>
      </w:r>
    </w:p>
    <w:p>
      <w:pPr>
        <w:spacing w:after="100"/>
      </w:pPr>
      <w:r>
        <w:t xml:space="preserve">La IA toca a DSV por dos lados. Como amenaza, un transitario vende coordinación: buscar capacidad, documentar aduanas y seguir envíos, que es trabajo de oficina automatizable; si los cargadores o las navieras lo hacen ellos mismos con herramientas digitales, la comisión (el margen bruto por TEU, ya en 3.964 DKK frente a 4.752 en 2024) baja. El mercado lo cotizó el 12-feb (−10,5 % en un día por una plataforma de IA de una empresa minúscula) [78, 79]. Como oportunidad, la plantilla es su mayor coste y la IA es parte de los 9.000 M de mejoras de productividad hasta 2030 del plan de mayo [15]; con la red y los datos de volumen más grandes del sector, DSV es de los que mejor pueden aprovecharla. El riesgo real es que la ganancia de productividad se reparta con los clientes: −10 % si un punto de margen EBITDA se va en precio, en la línea de la sensibilidad del motor. Señal: margen bruto por unidad y plantilla de oficina por envío en cada trimestre.</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12,7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Climate Change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87/100 (Platinum)</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r>
    </w:tbl>
    <w:p>
      <w:pPr>
        <w:spacing w:after="160" w:before="0"/>
      </w:pPr>
    </w:p>
    <w:p>
      <w:pPr>
        <w:pStyle w:val="Heading2"/>
      </w:pPr>
      <w:r>
        <w:t xml:space="preserve">Asuntos materiales</w:t>
      </w:r>
    </w:p>
    <w:p>
      <w:pPr>
        <w:spacing w:after="100"/>
      </w:pPr>
      <w:r>
        <w:t xml:space="preserve">El asunto que más pesa es el clima en la cadena de valor: el 93 % del inventario de gases de 2025 es transporte subcontratado (alcance 3), 18,3 millones de t de CO₂e en 2025, frente a 0,2 millones de alcance 1 [1]. Los objetivos, validados por SBTi en 2023, son −50 % en alcances 1 y 2 y −30 % en alcance 3 en 2030 frente a 2019, y cero neto en 2050; con Schenker la base de 2019 se recalculó (+77 % en alcances 1 y 2, +55 % en alcance 3) [1]. Reducirlas depende de combustibles alternativos que las navieras, aerolíneas y transportistas cobran aparte [1]. El segundo es la seguridad y las condiciones laborales en una plantilla de ~150.000 personas y miles de transportistas pequeños: objetivos para 2026 de cero accidentes mortales y un máximo de 6,0 accidentes por millón de horas trabajadas [1]. El tercero es la integridad (corrupción) en países de riesgo [1].</w:t>
      </w:r>
    </w:p>
    <w:p>
      <w:pPr>
        <w:pStyle w:val="Heading2"/>
      </w:pPr>
      <w:r>
        <w:t xml:space="preserve">Controversias</w:t>
      </w:r>
    </w:p>
    <w:p>
      <w:pPr>
        <w:spacing w:after="100"/>
      </w:pPr>
      <w:r>
        <w:t xml:space="preserve">En 2025 DSV comunicó un accidente mortal de un conductor en Sudáfrica [1]. En los documentos revisados (informe anual 2025 e informe del primer semestre de 2026) no hay sanciones de competencia, multas significativas ni litigios materiales de los últimos tres años [1, 2]. Hay que vigilar el deterioro del servicio en Road durante la integración de Schenker, que ha bajado la satisfacción de los clientes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y cuánto margen bruto se han perdido en Alemania, Francia y Países Bajos por la integración de la red de grupaje, y en qué trimestre esperan recuperar la productividad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1S26 admite caída de productividad y de satisfacción de clientes en Road; la acción cayó un 14,2 % el día de los resultados. Es el riesgo que el precio está descontando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Sinergias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9.000 M de sinergias es reducción de plantilla (más de 8.000 empleados de oficina menos) y qué parte depende de cerrar almacenes y unificar sistemas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de plantilla ya está hecha; la de red y sistemas es la que más se retrasa en las integraciones de transitarios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2030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9.000 M de mejoras de productividad por IA y tecnología hasta 2030 son netos de la inflación salarial, o hay que restarles 1,5-2 puntos anuales de subida de costes?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entre un 40 % y un 45 % de conversión en 2030 vale ≈4.500 M de EBIT; es el supuesto que más separa nuestro caso base del objetivo [43].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¿Compitió DSV por el contrato de logística de infraestructura de AWS que Amazon adjudicó a Kuehne+Nagel en septiembre y qué peso tienen los centros de datos en Contract Logistics?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tecnología y los centros de datos son el motor de crecimiento de Contract Logistics en 2026; la prensa ligó la caída del 21-sep a ese contrato [2, 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cobran los 1.800 M de la venta de inmuebles de Schenker y qué parte del circulante del 3,5 % de las ventas es estructural tras la integración?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libre ajustado del 2T26 cayó a 786 M; el objetivo a largo plazo es un 2-3 % de las ventas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nuevas compras grandes en el plan antes de bajar de 2,0x de deuda neta sobre EBITDA, o la prioridad tras el desapalancamiento son las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estrategia 2030 cuenta con crecimiento por compras; una compra grande antes de demostrar la integración de Schenker sería la señal contraria a la que pide el mercado [43].</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Nordnet Social (debate de la ficha de DSV en Nordnet Dinamarca)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Hilos del 16 al 19 de octubre, antes del 3T26: frustración por la caída, algunos que amplían y uno que propone vender; se discute si los buenos resultados preliminares de DHL anticipan un buen 3T de DSV, con escépticos que recuerdan que lo de DHL es sobre todo paquetería y Express [80].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económica danesa e internacional (Breakbulk News, análisis y comentario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14-oct, Jyske recorta su objetivo un 24 % y admite haber subestimado la pérdida de clientes y de volumen de Road por la integración de Schenker; el 24-sep, un análisis titulado «un mercado que ya no se cree» las sinergias, con Nordnet atribuyendo la volatilidad al poco aguante de los inversores ante sorpresas [61, 81].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colaboradores y canal de noticias de DSDVY)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último artículo (31-ago) sube la recomendación a compra con objetivo de 1.390 DKK por una integración más rápida de lo previsto y un PER normalizado de unas 18 veces; no hay artículos nuevos desde entonces ni debate visible en los comentarios [82, 83].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aktietip.dk (prensa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del 21-sep se lee como castigo por el contrato de Kuehne+Nagel con Amazon (AWS): miedo a perder grandes clientes en la reordenación del sector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 de Inderes (Finlandia)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 debate: un particular la incorpora a su cartera tras la caída de julio como industrial de calidad; ningún hilo propio de DSV en los últimos tres meses [84].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Road y la pérdida de clientes por la integración de Schenker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central del informe: en el 1S26 Road ganó 999 M DKK de EBIT antes de partidas especiales en el 2T (+90,5 %) pero con problemas de productividad y de red en Europa que la dirección admitió [2]. La prensa y Jyske hablan de clientes perdidos sin cifra publicada; el 3T26 del 21-oct es la primera prueba [61].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¿Llegan las sinergias de 9.000 M DKK?</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las mantiene con efecto pleno en 2027 y unos costes de integración de ≈11.000 M [2]; el caso base del informe solo supone 34,5 % de conversión en 2027e, por debajo de lo que implicarían completas, y el consenso de EBIT de 2027e ha bajado un 1,5 % en doce días [58].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Lectura de DHL y de Kuehne+Nagel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DHL adelantó el 16-oct un 3T con el EBIT de Global Forwarding en ≈260 M EUR frente a 195 M [85]: el transitario aéreo y marítimo va bien, que es lo que ya mostraba Air &amp; Sea de DSV en el 1S26 [2]; lo que no dice nada es de la carretera europea.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neta con arrendamientos era de 87.331 M DKK y 2,7 veces el EBITDA a 30-jun, con objetivo por debajo de 2,0 veces y recompras suspendidas [2]: es un freno al BPA hasta 2027, ya recogido en 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particulares que compran citan el descuento frente a Kuehne+Nagel; el informe lo confirma en PER de los próximos 12 meses, pero parte del descuento es estructural (más carretera y almacén) [58].</w:t>
            </w:r>
          </w:p>
        </w:tc>
      </w:tr>
    </w:tbl>
    <w:p>
      <w:pPr>
        <w:spacing w:after="160" w:before="0"/>
      </w:pPr>
    </w:p>
    <w:p>
      <w:pPr>
        <w:spacing w:after="100"/>
      </w:pPr>
      <w:r>
        <w:t xml:space="preserve">El sentimiento empeora y se ha vuelto binario alrededor del 3T26: los particulares que quedan esperan una confirmación de que Road ha tocado fondo y los analistas han recortado objetivos en bloque la semana anterior (siete casas entre el 8 y el 15-oct). No es capitulación: el consenso sigue en compra (19 de 21) y el precio ha rebotado un 7 % desde el mínimo del 9-oct. El sentimiento no aporta un riesgo nuevo (Road, sinergias y deuda ya están en el informe), pero sí dice que el mercado castigará otra decepción de Road con fuerza, como el −14,2 % del 22-jul. Contradice al consenso de analistas en el tono, no en la recomendación.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29 controles correctos y 12 explicados. Fuentes: 89 (50 primarias); citas distintas en el texto: 89.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1.002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525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800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2.164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853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291 (¿operaciones interrumpidas?). Explicación: Los 291 M de diferencia son la pérdida de actividades interrumpidas: una parte de Schenker clasificada para la venta (negocio de carretera en EE. UU.)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4.527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8,5 % frente a 8,5 % real: genera una variación de circulante de 4.376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Con un R² de 0,02 no se usa: los múltiplos de la muestra dependen del modelo (sin activos frente a almacenes) y de la norma contable (NIIF 16 frente a US GAAP), no del crecimiento.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7,1x a 9,8x según qué comparable se quite (758,99 a 1.182,73 por acción): la muestra es frágil; explícalo y no le des mucho peso. Explicación: La muestra mezcla transitarios sin activos (12-17x EBITDA) con logística de almacén y grupos con flota (5-7x): quitar uno mueve la mediana. Por eso los comparables pesan solo un 15 % y se lee sobre todo el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774,98 y PER 1.440,67 por acción: si la empresa amortiza mucho más que sus comparables (licencias, intangibles adquiridos) el EBITDA la favorece; usa EV/EBIT o EV/(EBITDA − capex) y explícalo. Explicación: El EV/EBITDA penaliza a DSV porque sus comparables con más EBITDA por corona de valor son grupos con flota y almacenes (DHL, NX, ID Logistics, GXO) y porque Expeditors y C.H. Robinson (US GAAP) dejan el alquiler dentro del EBITDA. El PER mide lo mismo en todos; el informe lo explica en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14,3 %: para comprar o ampliar hace falta motivo de negocio propio; para mantener basta la vigente. Explicación: La v2 (historia al cierre, base = PER de hoy) da 14,3 % y Mantener; la v3 vigente da 23,1 %. No hay motivo de negocio propio para comprar con un método solo: la recomendación es Mantener (ver la síntesis), también porque el ROIC solo supera al WACC en 0,3 puntos.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(88,50) supone un 37,2 % anual desde 34,30 (2025): explícalo en valoracion.objetivo_12m.comentario o la confianza es baja. Explicación: El BPA publicado de 2025 (34,3 DKK) está hundido por 4.527 M de partidas especiales, ocho meses de Schenker y los intereses de su deuda; el BPA diluido ajustado de los últimos 12 meses a jun-26 es de 52,0 DKK [2]. Desde esa base, 88,5 en 2028e supone un 19 % anual, con las sinergias de 9.000 M y sin costes de integración; el consenso está en 95,46 [57].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89 fuentes (50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y múltiplo de UTi (2016) y Panalpina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2018 (tabla de cinco años y notas): no da el precio de UTi; 2) informes anuales 2021 y 2022: citan Panalpina sin importe; 3) los informes anuales 2016, 2019 y 2020 no están en MFN (faltan los anuncios 794-917) e investor.dsv.com no responde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 la cuenta, balance y flujos de 2016 y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2016 y 2019/2020: no localizados en MFN ni en GlobeNewswire por los enlaces de inderes; 2) investor.dsv.com y dsv.gcs-web.com: sin respuesta (timeout); 3) tablas de cinco años de los informes 2018 y 2021: dan ingresos, EBITDA, EBIT, partidas especiales, financieros, beneficio, flujo operativo, dividendos, recompras, activo y patrimonio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trimestral y comparación con 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trimestrales del 3T25, 1T26 y 1S26: el BPA solo se publica acumulado o de 12 meses; 2) informe anual 2025 (tabla trimestral): sin BPA; 3) consenso previo a cada trimestre: no buscado por el límite de búsquedas (se cubre con la sección de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investor.dsv.com: sin respuesta; 2) MFN: solo los avisos de convocatoria de la conferencia; 3) búsqueda web: cortada por el límite de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2016 y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2016 y 2019 no localizados; 2) informe 2018 y 2021 solo dan 2017-2018 y 2020-2021; 3) tablas de cinco años sin desglose por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del tamaño del mercado y 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Ti de junio de 2026: solo da 2025, 2026e y 2030e; 2) informes anuales de DSV, Kuehne+Nagel y DHL: dan cuota y volúmenes, no la serie del mercado; 3) Armstrong &amp; Associates no consultado por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ciclo.comentario: comportamiento en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2025 de DSV y Kuehne+Nagel: series desde 2019; 2) XBRL de Expeditors en EDGAR: desde 2019 en este análisis; 3) no se descargaron informes de 2009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series anuales de tarifas 2019-2025 (Drewry WCI, SCFI, TAC aéreo)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del WCI de Drewry: solo el último dato (4.485 USD/FEU, 15-oct-2026); 2) nota semanal de Drewry de enero de 2025: media de 2019 (1.420 USD) y pico de 2021 (10.377 USD), sin medias de 2020-2025; 3) IATA: solo variación de rendimientos (−1,5 % en 2025); SCFI y TAC no consultados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2019, pico de 2021 y dato actual)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y EBIT por TEU y por tonelada 2019-2023 de DSV y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2025 de DSV y Kuehne+Nagel: solo 2024-2025; 2) DHL: volúmenes sin margen bruto por modo; 3) Expeditors y C.H. Robinson no publican volúmenes absolutos en el 10-K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de los diez primeros clientes y tasa de renovación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(nota de segmentos: ningún cliente supera el 5 %); 2) informe del 1S26: solo retención cualitativa; 3) presentación del día del inversor: no descargada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y voto_remuneracion_contra_pct (juntas de 2024, 2025 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Anuncios de resultados de las juntas 1096 (2024), 1152 (2025) y 1167 (2026): solo dicen «approved», sin votos a favor ni en contra; 2) actas en la web de inversores (investor.dsv.com y dsv.gcs-web.com/static-files): no responden (tiempo agotado con curl, descargar.mjs y WebFetch); 3) búsqueda web de «voting results»: sin recuentos publicados en otra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consejo.comisiones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 de la junta de 2026 (solo elecciones, presidente y vicepresidente); 2) informe del 1S26 (solo firmas del consejo); 3) web de inversores (dsv.gcs-web.com), sin respuesta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la composición de comisiones de 2025 del informe anual y la de los dos nuevos consejeros queda sin dato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guía inicial de 2020 y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Listado de anuncios de mfn.se, que solo llega a octubre de 2021; 2) anuncio del informe anual 2021, que solo da la guía de 2022; 3) anuncio de revisión de octubre de 2021, que da la guía previa (13.750-14.500 M DKK) pero no la inicial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2021 figura con la guía previa a la revisión y 2020 no se incluye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a medio plazo anteriores a los de 2030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 del día del inversor de 2026 (no menciona objetivos previos); 2) informe anual 2025 (sin objetivos a medio plazo previos); 3) anuncios de resultados de 2021-2024 en mfn.se (solo guías anuales)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Frank Sobotka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2025 (solo consejo y comité ejecutivo); 2) operaciones de directivos de 2025-2026 (no aparece); 3) informe anual 2025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free_float_pct y capitalizacion_publicada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y finanzas: no lo dan en la tabla; 2) el flotante solo apareció en un resumen de buscador (no vale, regla 0); 3) Stock Analysis de DSV no consultado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EV/EBITDA de las operaciones (Schenker, Bolloré Logistics, GIL, Panalpina, UTi, CEVA/GEFCO, DP World/Imperial, UPS/Andlauer, SF/Kerry)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Anuncios de DSV (Schenker: solo EV/ventas 0,77x y EV/EBIT 14,0x; informe anual 2021: solo el valor empresa de GIL); 2) búsqueda de las notas de Bolloré/CMA CGM y UPS/Andlauer: sin múltiplo publicado, la nota de UPS da «Access Denied»; 3) Panalpina, UTi, CEVA/GEFCO, DP World/Imperial y SF/Kerry no buscados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solo acciones recientes de precio objetivo; 2) Stock Analysis forecast: sin historial gratuito;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NX Holdings e ID Logistics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finanzas: no lo da; 2) Stock Analysis: no consultado por presupuesto;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Stocktwits para DSDVY: 404; 2) Reddit: bloqueado desde la nube (403, lecciones); 3) búsqueda de hilos daneses en Euroinvestor y Shareville: sin resultados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Annual Report 2025 (anuncio 1164)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https://ml-eu.globenewswire.com/Resource/Download/85bab60c-d234-44ca-9c7e-83a5703dc118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Interim Financial Report H1 2026 (anuncio 1170)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https://ml-eu.globenewswire.com/Resource/Download/2492fb29-8ab5-4468-ac8c-bc6b5ff2b14a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2024 (anuncio 1150)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https://ml-eu.globenewswire.com/Resource/Download/c688394c-bc90-4e16-a8b4-779b40d5afbd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2023 (anuncio 1086)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https://ml-eu.globenewswire.com/Resource/Download/5bb76de6-179d-4dd8-b31f-c2fa6e3b28b9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2022 (anuncio 1012)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https://ml-eu.globenewswire.com/Resource/Download/8f12695c-381b-4fae-b1b0-e5f284bd9599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2021 (anuncio 941)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https://ml-eu.globenewswire.com/Resource/Download/2442165b-0701-4157-a818-e9cb68710ee9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2018 (anuncio 736)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https://ml-eu.globenewswire.com/Resource/Download/24d79f1e-0c05-4c3a-a49c-88769b71c98b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Q3 2024 (anuncio 1141)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https://ml-eu.globenewswire.com/Resource/Download/952d7e29-9a28-43c8-86de-756bf90be188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Q1 2025 (anuncio 1155)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https://ml-eu.globenewswire.com/Resource/Download/f7574805-fa87-40d9-be83-76b8507405bc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H1 2025 (anuncio 1159)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https://ml-eu.globenewswire.com/Resource/Download/f679bc2e-7f8b-4011-b8c8-6d466af44e9d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Q3 2025 (anuncio 1161)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https://ml-eu.globenewswire.com/Resource/Download/b48cd845-72de-4c7a-af2b-502e77fce70e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Q1 2026 (anuncio 1168)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https://ml-eu.globenewswire.com/Resource/Download/8099dd56-cfd8-4ca3-95e9-40bdc7722c6a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signs agreement to acquire Schenker (anuncio 1132)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https://ml-eu.globenewswire.com/Resource/Download/0897f207-e5a6-40b6-89bd-576fe96433ba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completes the acquisition of Schenker (anuncio 1154)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https://ml-eu.globenewswire.com/Resource/Download/5f964e62-891b-430f-bc9e-6c5934229d20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1169: updated strategic priorities and new financial targets for 2030 (Capital Markets 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https://mfn.se/one/a/dsv/dsv-1169-dsv-announces-updated-strategic-priorities-and-new-financial-targets-for-2030-at-its-capital-markets-day-af4fdc60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history (cronología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https://www.dsv.com/en/about-dsv/history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https://www.at.no/files/2026/03/09/kn_2025_annualreport.pdf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 2025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https://www.group.dhl.com/content/dam/deutschepostdhl/en/media-center/investors/documents/annual-reports/DHL-Group-2025-Annual-Report.pdf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International: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https://www.sec.gov/Archives/edgar/data/746515/000119312526071569/expd-20251231.htm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Worldwide: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https://www.sec.gov/Archives/edgar/data/1043277/000104327726000009/chrw-20251231.htm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 Logistics: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https://www.sec.gov/Archives/edgar/data/1852244/000185224426000007/gxo-20251231.htm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International: datos XBRL de los 10-K 2019-2025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https://data.sec.gov/api/xbrl/companyfacts/CIK0000746515.json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Freight Forwarding Market Reaches €208bn in 2025 Amid Structural Shift to Steady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Transport Intelligence (Ti)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https://ti-insight.com/press_releases/global-freight-forwarding-market-reaches-e208bn-in-2025-amid-structural-shift-to-steady-growth/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Air Cargo Demand Achieved Record Volume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https://www.iata.org/en/pressroom/2026-releases/2026-01-29-01/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Container Index assessed by Drewry (15 oct 2026: 4.485 USD por contenedor de 40 pies, +3 % en la semana)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https://www.drewry.co.uk/supply-chain-advisors/supply-chain-expertise/world-container-index-assessed-by-drewry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 World Container Index, 2 de enero de 2025 (reproducido por AJOT)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 / American Journal of Transportation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https://www.ajot.com/news/drewry-world-container-index-02-jan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DSV-aktien falder efter Amazon-aftale hos konkurrent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Aktietip.dk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https://aktietip.dk/dsv-aktie-falder-efter-amazon-aftale-hos-konkurrent/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of DSV A/S 19 March 2026 (Company Announcement No. 1167)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https://mfn.se/one/a/dsv/dsv-1167-annual-general-meeting-of-dsv-a-s-19-march-2026-3718a06d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Annual General Meeting 2026 (Company Announcement No. 1166)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https://mfn.se/one/a/dsv/dsv-1166-notice-of-annual-general-meeting-2026-b69d25eb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announces changes to Executive Board (Company Announcement No. 1062)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https://mfn.se/one/a/dsv/dsv-1062-dsv-announces-changes-to-executive-board-e9501025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Changes to the Executive Board and the Group Executive Committee (Company Announcement No. 1088)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https://mfn.se/one/a/dsv/dsv-1088-dsv-announces-changes-to-the-executive-board-and-the-group-executive-committee-ba671826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Annual Report (Company Announcement No. 1150)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https://mfn.se/one/a/dsv/dsv-1150-2024-annual-report-0763e133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https://docs.dsv.com/group/group-compliance/remuneration-report-2025/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Completion of equity offering of 26.4 million new shares (Company Announcement No. 1137)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https://mfn.se/one/a/dsv/dsv-1137-dsv-a-s-completes-equity-offering-of-26-4-million-new-shares-raising-gross-proceeds-of-dkk-37-3-billion-approx-eur-5-billion-19c5c187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for Q3 2021 and upgrade of financial outlook for 2021 (Company Announcement No. 920)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https://mfn.se/one/a/dsv/dsv-920-trading-update-for-q3-2021-and-upgrade-of-financial-outlook-for-2021-0cbcf037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Report (Company Announcement No. 941)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https://mfn.se/one/a/dsv/dsv-941-2021-annual-report-4d1ca1ca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Upgrade of financial outlook for 2022 (Company Announcement No. 990)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https://mfn.se/one/a/dsv/dsv-990-upgrade-of-financial-outlook-for-2022-ca3283d8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Annual Report (Company Announcement No. 1012)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https://mfn.se/one/a/dsv/dsv-1012-2022-annual-report-8b948dd4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Upgrade of financial outlook for 2023 (Company Announcement No. 1045)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https://mfn.se/one/a/dsv/dsv-1045-upgrade-of-financial-outlook-for-2023-84db3a63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Annual Report (Company Announcement No. 1086)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https://mfn.se/one/a/dsv/dsv-1086-2023-annual-report-b52a858a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for Q3 2024 and narrowing financial outlook for 2024 (Company Announcement No. 1135)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https://mfn.se/one/a/dsv/dsv-1135-trading-update-for-q3-2024-and-narrowing-financial-outlook-for-2024-4492edb8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announces updated strategic priorities and new financial targets for 2030 (Company Announcement No. 1169)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https://ml-eu.globenewswire.com/Resource/Download/eb6bb5e9-12aa-4a83-b785-f462648368f8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1163)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https://ml-eu.globenewswire.com/Resource/Download/675e5167-c8d9-442c-958f-c395e9b075a0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1165)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https://ml-eu.globenewswire.com/Resource/Download/76f4c55d-5a24-4071-a953-ceacc2c987c1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1171)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https://ml-eu.globenewswire.com/Resource/Download/1103221f-3ccc-4e20-9daf-639cb55468a4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1172)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https://ml-eu.globenewswire.com/Resource/Download/c841a297-4211-44d1-b0e7-dfde509a4cb5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Agility (Company Announcement No. 1158)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https://ml-eu.globenewswire.com/Resource/Download/95208473-f80a-4215-8b78-ab0a2a0abdce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BlackRock (Company Announcement No. 1162)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https://ml-eu.globenewswire.com/Resource/Download/37be725a-77cd-47ea-b5a1-ba5d8f1ce5ac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BlackRock (Company Announcement No. 1140)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https://mfn.se/one/a/dsv/dsv-1140-major-shareholder-announcement-89758bdf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of DSV A/S 20 March 2025 (Company Announcement No. 1152)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https://mfn.se/one/a/dsv/dsv-1152-annual-general-meeting-of-dsv-a-s-20-march-2025-4f60416b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of DSV A/S 14 March 2024 (Company Announcement No. 1096)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https://mfn.se/one/a/dsv/dsv-1096-annual-general-meeting-of-dsv-a-s-14-march-2024-f3d395a2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 of net short positions at or above 0.1 % (actualización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 (Danish FSA)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https://www.dfsa.dk/Media/639233216371760419/2026-07-ss-over-01-pct.xlsx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Published net short positions at or above 0.5 % (actualización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 (Danish FSA)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https://www.dfsa.dk/Media/639233216376913427/2026-07-ss-over-05-pct.xlsx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anuncios de DSV A/S en MFN, consultada el 19-oct-2026: sin operaciones de directivos ni avisos de accionistas significativos desde el n.º 1172 (28-jul-2026)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https://mfn.se/all/a/dsv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DSV.CO, ^STOXX, EXSA.DE, EXH4.DE y EXV1.DE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https://finance.yahoo.com/quote/DSV.CO/history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https://www.marketscreener.com/quote/stock/DSV-A-S-65289675/finances/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https://www.marketscreener.com/quote/stock/DSV-A-S-65289675/consensus/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(CPH:DSV)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https://stockanalysis.com/quote/cph/DSV/forecast/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bono federal alemán a 10 años (serie diaria BBSIS D.I.ZST.ZI.EUR.S1311.B.A604.R10XX), 19-oct-2026: 3,49 %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Faces Customer Retention Crisis as Analyst Slashes Price Target by 24% (Jyske Bank, 2.100 → 1.600 DKK)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Breakbulk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https://breakbulk.news/dsv-faces-customer-retention-crisis-as-analyst-slashes-price-target-by-24/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und Nagel International AG: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https://www.marketscreener.com/quote/stock/KUEHNE-UND-NAGEL-INTERNAT-178766/finances/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https://www.marketscreener.com/quote/stock/DHL-GROUP-435996/finances/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International of Washington: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https://www.marketscreener.com/quote/stock/EXPEDITORS-INTERNATIONAL--4900/finances/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Worldwide: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https://www.marketscreener.com/quote/stock/C-H-ROBINSON-WORLDWIDE-IN-4915/finances/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 Logistics: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https://www.marketscreener.com/quote/stock/GXO-LOGISTICS-INC-125090815/finances/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Nippon Express Holdings: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https://www.marketscreener.com/quote/stock/NIPPON-EXPRESS-HOLDINGS-I-131014719/finances/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 Logistics Group: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https://www.marketscreener.com/quote/stock/ID-LOGISTICS-GROUP-10372316/finances/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Bolloré Logistics Sold to CMA CGM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Logistics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https://logisticsbusiness.com/transport-distribution/haulage-freight-forwarding/bollore-logistics-sold-to-cma-cgm/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(SWX:KNIN)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https://stockanalysis.com/quote/swx/KNIN/statistics/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 (ETR:DHL)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https://stockanalysis.com/quote/etr/DHL/statistics/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(EXPD)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https://stockanalysis.com/stocks/expd/statistics/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(CHRW)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https://stockanalysis.com/stocks/chrw/statistics/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 Logistics (GXO)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https://stockanalysis.com/stocks/gxo/statistics/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19 October 2026 (DKK 7,4747; USD 1,1225; CHF 0,9261; JPY 177,63)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RBC sets DKK 1,250 target for DSV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https://www.ad-hoc-news.de/boerse/news/nebenwerte/rbc-sets-dkk-1-250-target-for-dsv-stock/70350101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Trucking and logistics shares plummet amid AI fears (SemiCab de Algorhythm, 12-feb-2026: DSV −11 %, Kuehne+Nagel −13 %, C.H. Robinson −15 %)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SSBCrack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https://news.ssbcrack.com/trucking-and-logistics-shares-plummet-amid-ai-fears/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Former karaoke company drags logistics into the AI scare trade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SupplyChainBrain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https://www.supplychainbrain.com/articles/43474-former-karaoke-company-drags-logistics-into-the-ai-scare-trade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debate de Nordnet Social en la ficha de la acción (16-19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https://www.nordnet.dk/aktier/kurser/dsv-xcse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DSV’s Schenker Gamble: DKK 11 Billion Integration Bill Meets a Market That No Longer Believes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Breakbulk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https://breakbulk.news/dsvs-schenker-gamble-dkk-11-billion-integration-bill-meets-a-market-that-no-longer-believes/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Accelerated Schenker Integration And Robust Earnings Momentum (Rating Upgrade)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https://seekingalpha.com/article/4941742-dsv-stock-accelerated-schenker-integration-robust-earnings-momentum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(DSDVY): canal RSS de noticias y análisis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https://seekingalpha.com/api/sa/combined/DSDVY.xml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Inderes: hilo «Ostin/myin juuri äsken» (mención de DSV, 2-jul-2026)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https://forum.inderes.com/t/ostin-myin-juuri-asken-osa-8/69575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 raises full-year 2026 earnings guidance (resultados preliminares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https://group.dhl.com/en/media-relations/press-releases/2026/dhl-group-raises-full-year-2026-earnings-guidance.html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 DSV heals, Kuehne eyes deal (cita una nota de UBS)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Loadstar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https://theloadstar.com/as-dsv-heals-kuehne-eyes-deal/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revises DSV’s A- rating outlook to negative following Schenker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Cargo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https://www.aircargonews.net/freight-forwarder/2024/09/sp-revises-dsvs-a-rating-outlook-to-negative-following-schenker-deal/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DSV.CO, gráfico diario (cierres del 1 al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https://query1.finance.yahoo.com/v8/finance/chart/DSV.CO?range=5d&amp;interval=1d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report DSV Solutions (Pvt) Ltd (cita los ratings de la matriz)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 Credit Rating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https://docs.vis.com.pk/RatingReports/OP_01075901004_00010759.pdf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90,8 %</w:t>
      </w:r>
      <w:r>
        <w:t xml:space="preserve"> · Secciones con menos del 60 % de campos cubiertos: </w:t>
      </w:r>
      <w:r>
        <w:rPr>
          <w:b/>
          <w:bCs/>
        </w:rPr>
        <w:t xml:space="preserve">ninguna</w:t>
      </w:r>
      <w:r>
        <w:t xml:space="preserve"> · Generado el 19 oct 2026.</w:t>
      </w:r>
    </w:p>
    <w:p>
      <w:pPr>
        <w:pStyle w:val="Nota"/>
        <w:spacing w:after="100"/>
      </w:pPr>
      <w:r>
        <w:t xml:space="preserve">Una sola línea cotizada (Nasdaq Copenhagen, DSV), con cuentas y cotización en coronas danesas: no hay conversión en las cifras de la empresa. El precio es el cierre del 19-oct-2026 en Nasdaq Copenhagen (1.211,5 DKK, sesión cerrada a las 17:00 CET), y las rentabilidades, la beta, la volatilidad y la caída máxima llegan al mismo día [56]. Esta iteración parte del informe del 7-oct: no hay cuentas nuevas desde el 1S26 (el 3T26 se publica el 21-oct), así que se han vuelto a comprobar a la nueva fecha el precio, el consenso, los comparables, la tasa libre, los anuncios de la empresa y las noticias [55]. El puente es el balance del 30-jun-2026 y las acciones (239,178 millones diluidas) son de la misma fecha [2]; el flujo de caja del 3T26 no está ni en el puente ni en el DCF. La cuenta va con el EBITDA y el EBIT </w:t>
      </w:r>
      <w:r>
        <w:rPr>
          <w:b/>
        </w:rPr>
        <w:t xml:space="preserve">antes de partidas especiales</w:t>
      </w:r>
      <w:r>
        <w:t xml:space="preserve">, como los publica DSV; las partidas especiales (costes de compras e integración) quedan entre el EBIT y el beneficio antes de impuestos [1, 2]. </w:t>
      </w:r>
      <w:r>
        <w:rPr>
          <w:b/>
        </w:rPr>
        <w:t xml:space="preserve">Perímetro</w:t>
      </w:r>
      <w:r>
        <w:t xml:space="preserve">: 2016 (UTi), 2019 (Panalpina), 2021 (GIL) y 2025 (Schenker, solo ocho meses en la cuenta y completo en el balance) no son comparables con el año anterior; el balance de 2024 lleva la caja captada para Schenker sin el negocio. Por eso mezclan perímetros los ratios de 2025 que combinan cuenta y balance (circulante sobre ventas, rotación, ROIC, deuda neta sobre EBITDA de 3,0 frente a 2,8x de la empresa con Schenker los doce meses). La empresa no publica una cuenta proforma completa; sí los ingresos proforma de 2025 (293.368 M) [1], y el LTM a jun-26 es la primera base con Schenker los doce meses. 2016 y 2019 salen de las tablas de cinco años y 2017-2018 no están reexpresados por NIIF 16 [6, 7]. La tasa libre es el Bund alemán a 10 años del 19-oct (3,49 %, Bundesbank), porque la corona está anclada al euro; el informe del 7-oct usaba el bono danés de agosto (3,1 %), y el cambio explica casi toda la bajada del DCF [60]. El rating sale de fuentes secundarias: la web de inversores de DSV, donde está la opinión de crédito de Moody’s del 7-oct-2026, no responde a las descargas (403) [87, 89]. El capital flotante (80,8 %) es una estimación propia: 100 % menos Ernst Göhner Stiftung (9,7 %), Agility (8,03 %) y la autocartera (1,5 %) [1, 48]. Solo MarketScreener da el consenso completo gratis; su EBITDA y su EBIT son antes de partidas especiales y su BPA es el contable [57]. Los comparables llevan los cierres y el consenso del 19-oct; su EBITDA de los últimos 12 meses, su margen y su ROIC son los del 7-oct (ninguno ha publicado resultados desde entonces) [63, 64, 65, 66, 67, 68, 69].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DSV A/S (DSV)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1.211,50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(1.130,50 – 1.913,50)</c:v>
                </c:pt>
                <c:pt idx="1">
                  <c:v>Precio objetivo de los analistas (1.250,00 – 2.300,00)</c:v>
                </c:pt>
                <c:pt idx="2">
                  <c:v>Comparables: EV/EBITDA NTM (631,07 – 1.734,38)</c:v>
                </c:pt>
                <c:pt idx="3">
                  <c:v>Comparables: PER NTM (1.225,65 – 1.738,13)</c:v>
                </c:pt>
                <c:pt idx="4">
                  <c:v>DCF (WACC y g ± 0,5) (1.118,49 – 1.593,99)</c:v>
                </c:pt>
                <c:pt idx="5">
                  <c:v>Escenarios (bajista – alcista) (791,72 – 1.661,57)</c:v>
                </c:pt>
                <c:pt idx="6">
                  <c:v>DCF con la prima implícita del mercado (4,2 %)</c:v>
                </c:pt>
                <c:pt idx="7">
                  <c:v>Precio actual (1.211,50)</c:v>
                </c:pt>
              </c:strCache>
            </c:strRef>
          </c:cat>
          <c:val>
            <c:numRef>
              <c:f>Hoja1!$B$2:$B$9</c:f>
              <c:numCache>
                <c:formatCode>#,##0</c:formatCode>
                <c:ptCount val="8"/>
                <c:pt idx="0">
                  <c:v>1130.5</c:v>
                </c:pt>
                <c:pt idx="1">
                  <c:v>1250</c:v>
                </c:pt>
                <c:pt idx="2">
                  <c:v>631.07</c:v>
                </c:pt>
                <c:pt idx="3">
                  <c:v>1225.65</c:v>
                </c:pt>
                <c:pt idx="4">
                  <c:v>1118.49</c:v>
                </c:pt>
                <c:pt idx="5">
                  <c:v>791.72</c:v>
                </c:pt>
                <c:pt idx="6">
                  <c:v>1531.93</c:v>
                </c:pt>
                <c:pt idx="7">
                  <c:v>1205.44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(1.130,50 – 1.913,50)</c:v>
                </c:pt>
                <c:pt idx="1">
                  <c:v>Precio objetivo de los analistas (1.250,00 – 2.300,00)</c:v>
                </c:pt>
                <c:pt idx="2">
                  <c:v>Comparables: EV/EBITDA NTM (631,07 – 1.734,38)</c:v>
                </c:pt>
                <c:pt idx="3">
                  <c:v>Comparables: PER NTM (1.225,65 – 1.738,13)</c:v>
                </c:pt>
                <c:pt idx="4">
                  <c:v>DCF (WACC y g ± 0,5) (1.118,49 – 1.593,99)</c:v>
                </c:pt>
                <c:pt idx="5">
                  <c:v>Escenarios (bajista – alcista) (791,72 – 1.661,57)</c:v>
                </c:pt>
                <c:pt idx="6">
                  <c:v>DCF con la prima implícita del mercado (4,2 %)</c:v>
                </c:pt>
                <c:pt idx="7">
                  <c:v>Precio actual (1.211,50)</c:v>
                </c:pt>
              </c:strCache>
            </c:strRef>
          </c:cat>
          <c:val>
            <c:numRef>
              <c:f>Hoja1!$C$2:$C$9</c:f>
              <c:numCache>
                <c:formatCode>#,##0</c:formatCode>
                <c:ptCount val="8"/>
                <c:pt idx="0">
                  <c:v>783</c:v>
                </c:pt>
                <c:pt idx="1">
                  <c:v>1050</c:v>
                </c:pt>
                <c:pt idx="2">
                  <c:v>1103.31</c:v>
                </c:pt>
                <c:pt idx="3">
                  <c:v>512.48</c:v>
                </c:pt>
                <c:pt idx="4">
                  <c:v>475.5</c:v>
                </c:pt>
                <c:pt idx="5">
                  <c:v>869.8499999999999</c:v>
                </c:pt>
                <c:pt idx="6">
                  <c:v>441.54999999999995</c:v>
                </c:pt>
                <c:pt idx="7">
                  <c:v>12.11999999999989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(DKK, millones)</a:t>
            </a:r>
          </a:p>
        </c:rich>
      </c:tx>
      <c:overlay val="0"/>
    </c:title>
    <c:autoTitleDeleted val="0"/>
    <c:plotArea>
      <c:layout/>
      <c:barChart>
        <c:barDir val="col"/>
        <c:grouping val="stacked"/>
        <c:varyColors val="0"/>
        <c:ser>
          <c:idx val="0"/>
          <c:order val="0"/>
          <c:tx>
            <c:strRef>
              <c:f>Hoja1!$B$1</c:f>
              <c:strCache>
                <c:ptCount val="1"/>
                <c:pt idx="0">
                  <c:v>Air &amp; Sea</c:v>
                </c:pt>
              </c:strCache>
            </c:strRef>
          </c:tx>
          <c:spPr>
            <a:solidFill>
              <a:srgbClr val="2A78D6"/>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Hoja1!$B$2:$B$9</c:f>
              <c:numCache>
                <c:formatCode>#,##0</c:formatCode>
                <c:ptCount val="8"/>
                <c:pt idx="0">
                  <c:v>35204</c:v>
                </c:pt>
                <c:pt idx="1">
                  <c:v>36972</c:v>
                </c:pt>
                <c:pt idx="2">
                  <c:v>73689</c:v>
                </c:pt>
                <c:pt idx="3">
                  <c:v>131901</c:v>
                </c:pt>
                <c:pt idx="4">
                  <c:v>174431</c:v>
                </c:pt>
                <c:pt idx="5">
                  <c:v>92972</c:v>
                </c:pt>
                <c:pt idx="6">
                  <c:v>104496</c:v>
                </c:pt>
                <c:pt idx="7">
                  <c:v>137320</c:v>
                </c:pt>
              </c:numCache>
            </c:numRef>
          </c:val>
        </c:ser>
        <c:ser>
          <c:idx val="1"/>
          <c:order val="1"/>
          <c:tx>
            <c:strRef>
              <c:f>Hoja1!$C$1</c:f>
              <c:strCache>
                <c:ptCount val="1"/>
                <c:pt idx="0">
                  <c:v>Road</c:v>
                </c:pt>
              </c:strCache>
            </c:strRef>
          </c:tx>
          <c:spPr>
            <a:solidFill>
              <a:srgbClr val="EB6834"/>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Hoja1!$C$2:$C$9</c:f>
              <c:numCache>
                <c:formatCode>#,##0</c:formatCode>
                <c:ptCount val="8"/>
                <c:pt idx="0">
                  <c:v>30627</c:v>
                </c:pt>
                <c:pt idx="1">
                  <c:v>31243</c:v>
                </c:pt>
                <c:pt idx="2">
                  <c:v>30395</c:v>
                </c:pt>
                <c:pt idx="3">
                  <c:v>35416</c:v>
                </c:pt>
                <c:pt idx="4">
                  <c:v>41507</c:v>
                </c:pt>
                <c:pt idx="5">
                  <c:v>38155</c:v>
                </c:pt>
                <c:pt idx="6">
                  <c:v>40507</c:v>
                </c:pt>
                <c:pt idx="7">
                  <c:v>77977</c:v>
                </c:pt>
              </c:numCache>
            </c:numRef>
          </c:val>
        </c:ser>
        <c:ser>
          <c:idx val="2"/>
          <c:order val="2"/>
          <c:tx>
            <c:strRef>
              <c:f>Hoja1!$D$1</c:f>
              <c:strCache>
                <c:ptCount val="1"/>
                <c:pt idx="0">
                  <c:v>Contract Logistics</c:v>
                </c:pt>
              </c:strCache>
            </c:strRef>
          </c:tx>
          <c:spPr>
            <a:solidFill>
              <a:srgbClr val="1BAF7A"/>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Hoja1!$D$2:$D$9</c:f>
              <c:numCache>
                <c:formatCode>#,##0</c:formatCode>
                <c:ptCount val="8"/>
                <c:pt idx="0">
                  <c:v>11362</c:v>
                </c:pt>
                <c:pt idx="1">
                  <c:v>13229</c:v>
                </c:pt>
                <c:pt idx="2">
                  <c:v>14608</c:v>
                </c:pt>
                <c:pt idx="3">
                  <c:v>18734</c:v>
                </c:pt>
                <c:pt idx="4">
                  <c:v>24409</c:v>
                </c:pt>
                <c:pt idx="5">
                  <c:v>23140</c:v>
                </c:pt>
                <c:pt idx="6">
                  <c:v>25624</c:v>
                </c:pt>
                <c:pt idx="7">
                  <c:v>43463</c:v>
                </c:pt>
              </c:numCache>
            </c:numRef>
          </c:val>
        </c:ser>
        <c:ser>
          <c:idx val="3"/>
          <c:order val="3"/>
          <c:tx>
            <c:strRef>
              <c:f>Hoja1!$E$1</c:f>
              <c:strCache>
                <c:ptCount val="1"/>
                <c:pt idx="0">
                  <c:v>Otros y eliminaciones</c:v>
                </c:pt>
              </c:strCache>
            </c:strRef>
          </c:tx>
          <c:spPr>
            <a:solidFill>
              <a:srgbClr val="EDA100"/>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Hoja1!$E$2:$E$9</c:f>
              <c:numCache>
                <c:formatCode>#,##0</c:formatCode>
                <c:ptCount val="8"/>
                <c:pt idx="0">
                  <c:v>-2292</c:v>
                </c:pt>
                <c:pt idx="1">
                  <c:v>-2391</c:v>
                </c:pt>
                <c:pt idx="2">
                  <c:v>-2760</c:v>
                </c:pt>
                <c:pt idx="3">
                  <c:v>-3745</c:v>
                </c:pt>
                <c:pt idx="4">
                  <c:v>-4682</c:v>
                </c:pt>
                <c:pt idx="5">
                  <c:v>-3482</c:v>
                </c:pt>
                <c:pt idx="6">
                  <c:v>-3521</c:v>
                </c:pt>
                <c:pt idx="7">
                  <c:v>-11429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Air &amp; Sea</c:v>
                </c:pt>
                <c:pt idx="1">
                  <c:v>Road</c:v>
                </c:pt>
                <c:pt idx="2">
                  <c:v>Contract Logistics</c:v>
                </c:pt>
                <c:pt idx="3">
                  <c:v>Otros y eliminaciones</c:v>
                </c:pt>
              </c:strCache>
            </c:strRef>
          </c:cat>
          <c:val>
            <c:numRef>
              <c:f>Hoja1!$B$2:$B$5</c:f>
              <c:numCache>
                <c:formatCode>General</c:formatCode>
                <c:ptCount val="4"/>
                <c:pt idx="0">
                  <c:v>55.5</c:v>
                </c:pt>
                <c:pt idx="1">
                  <c:v>31.5</c:v>
                </c:pt>
                <c:pt idx="2">
                  <c:v>17.6</c:v>
                </c:pt>
                <c:pt idx="3">
                  <c:v>-4.6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Europa</c:v>
                </c:pt>
                <c:pt idx="1">
                  <c:v>América</c:v>
                </c:pt>
                <c:pt idx="2">
                  <c:v>Asia-Pacífico</c:v>
                </c:pt>
                <c:pt idx="3">
                  <c:v>Oriente Medio y África</c:v>
                </c:pt>
              </c:strCache>
            </c:strRef>
          </c:cat>
          <c:val>
            <c:numRef>
              <c:f>Hoja1!$B$2:$B$5</c:f>
              <c:numCache>
                <c:formatCode>0"%"</c:formatCode>
                <c:ptCount val="4"/>
                <c:pt idx="0">
                  <c:v>54.7</c:v>
                </c:pt>
                <c:pt idx="1">
                  <c:v>21.6</c:v>
                </c:pt>
                <c:pt idx="2">
                  <c:v>18.6</c:v>
                </c:pt>
                <c:pt idx="3">
                  <c:v>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EUR (Ti, transitario mundial))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2030e</c:v>
                </c:pt>
              </c:strCache>
            </c:strRef>
          </c:cat>
          <c:val>
            <c:numRef>
              <c:f>Hoja1!$B$2:$B$4</c:f>
              <c:numCache>
                <c:formatCode>#,##0</c:formatCode>
                <c:ptCount val="3"/>
                <c:pt idx="0">
                  <c:v>208.1</c:v>
                </c:pt>
                <c:pt idx="1">
                  <c:v>213.4</c:v>
                </c:pt>
                <c:pt idx="2">
                  <c:v>233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DSV</c:v>
                </c:pt>
                <c:pt idx="1">
                  <c:v>Kuehne+Nagel</c:v>
                </c:pt>
                <c:pt idx="2">
                  <c:v>DHL Global Forwarding, Freight (DHL Group)</c:v>
                </c:pt>
                <c:pt idx="3">
                  <c:v>Expeditors International</c:v>
                </c:pt>
                <c:pt idx="4">
                  <c:v>C.H. Robinson</c:v>
                </c:pt>
                <c:pt idx="5">
                  <c:v>DHL Supply Chain (DHL Group)</c:v>
                </c:pt>
                <c:pt idx="6">
                  <c:v>GXO Logistics</c:v>
                </c:pt>
              </c:strCache>
            </c:strRef>
          </c:cat>
          <c:val>
            <c:numRef>
              <c:f>Hoja1!$B$2:$B$8</c:f>
              <c:numCache>
                <c:formatCode>0.0"%"</c:formatCode>
                <c:ptCount val="7"/>
                <c:pt idx="0">
                  <c:v>7.9</c:v>
                </c:pt>
                <c:pt idx="1">
                  <c:v>5.1</c:v>
                </c:pt>
                <c:pt idx="2">
                  <c:v>4.1</c:v>
                </c:pt>
                <c:pt idx="3">
                  <c:v>9.5</c:v>
                </c:pt>
                <c:pt idx="4">
                  <c:v>4.9</c:v>
                </c:pt>
                <c:pt idx="5">
                  <c:v>6.5</c:v>
                </c:pt>
                <c:pt idx="6">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1</c:v>
                </c:pt>
                <c:pt idx="2">
                  <c:v>1</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(DKK,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67747</c:v>
                </c:pt>
                <c:pt idx="1">
                  <c:v>74901</c:v>
                </c:pt>
                <c:pt idx="2">
                  <c:v>79053</c:v>
                </c:pt>
                <c:pt idx="3">
                  <c:v>94701</c:v>
                </c:pt>
                <c:pt idx="4">
                  <c:v>115932</c:v>
                </c:pt>
                <c:pt idx="5">
                  <c:v>182306</c:v>
                </c:pt>
                <c:pt idx="6">
                  <c:v>235665</c:v>
                </c:pt>
                <c:pt idx="7">
                  <c:v>150785</c:v>
                </c:pt>
                <c:pt idx="8">
                  <c:v>167106</c:v>
                </c:pt>
                <c:pt idx="9">
                  <c:v>247331</c:v>
                </c:pt>
                <c:pt idx="10">
                  <c:v>297762</c:v>
                </c:pt>
                <c:pt idx="11">
                  <c:v>301811</c:v>
                </c:pt>
                <c:pt idx="12">
                  <c:v>313884</c:v>
                </c:pt>
                <c:pt idx="13">
                  <c:v>326439</c:v>
                </c:pt>
                <c:pt idx="14">
                  <c:v>339497</c:v>
                </c:pt>
                <c:pt idx="15">
                  <c:v>351379</c:v>
                </c:pt>
                <c:pt idx="16">
                  <c:v>363677</c:v>
                </c:pt>
                <c:pt idx="17">
                  <c:v>374588</c:v>
                </c:pt>
                <c:pt idx="18">
                  <c:v>385825</c:v>
                </c:pt>
                <c:pt idx="19">
                  <c:v>395471</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4250</c:v>
                </c:pt>
                <c:pt idx="1">
                  <c:v>5664</c:v>
                </c:pt>
                <c:pt idx="2">
                  <c:v>6212</c:v>
                </c:pt>
                <c:pt idx="3">
                  <c:v>10292</c:v>
                </c:pt>
                <c:pt idx="4">
                  <c:v>13559</c:v>
                </c:pt>
                <c:pt idx="5">
                  <c:v>20417</c:v>
                </c:pt>
                <c:pt idx="6">
                  <c:v>30275</c:v>
                </c:pt>
                <c:pt idx="7">
                  <c:v>22997</c:v>
                </c:pt>
                <c:pt idx="8">
                  <c:v>21831</c:v>
                </c:pt>
                <c:pt idx="9">
                  <c:v>28244</c:v>
                </c:pt>
                <c:pt idx="10">
                  <c:v>34957</c:v>
                </c:pt>
                <c:pt idx="11">
                  <c:v>38662</c:v>
                </c:pt>
                <c:pt idx="12">
                  <c:v>42343</c:v>
                </c:pt>
                <c:pt idx="13">
                  <c:v>45473</c:v>
                </c:pt>
                <c:pt idx="14">
                  <c:v>48684</c:v>
                </c:pt>
                <c:pt idx="15">
                  <c:v>50845</c:v>
                </c:pt>
                <c:pt idx="16">
                  <c:v>52624</c:v>
                </c:pt>
                <c:pt idx="17">
                  <c:v>54203</c:v>
                </c:pt>
                <c:pt idx="18">
                  <c:v>55829</c:v>
                </c:pt>
                <c:pt idx="19">
                  <c:v>57225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1">
                  <c:v>22.2</c:v>
                </c:pt>
                <c:pt idx="2">
                  <c:v>22.1</c:v>
                </c:pt>
                <c:pt idx="4">
                  <c:v>24.6</c:v>
                </c:pt>
                <c:pt idx="5">
                  <c:v>20.6</c:v>
                </c:pt>
                <c:pt idx="6">
                  <c:v>22.1</c:v>
                </c:pt>
                <c:pt idx="7">
                  <c:v>29.1</c:v>
                </c:pt>
                <c:pt idx="8">
                  <c:v>25.7</c:v>
                </c:pt>
                <c:pt idx="9">
                  <c:v>27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6.3</c:v>
                </c:pt>
                <c:pt idx="1">
                  <c:v>7.6</c:v>
                </c:pt>
                <c:pt idx="2">
                  <c:v>7.9</c:v>
                </c:pt>
                <c:pt idx="3">
                  <c:v>10.9</c:v>
                </c:pt>
                <c:pt idx="4">
                  <c:v>11.7</c:v>
                </c:pt>
                <c:pt idx="5">
                  <c:v>11.2</c:v>
                </c:pt>
                <c:pt idx="6">
                  <c:v>12.8</c:v>
                </c:pt>
                <c:pt idx="7">
                  <c:v>15.3</c:v>
                </c:pt>
                <c:pt idx="8">
                  <c:v>13.1</c:v>
                </c:pt>
                <c:pt idx="9">
                  <c:v>11.4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5.1</c:v>
                </c:pt>
                <c:pt idx="1">
                  <c:v>6.5</c:v>
                </c:pt>
                <c:pt idx="2">
                  <c:v>6.9</c:v>
                </c:pt>
                <c:pt idx="3">
                  <c:v>7</c:v>
                </c:pt>
                <c:pt idx="4">
                  <c:v>8.2</c:v>
                </c:pt>
                <c:pt idx="5">
                  <c:v>8.9</c:v>
                </c:pt>
                <c:pt idx="6">
                  <c:v>10.7</c:v>
                </c:pt>
                <c:pt idx="7">
                  <c:v>11.8</c:v>
                </c:pt>
                <c:pt idx="8">
                  <c:v>9.6</c:v>
                </c:pt>
                <c:pt idx="9">
                  <c:v>7.9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1">
                  <c:v>4</c:v>
                </c:pt>
                <c:pt idx="2">
                  <c:v>5.1</c:v>
                </c:pt>
                <c:pt idx="4">
                  <c:v>3.7</c:v>
                </c:pt>
                <c:pt idx="5">
                  <c:v>6.1</c:v>
                </c:pt>
                <c:pt idx="6">
                  <c:v>7.5</c:v>
                </c:pt>
                <c:pt idx="7">
                  <c:v>8.2</c:v>
                </c:pt>
                <c:pt idx="8">
                  <c:v>6</c:v>
                </c:pt>
                <c:pt idx="9">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23.9</c:v>
                </c:pt>
                <c:pt idx="1">
                  <c:v>19.1</c:v>
                </c:pt>
                <c:pt idx="2">
                  <c:v>8.7</c:v>
                </c:pt>
                <c:pt idx="3">
                  <c:v>50.6</c:v>
                </c:pt>
                <c:pt idx="4">
                  <c:v>63.2</c:v>
                </c:pt>
                <c:pt idx="5">
                  <c:v>64.7</c:v>
                </c:pt>
                <c:pt idx="6">
                  <c:v>68.9</c:v>
                </c:pt>
                <c:pt idx="7">
                  <c:v>23.7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1">
                  <c:v>61</c:v>
                </c:pt>
                <c:pt idx="2">
                  <c:v>61</c:v>
                </c:pt>
                <c:pt idx="4">
                  <c:v>60</c:v>
                </c:pt>
                <c:pt idx="5">
                  <c:v>73</c:v>
                </c:pt>
                <c:pt idx="6">
                  <c:v>50</c:v>
                </c:pt>
                <c:pt idx="7">
                  <c:v>54</c:v>
                </c:pt>
                <c:pt idx="8">
                  <c:v>59</c:v>
                </c:pt>
                <c:pt idx="9">
                  <c:v>67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1">
                  <c:v>3</c:v>
                </c:pt>
                <c:pt idx="2">
                  <c:v>4</c:v>
                </c:pt>
                <c:pt idx="4">
                  <c:v>6</c:v>
                </c:pt>
                <c:pt idx="5">
                  <c:v>1</c:v>
                </c:pt>
                <c:pt idx="6">
                  <c:v>4</c:v>
                </c:pt>
                <c:pt idx="7">
                  <c:v>15</c:v>
                </c:pt>
                <c:pt idx="8">
                  <c:v>15</c:v>
                </c:pt>
                <c:pt idx="9">
                  <c:v>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1">
                  <c:v>63</c:v>
                </c:pt>
                <c:pt idx="2">
                  <c:v>62</c:v>
                </c:pt>
                <c:pt idx="4">
                  <c:v>66</c:v>
                </c:pt>
                <c:pt idx="5">
                  <c:v>77</c:v>
                </c:pt>
                <c:pt idx="6">
                  <c:v>54</c:v>
                </c:pt>
                <c:pt idx="7">
                  <c:v>72</c:v>
                </c:pt>
                <c:pt idx="8">
                  <c:v>66</c:v>
                </c:pt>
                <c:pt idx="9">
                  <c:v>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(DKK,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1273</c:v>
                </c:pt>
                <c:pt idx="1">
                  <c:v>3651</c:v>
                </c:pt>
                <c:pt idx="2">
                  <c:v>3091</c:v>
                </c:pt>
                <c:pt idx="3">
                  <c:v>6879</c:v>
                </c:pt>
                <c:pt idx="4">
                  <c:v>5877</c:v>
                </c:pt>
                <c:pt idx="5">
                  <c:v>7559</c:v>
                </c:pt>
                <c:pt idx="6">
                  <c:v>21318</c:v>
                </c:pt>
                <c:pt idx="7">
                  <c:v>10178</c:v>
                </c:pt>
                <c:pt idx="8">
                  <c:v>4970</c:v>
                </c:pt>
                <c:pt idx="9">
                  <c:v>12815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1">
                  <c:v>2981</c:v>
                </c:pt>
                <c:pt idx="2">
                  <c:v>4000</c:v>
                </c:pt>
                <c:pt idx="4">
                  <c:v>4250</c:v>
                </c:pt>
                <c:pt idx="5">
                  <c:v>11205</c:v>
                </c:pt>
                <c:pt idx="6">
                  <c:v>17568</c:v>
                </c:pt>
                <c:pt idx="7">
                  <c:v>12315</c:v>
                </c:pt>
                <c:pt idx="8">
                  <c:v>10109</c:v>
                </c:pt>
                <c:pt idx="9">
                  <c:v>8095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c:v>
                </c:pt>
                <c:pt idx="1">
                  <c:v>22.9</c:v>
                </c:pt>
                <c:pt idx="2">
                  <c:v>20.4</c:v>
                </c:pt>
                <c:pt idx="3">
                  <c:v>14.1</c:v>
                </c:pt>
                <c:pt idx="4">
                  <c:v>12.7</c:v>
                </c:pt>
                <c:pt idx="5">
                  <c:v>14.7</c:v>
                </c:pt>
                <c:pt idx="6">
                  <c:v>18.9</c:v>
                </c:pt>
                <c:pt idx="7">
                  <c:v>13.1</c:v>
                </c:pt>
                <c:pt idx="8">
                  <c:v>11.3</c:v>
                </c:pt>
                <c:pt idx="9">
                  <c:v>8.6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8.3</c:v>
                </c:pt>
                <c:pt idx="1">
                  <c:v>8.3</c:v>
                </c:pt>
                <c:pt idx="2">
                  <c:v>8.3</c:v>
                </c:pt>
                <c:pt idx="3">
                  <c:v>8.3</c:v>
                </c:pt>
                <c:pt idx="4">
                  <c:v>8.3</c:v>
                </c:pt>
                <c:pt idx="5">
                  <c:v>8.3</c:v>
                </c:pt>
                <c:pt idx="6">
                  <c:v>8.3</c:v>
                </c:pt>
                <c:pt idx="7">
                  <c:v>8.3</c:v>
                </c:pt>
                <c:pt idx="8">
                  <c:v>8.3</c:v>
                </c:pt>
                <c:pt idx="9">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1">
                  <c:v>21.1</c:v>
                </c:pt>
                <c:pt idx="2">
                  <c:v>27.2</c:v>
                </c:pt>
                <c:pt idx="4">
                  <c:v>8.8</c:v>
                </c:pt>
                <c:pt idx="5">
                  <c:v>18.4</c:v>
                </c:pt>
                <c:pt idx="6">
                  <c:v>24.1</c:v>
                </c:pt>
                <c:pt idx="7">
                  <c:v>17.6</c:v>
                </c:pt>
                <c:pt idx="8">
                  <c:v>11.1</c:v>
                </c:pt>
                <c:pt idx="9">
                  <c:v>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c:v>
                </c:pt>
                <c:pt idx="1">
                  <c:v>1</c:v>
                </c:pt>
                <c:pt idx="2">
                  <c:v>0.96</c:v>
                </c:pt>
                <c:pt idx="3">
                  <c:v>0</c:v>
                </c:pt>
                <c:pt idx="4">
                  <c:v>1.26</c:v>
                </c:pt>
                <c:pt idx="5">
                  <c:v>1.39</c:v>
                </c:pt>
                <c:pt idx="6">
                  <c:v>0.95</c:v>
                </c:pt>
                <c:pt idx="7">
                  <c:v>1.46</c:v>
                </c:pt>
                <c:pt idx="8">
                  <c:v>-0.03</c:v>
                </c:pt>
                <c:pt idx="9">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(DKK,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2027-2030</c:v>
                </c:pt>
                <c:pt idx="2">
                  <c:v>2031-2034</c:v>
                </c:pt>
                <c:pt idx="3">
                  <c:v>2035+</c:v>
                </c:pt>
              </c:strCache>
            </c:strRef>
          </c:cat>
          <c:val>
            <c:numRef>
              <c:f>Hoja1!$B$2:$B$5</c:f>
              <c:numCache>
                <c:formatCode>#,##0</c:formatCode>
                <c:ptCount val="4"/>
                <c:pt idx="0">
                  <c:v>10797</c:v>
                </c:pt>
                <c:pt idx="1">
                  <c:v>32731</c:v>
                </c:pt>
                <c:pt idx="2">
                  <c:v>20715</c:v>
                </c:pt>
                <c:pt idx="3">
                  <c:v>3790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(DKK,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1">
                  <c:v>8</c:v>
                </c:pt>
                <c:pt idx="2">
                  <c:v>59</c:v>
                </c:pt>
                <c:pt idx="4">
                  <c:v>140</c:v>
                </c:pt>
                <c:pt idx="5">
                  <c:v>0</c:v>
                </c:pt>
                <c:pt idx="6">
                  <c:v>0</c:v>
                </c:pt>
                <c:pt idx="7">
                  <c:v>685</c:v>
                </c:pt>
                <c:pt idx="8">
                  <c:v>0</c:v>
                </c:pt>
                <c:pt idx="9">
                  <c:v>75790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327</c:v>
                </c:pt>
                <c:pt idx="1">
                  <c:v>342</c:v>
                </c:pt>
                <c:pt idx="2">
                  <c:v>380</c:v>
                </c:pt>
                <c:pt idx="3">
                  <c:v>423</c:v>
                </c:pt>
                <c:pt idx="4">
                  <c:v>588</c:v>
                </c:pt>
                <c:pt idx="5">
                  <c:v>920</c:v>
                </c:pt>
                <c:pt idx="6">
                  <c:v>1320</c:v>
                </c:pt>
                <c:pt idx="7">
                  <c:v>1424</c:v>
                </c:pt>
                <c:pt idx="8">
                  <c:v>1533</c:v>
                </c:pt>
                <c:pt idx="9">
                  <c:v>1683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1559</c:v>
                </c:pt>
                <c:pt idx="2">
                  <c:v>4161</c:v>
                </c:pt>
                <c:pt idx="3">
                  <c:v>4888</c:v>
                </c:pt>
                <c:pt idx="4">
                  <c:v>5031</c:v>
                </c:pt>
                <c:pt idx="5">
                  <c:v>17841</c:v>
                </c:pt>
                <c:pt idx="6">
                  <c:v>20313</c:v>
                </c:pt>
                <c:pt idx="7">
                  <c:v>13997</c:v>
                </c:pt>
                <c:pt idx="8">
                  <c:v>3347</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Independiente</c:v>
                </c:pt>
                <c:pt idx="2">
                  <c:v>Dominical</c:v>
                </c:pt>
              </c:strCache>
            </c:strRef>
          </c:cat>
          <c:val>
            <c:numRef>
              <c:f>Hoja1!$B$2:$B$4</c:f>
              <c:numCache>
                <c:formatCode>0</c:formatCode>
                <c:ptCount val="3"/>
                <c:pt idx="0">
                  <c:v>1</c:v>
                </c:pt>
                <c:pt idx="1">
                  <c:v>5</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Ernst Göhner Stiftung (Suiza)</c:v>
                </c:pt>
                <c:pt idx="1">
                  <c:v>Agility Global PLC (grupo Agility, Kuwait)</c:v>
                </c:pt>
                <c:pt idx="2">
                  <c:v>Capital Group Companies (EE. UU.)</c:v>
                </c:pt>
                <c:pt idx="3">
                  <c:v>BlackRock, Inc. (EE. UU.)</c:v>
                </c:pt>
                <c:pt idx="4">
                  <c:v>Autocartera</c:v>
                </c:pt>
              </c:strCache>
            </c:strRef>
          </c:cat>
          <c:val>
            <c:numRef>
              <c:f>Hoja1!$B$2:$B$6</c:f>
              <c:numCache>
                <c:formatCode>0.0"%"</c:formatCode>
                <c:ptCount val="5"/>
                <c:pt idx="0">
                  <c:v>9.7</c:v>
                </c:pt>
                <c:pt idx="1">
                  <c:v>8.03</c:v>
                </c:pt>
                <c:pt idx="2">
                  <c:v>5.1</c:v>
                </c:pt>
                <c:pt idx="4">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16.4</c:v>
                </c:pt>
                <c:pt idx="1">
                  <c:v>56.3</c:v>
                </c:pt>
                <c:pt idx="2">
                  <c:v>-11.8</c:v>
                </c:pt>
                <c:pt idx="3">
                  <c:v>79.6</c:v>
                </c:pt>
                <c:pt idx="4">
                  <c:v>33.4</c:v>
                </c:pt>
                <c:pt idx="5">
                  <c:v>50.3</c:v>
                </c:pt>
                <c:pt idx="6">
                  <c:v>-27.9</c:v>
                </c:pt>
                <c:pt idx="7">
                  <c:v>8.7</c:v>
                </c:pt>
                <c:pt idx="8">
                  <c:v>29.8</c:v>
                </c:pt>
                <c:pt idx="9">
                  <c:v>6.1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c:v>
                </c:pt>
                <c:pt idx="1">
                  <c:v>10.7</c:v>
                </c:pt>
                <c:pt idx="2">
                  <c:v>-11</c:v>
                </c:pt>
                <c:pt idx="3">
                  <c:v>28.4</c:v>
                </c:pt>
                <c:pt idx="4">
                  <c:v>-1.8</c:v>
                </c:pt>
                <c:pt idx="5">
                  <c:v>24.6</c:v>
                </c:pt>
                <c:pt idx="6">
                  <c:v>-10.3</c:v>
                </c:pt>
                <c:pt idx="7">
                  <c:v>15.5</c:v>
                </c:pt>
                <c:pt idx="8">
                  <c:v>8.5</c:v>
                </c:pt>
                <c:pt idx="9">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1">
                  <c:v>17.3</c:v>
                </c:pt>
                <c:pt idx="2">
                  <c:v>13.8</c:v>
                </c:pt>
                <c:pt idx="4">
                  <c:v>18.6</c:v>
                </c:pt>
                <c:pt idx="5">
                  <c:v>18.8</c:v>
                </c:pt>
                <c:pt idx="6">
                  <c:v>9.3</c:v>
                </c:pt>
                <c:pt idx="7">
                  <c:v>12.6</c:v>
                </c:pt>
                <c:pt idx="8">
                  <c:v>15.1</c:v>
                </c:pt>
                <c:pt idx="9">
                  <c:v>16.5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15.8</c:v>
                </c:pt>
                <c:pt idx="1">
                  <c:v>15.8</c:v>
                </c:pt>
                <c:pt idx="2">
                  <c:v>15.8</c:v>
                </c:pt>
                <c:pt idx="3">
                  <c:v>15.8</c:v>
                </c:pt>
                <c:pt idx="4">
                  <c:v>15.8</c:v>
                </c:pt>
                <c:pt idx="5">
                  <c:v>15.8</c:v>
                </c:pt>
                <c:pt idx="6">
                  <c:v>15.8</c:v>
                </c:pt>
                <c:pt idx="7">
                  <c:v>15.8</c:v>
                </c:pt>
                <c:pt idx="8">
                  <c:v>15.8</c:v>
                </c:pt>
                <c:pt idx="9">
                  <c:v>15.8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DSV</c:v>
                </c:pt>
                <c:pt idx="1">
                  <c:v>Kuehne+Nagel</c:v>
                </c:pt>
                <c:pt idx="2">
                  <c:v>DHL Group</c:v>
                </c:pt>
                <c:pt idx="3">
                  <c:v>Expeditors</c:v>
                </c:pt>
                <c:pt idx="4">
                  <c:v>C.H. Robinson</c:v>
                </c:pt>
                <c:pt idx="5">
                  <c:v>GXO Logistics</c:v>
                </c:pt>
                <c:pt idx="6">
                  <c:v>NX Holdings (Nippon Express)</c:v>
                </c:pt>
                <c:pt idx="7">
                  <c:v>ID Logistics</c:v>
                </c:pt>
              </c:strCache>
            </c:strRef>
          </c:cat>
          <c:val>
            <c:numRef>
              <c:f>Hoja1!$B$2:$B$9</c:f>
              <c:numCache>
                <c:formatCode>0.0"x"</c:formatCode>
                <c:ptCount val="8"/>
                <c:pt idx="0">
                  <c:v>9.9</c:v>
                </c:pt>
                <c:pt idx="1">
                  <c:v>12.3</c:v>
                </c:pt>
                <c:pt idx="2">
                  <c:v>7</c:v>
                </c:pt>
                <c:pt idx="3">
                  <c:v>17.8</c:v>
                </c:pt>
                <c:pt idx="4">
                  <c:v>14.1</c:v>
                </c:pt>
                <c:pt idx="5">
                  <c:v>7.2</c:v>
                </c:pt>
                <c:pt idx="6">
                  <c:v>5.6</c:v>
                </c:pt>
                <c:pt idx="7">
                  <c:v>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DSV</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2.9</c:v>
                </c:pt>
              </c:numCache>
            </c:numRef>
          </c:xVal>
          <c:yVal>
            <c:numRef>
              <c:f>Hoja1!$C$2</c:f>
              <c:numCache>
                <c:formatCode>0.0"x"</c:formatCode>
                <c:ptCount val="1"/>
                <c:pt idx="0">
                  <c:v>9.9</c:v>
                </c:pt>
              </c:numCache>
            </c:numRef>
          </c:yVal>
          <c:smooth val="0"/>
        </c:ser>
        <c:ser>
          <c:idx val="1"/>
          <c:order val="1"/>
          <c:tx>
            <c:strRef>
              <c:f>Hoja1!$A$3</c:f>
              <c:strCache>
                <c:ptCount val="1"/>
                <c:pt idx="0">
                  <c:v>Kuehne+Nagel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2.9</c:v>
                </c:pt>
              </c:numCache>
            </c:numRef>
          </c:xVal>
          <c:yVal>
            <c:numRef>
              <c:f>Hoja1!$C$3</c:f>
              <c:numCache>
                <c:formatCode>0.0"x"</c:formatCode>
                <c:ptCount val="1"/>
                <c:pt idx="0">
                  <c:v>12.3</c:v>
                </c:pt>
              </c:numCache>
            </c:numRef>
          </c:yVal>
          <c:smooth val="0"/>
        </c:ser>
        <c:ser>
          <c:idx val="2"/>
          <c:order val="2"/>
          <c:tx>
            <c:strRef>
              <c:f>Hoja1!$A$4</c:f>
              <c:strCache>
                <c:ptCount val="1"/>
                <c:pt idx="0">
                  <c:v>DHL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4.2</c:v>
                </c:pt>
              </c:numCache>
            </c:numRef>
          </c:xVal>
          <c:yVal>
            <c:numRef>
              <c:f>Hoja1!$C$4</c:f>
              <c:numCache>
                <c:formatCode>0.0"x"</c:formatCode>
                <c:ptCount val="1"/>
                <c:pt idx="0">
                  <c:v>7</c:v>
                </c:pt>
              </c:numCache>
            </c:numRef>
          </c:yVal>
          <c:smooth val="0"/>
        </c:ser>
        <c:ser>
          <c:idx val="3"/>
          <c:order val="3"/>
          <c:tx>
            <c:strRef>
              <c:f>Hoja1!$A$5</c:f>
              <c:strCache>
                <c:ptCount val="1"/>
                <c:pt idx="0">
                  <c:v>Expeditors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c:v>
                </c:pt>
              </c:numCache>
            </c:numRef>
          </c:xVal>
          <c:yVal>
            <c:numRef>
              <c:f>Hoja1!$C$5</c:f>
              <c:numCache>
                <c:formatCode>0.0"x"</c:formatCode>
                <c:ptCount val="1"/>
                <c:pt idx="0">
                  <c:v>17.8</c:v>
                </c:pt>
              </c:numCache>
            </c:numRef>
          </c:yVal>
          <c:smooth val="0"/>
        </c:ser>
        <c:ser>
          <c:idx val="4"/>
          <c:order val="4"/>
          <c:tx>
            <c:strRef>
              <c:f>Hoja1!$A$6</c:f>
              <c:strCache>
                <c:ptCount val="1"/>
                <c:pt idx="0">
                  <c:v>C.H. Robinson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9.2</c:v>
                </c:pt>
              </c:numCache>
            </c:numRef>
          </c:xVal>
          <c:yVal>
            <c:numRef>
              <c:f>Hoja1!$C$6</c:f>
              <c:numCache>
                <c:formatCode>0.0"x"</c:formatCode>
                <c:ptCount val="1"/>
                <c:pt idx="0">
                  <c:v>14.1</c:v>
                </c:pt>
              </c:numCache>
            </c:numRef>
          </c:yVal>
          <c:smooth val="0"/>
        </c:ser>
        <c:ser>
          <c:idx val="5"/>
          <c:order val="5"/>
          <c:tx>
            <c:strRef>
              <c:f>Hoja1!$A$7</c:f>
              <c:strCache>
                <c:ptCount val="1"/>
                <c:pt idx="0">
                  <c:v>GXO Logistics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5.6</c:v>
                </c:pt>
              </c:numCache>
            </c:numRef>
          </c:xVal>
          <c:yVal>
            <c:numRef>
              <c:f>Hoja1!$C$7</c:f>
              <c:numCache>
                <c:formatCode>0.0"x"</c:formatCode>
                <c:ptCount val="1"/>
                <c:pt idx="0">
                  <c:v>7.2</c:v>
                </c:pt>
              </c:numCache>
            </c:numRef>
          </c:yVal>
          <c:smooth val="0"/>
        </c:ser>
        <c:ser>
          <c:idx val="6"/>
          <c:order val="6"/>
          <c:tx>
            <c:strRef>
              <c:f>Hoja1!$A$8</c:f>
              <c:strCache>
                <c:ptCount val="1"/>
                <c:pt idx="0">
                  <c:v>NX Holdings (Nippon Express)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5.5</c:v>
                </c:pt>
              </c:numCache>
            </c:numRef>
          </c:xVal>
          <c:yVal>
            <c:numRef>
              <c:f>Hoja1!$C$8</c:f>
              <c:numCache>
                <c:formatCode>0.0"x"</c:formatCode>
                <c:ptCount val="1"/>
                <c:pt idx="0">
                  <c:v>5.6</c:v>
                </c:pt>
              </c:numCache>
            </c:numRef>
          </c:yVal>
          <c:smooth val="0"/>
        </c:ser>
        <c:ser>
          <c:idx val="7"/>
          <c:order val="7"/>
          <c:tx>
            <c:strRef>
              <c:f>Hoja1!$A$9</c:f>
              <c:strCache>
                <c:ptCount val="1"/>
                <c:pt idx="0">
                  <c:v>ID Logistics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12.5</c:v>
                </c:pt>
              </c:numCache>
            </c:numRef>
          </c:xVal>
          <c:yVal>
            <c:numRef>
              <c:f>Hoja1!$C$9</c:f>
              <c:numCache>
                <c:formatCode>0.0"x"</c:formatCode>
                <c:ptCount val="1"/>
                <c:pt idx="0">
                  <c:v>4.9</c:v>
                </c:pt>
              </c:numCache>
            </c:numRef>
          </c:yVal>
          <c:smooth val="0"/>
        </c:ser>
        <c:axId val="10"/>
        <c:axId val="20"/>
      </c:scatterChart>
      <c:valAx>
        <c:axId val="10"/>
        <c:scaling>
          <c:orientation val="minMax"/>
          <c:max val="1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(DKK,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11587</c:v>
                </c:pt>
                <c:pt idx="1">
                  <c:v>18919</c:v>
                </c:pt>
                <c:pt idx="2">
                  <c:v>20922</c:v>
                </c:pt>
                <c:pt idx="3">
                  <c:v>23098</c:v>
                </c:pt>
                <c:pt idx="4">
                  <c:v>25080</c:v>
                </c:pt>
                <c:pt idx="5">
                  <c:v>26795</c:v>
                </c:pt>
                <c:pt idx="6">
                  <c:v>27733</c:v>
                </c:pt>
                <c:pt idx="7">
                  <c:v>28714</c:v>
                </c:pt>
                <c:pt idx="8">
                  <c:v>29576</c:v>
                </c:pt>
                <c:pt idx="9">
                  <c:v>30475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(DKK,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159577</c:v>
                </c:pt>
                <c:pt idx="1">
                  <c:v>245645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(DKK) · precio actual 1.211,50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791.72</c:v>
                </c:pt>
                <c:pt idx="1">
                  <c:v>1317.93</c:v>
                </c:pt>
                <c:pt idx="2">
                  <c:v>1661.57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1.211,50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(1.130,50 – 1.913,50)</c:v>
                </c:pt>
                <c:pt idx="1">
                  <c:v>Precio objetivo de los analistas (1.250,00 – 2.300,00)</c:v>
                </c:pt>
                <c:pt idx="2">
                  <c:v>Comparables: EV/EBITDA NTM (631,07 – 1.734,38)</c:v>
                </c:pt>
                <c:pt idx="3">
                  <c:v>Comparables: PER NTM (1.225,65 – 1.738,13)</c:v>
                </c:pt>
                <c:pt idx="4">
                  <c:v>DCF (WACC y g ± 0,5) (1.118,49 – 1.593,99)</c:v>
                </c:pt>
                <c:pt idx="5">
                  <c:v>Escenarios (bajista – alcista) (791,72 – 1.661,57)</c:v>
                </c:pt>
                <c:pt idx="6">
                  <c:v>DCF con la prima implícita del mercado (4,2 %)</c:v>
                </c:pt>
                <c:pt idx="7">
                  <c:v>Precio actual (1.211,50)</c:v>
                </c:pt>
              </c:strCache>
            </c:strRef>
          </c:cat>
          <c:val>
            <c:numRef>
              <c:f>Hoja1!$B$2:$B$9</c:f>
              <c:numCache>
                <c:formatCode>#,##0</c:formatCode>
                <c:ptCount val="8"/>
                <c:pt idx="0">
                  <c:v>1130.5</c:v>
                </c:pt>
                <c:pt idx="1">
                  <c:v>1250</c:v>
                </c:pt>
                <c:pt idx="2">
                  <c:v>631.07</c:v>
                </c:pt>
                <c:pt idx="3">
                  <c:v>1225.65</c:v>
                </c:pt>
                <c:pt idx="4">
                  <c:v>1118.49</c:v>
                </c:pt>
                <c:pt idx="5">
                  <c:v>791.72</c:v>
                </c:pt>
                <c:pt idx="6">
                  <c:v>1531.93</c:v>
                </c:pt>
                <c:pt idx="7">
                  <c:v>1205.44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(1.130,50 – 1.913,50)</c:v>
                </c:pt>
                <c:pt idx="1">
                  <c:v>Precio objetivo de los analistas (1.250,00 – 2.300,00)</c:v>
                </c:pt>
                <c:pt idx="2">
                  <c:v>Comparables: EV/EBITDA NTM (631,07 – 1.734,38)</c:v>
                </c:pt>
                <c:pt idx="3">
                  <c:v>Comparables: PER NTM (1.225,65 – 1.738,13)</c:v>
                </c:pt>
                <c:pt idx="4">
                  <c:v>DCF (WACC y g ± 0,5) (1.118,49 – 1.593,99)</c:v>
                </c:pt>
                <c:pt idx="5">
                  <c:v>Escenarios (bajista – alcista) (791,72 – 1.661,57)</c:v>
                </c:pt>
                <c:pt idx="6">
                  <c:v>DCF con la prima implícita del mercado (4,2 %)</c:v>
                </c:pt>
                <c:pt idx="7">
                  <c:v>Precio actual (1.211,50)</c:v>
                </c:pt>
              </c:strCache>
            </c:strRef>
          </c:cat>
          <c:val>
            <c:numRef>
              <c:f>Hoja1!$C$2:$C$9</c:f>
              <c:numCache>
                <c:formatCode>#,##0</c:formatCode>
                <c:ptCount val="8"/>
                <c:pt idx="0">
                  <c:v>783</c:v>
                </c:pt>
                <c:pt idx="1">
                  <c:v>1050</c:v>
                </c:pt>
                <c:pt idx="2">
                  <c:v>1103.31</c:v>
                </c:pt>
                <c:pt idx="3">
                  <c:v>512.48</c:v>
                </c:pt>
                <c:pt idx="4">
                  <c:v>475.5</c:v>
                </c:pt>
                <c:pt idx="5">
                  <c:v>869.8499999999999</c:v>
                </c:pt>
                <c:pt idx="6">
                  <c:v>441.54999999999995</c:v>
                </c:pt>
                <c:pt idx="7">
                  <c:v>12.11999999999989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