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EssilorLuxottica Société anonyme</w:t>
      </w:r>
    </w:p>
    <w:p>
      <w:pPr>
        <w:spacing w:after="60"/>
        <w:rPr>
          <w:color w:val="52514E"/>
          <w:sz w:val="22"/>
          <w:szCs w:val="22"/>
        </w:rPr>
      </w:pPr>
      <w:r>
        <w:rPr>
          <w:color w:val="52514E"/>
          <w:sz w:val="22"/>
          <w:szCs w:val="22"/>
        </w:rPr>
        <w:t xml:space="preserve">EL · Euronext París · ISIN FR0000121667 · Salud</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19 oct 2026</w:t>
      </w:r>
      <w:r>
        <w:rPr>
          <w:color w:val="52514E"/>
          <w:sz w:val="18"/>
          <w:szCs w:val="18"/>
        </w:rPr>
        <w:t xml:space="preserve"> · Divisa: </w:t>
      </w:r>
      <w:r>
        <w:rPr>
          <w:b/>
          <w:bCs/>
          <w:color w:val="52514E"/>
          <w:sz w:val="18"/>
          <w:szCs w:val="18"/>
        </w:rPr>
        <w:t xml:space="preserve">EUR</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152,05 EUR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178,13 EUR</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+19,8 % (base +20,2 %)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129,85 EUR · mercado 170,17</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Baja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69.700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11,0x</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2,0x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EssilorLuxottica Société anonyme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EL / FR0000121667</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Euronext París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CAC 40 / Euro Stoxx 50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Salud / Equipos y suministros sanitarios (óptica)</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Charenton-le-Pont (París) · 2018</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www.essilorluxottica.com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152,05 (19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138,30 – 323,80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458,4</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62,0 %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69.700 M EUR</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85.242 M EUR</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 oct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Baja · Objetivo a 12 meses </w:t>
      </w:r>
      <w:r>
        <w:rPr>
          <w:b/>
          <w:bCs/>
        </w:rPr>
        <w:t xml:space="preserve">178,13 EUR</w:t>
      </w:r>
      <w:r>
        <w:t xml:space="preserve"> frente a 152,05 · Rentabilidad a 12 meses </w:t>
      </w:r>
      <w:r>
        <w:rPr>
          <w:b/>
          <w:bCs/>
        </w:rPr>
        <w:t xml:space="preserve">+19,8 % (base +20,2 %)</w:t>
      </w:r>
      <w:r>
        <w:t xml:space="preserve"> · Valor intrínseco 129,85 EUR · con la prima implícita del mercado: 170,17 (+11,9 %) · Alcista / bajista +3,4 % / -41,3 %</w:t>
      </w:r>
    </w:p>
    <w:p>
      <w:pPr>
        <w:spacing w:after="100"/>
      </w:pPr>
      <w:r>
        <w:rPr>
          <w:b/>
        </w:rPr>
        <w:t xml:space="preserve">La recomendación y por qué.</w:t>
      </w:r>
      <w:r>
        <w:t xml:space="preserve"> Mantener, con convicción baja. Con nuestro BPA ajustado y la regla común de múltiplos, el objetivo a 12 meses es de 178,13 EUR frente a 152,05 EUR de cierre del 19 de octubre: +19,8 % con el dividendo, y +20,2 % en el caso base. Pasa los umbrales a 12 meses, pero no la tercera condición de compra: el valor intrínseco (129,85 EUR, DCF 60 % y escenarios 40 %) está un 14,6 % por debajo del precio. La señal tampoco aguanta las pruebas: con un BPA un 10 % menor la rentabilidad ponderada cae a un 6-7 %, y con la regla v2 al 7,6 %. Y no pasa nuestro filtro de calidad: el ROIC con el fondo de comercio (5,4 %) está 2,4 puntos por debajo del WACC (7,84 %). Las reglas del valor intrínseco discrepan: con nuestro WACC sale Vender; con la prima implícita del mercado (4,2 %), Mantener (170,17 EUR, +11,9 %). La convicción es baja porque la distancia entre el DCF y el precio depende sobre todo de la tasa de descuento y no de nuestras cifras, que coinciden con el consenso; la convicción subiría con un 3T y una guía de 2027 que muestren el margen creciendo más que las ventas, y bajaría con nuevos recortes o con ventas de acciones de Delfin.</w:t>
      </w:r>
    </w:p>
    <w:p>
      <w:pPr>
        <w:spacing w:after="100"/>
      </w:pPr>
      <w:r>
        <w:rPr>
          <w:b/>
        </w:rPr>
        <w:t xml:space="preserve">El negocio.</w:t>
      </w:r>
      <w:r>
        <w:t xml:space="preserve"> Primer grupo mundial de óptica: lentes (Varilux, Transitions, Stellest), monturas (Ray-Ban, Oakley), 19.686 tiendas propias y gafas con IA con Meta; 28.491 M EUR de ventas en 2025 (+11,2 % a tipo constante) y 2.796 M de flujo libre [1]. El foso en lentes es amplio y la proyección es sostenible (veredicto: Sí): pedimos un 4,7 % anual, por debajo del 6-11 % orgánico de 2024-2026.</w:t>
      </w:r>
    </w:p>
    <w:p>
      <w:pPr>
        <w:spacing w:after="100"/>
      </w:pPr>
      <w:r>
        <w:rPr>
          <w:b/>
        </w:rPr>
        <w:t xml:space="preserve">Finanzas.</w:t>
      </w:r>
      <w:r>
        <w:t xml:space="preserve"> En el 1S26, ventas +9,7 % a tipo constante (+5,7 % publicado), margen operativo ajustado del 18,6 % (18,1 % un año antes) y beneficio neto ajustado de 1.921 M (+6,8 %) [2]. Deuda neta con arrendamientos de 13.385 M EUR, 2,0 veces el EBITDA [2].</w:t>
      </w:r>
    </w:p>
    <w:p>
      <w:pPr>
        <w:spacing w:after="100"/>
      </w:pPr>
      <w:r>
        <w:rPr>
          <w:b/>
        </w:rPr>
        <w:t xml:space="preserve">Equipo y gobierno.</w:t>
      </w:r>
      <w:r>
        <w:t xml:space="preserve"> Resta. Delfin (32,4 %) controla la junta y vive una reorganización entre herederos; Leonardo Maria Del Vecchio dejó sus cargos el 25-ago y el consejo reafirmó su confianza en Milleri, que concentra presidencia y dirección y preside Delfin [14, 15]. A favor: Delfin y consejeros compraron acciones a 146-175 EUR en 2026 [27].</w:t>
      </w:r>
    </w:p>
    <w:p>
      <w:pPr>
        <w:spacing w:after="100"/>
      </w:pPr>
      <w:r>
        <w:rPr>
          <w:b/>
        </w:rPr>
        <w:t xml:space="preserve">Valoración.</w:t>
      </w:r>
      <w:r>
        <w:t xml:space="preserve"> A 152,05 EUR el DCF inverso descuenta un crecimiento del 6,4 % anual en 2027-2035 con nuestro margen, frente a nuestro 4,6 %, o una rentabilidad del 7,3 %, algo por debajo de nuestro WACC. Cotiza a 19,1 veces nuestro BPA ajustado de 2027e (mínimo de cinco años; mediana adelantada de 28,5 veces) y a 12,5 veces el EBITDA, por debajo de sus comparables (15,2x) por su menor ROIC. Nuestro BPA coincide con el consenso; el objetivo medio de los analistas (221,43 EUR) implica un múltiplo mayor.</w:t>
      </w:r>
    </w:p>
    <w:p>
      <w:pPr>
        <w:spacing w:after="100"/>
      </w:pPr>
      <w:r>
        <w:rPr>
          <w:b/>
        </w:rPr>
        <w:t xml:space="preserve">Riesgos y catalizadores.</w:t>
      </w:r>
      <w:r>
        <w:t xml:space="preserve"> El mayor riesgo es que las gafas con IA se estanquen frente a Google, Samsung y Apple (bajista del DCF −41,3 %); el segundo, el gobierno y una posible venta de acciones si la reorganización de Delfin la necesitara. La IA es a la vez la oportunidad y la amenaza (exposición media). Catalizadores: ventas del 3T el 20-oct y resultados de 2026 en febrero. El precio y las noticias no cambian la decisión (regla 13: no cambia).</w:t>
      </w:r>
    </w:p>
    <w:p>
      <w:pPr>
        <w:spacing w:after="100"/>
      </w:pPr>
      <w:r>
        <w:rPr>
          <w:b/>
        </w:rPr>
        <w:t xml:space="preserve">Qué cambiaría la decisión.</w:t>
      </w:r>
      <w:r>
        <w:t xml:space="preserve"> Compraríamos por debajo de 129,85 EUR (valor intrínseco), aunque seguiría sin pasar el filtro de calidad, o si el margen operativo ajustado vuelve a crecer claramente más que las ventas; venderíamos por encima de 202,37 EUR o si una colocación de Delfin o la salida de Milleri cambian el gobierno sin sucesor claro.</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Mantener</w:t>
      </w:r>
      <w:r>
        <w:t xml:space="preserve"> · Convicción: Baja · Horizonte: 12 meses · Objetivo a 12 meses: </w:t>
      </w:r>
      <w:r>
        <w:rPr>
          <w:b/>
          <w:bCs/>
        </w:rPr>
        <w:t xml:space="preserve">178,13 EUR</w:t>
      </w:r>
      <w:r>
        <w:t xml:space="preserve"> (rentabilidad +19,8 % (base +20,2 %)) · Valor intrínseco: 129,85 EUR (-14,6 % sobre 152,05) · con la prima implícita del mercado: 170,17 (+11,9 %)</w:t>
      </w:r>
    </w:p>
    <w:p>
      <w:pPr>
        <w:spacing w:after="100"/>
      </w:pPr>
      <w:r>
        <w:t xml:space="preserve">EssilorLuxottica es el líder mundial de la óptica: fabrica las lentes de gama alta, posee las marcas de monturas más vendidas y controla el canal minorista en Norteamérica y Europa, con 28.491 M EUR de ventas y 2.796 M de flujo libre en 2025 [1]. Sus motores (envejecimiento, miopía infantil y gafas con IA con Meta) le dieron en 2025 su primer año de crecimiento de dos dígitos.</w:t>
      </w:r>
    </w:p>
    <w:p>
      <w:pPr>
        <w:spacing w:after="100"/>
      </w:pPr>
      <w:r>
        <w:t xml:space="preserve">El precio, 152,05 EUR (un 53 % por debajo del máximo de noviembre de 2025), equivale a 19,1 veces nuestro BPA ajustado de 2027e, el múltiplo más bajo en cinco años. El mercado ha pasado de pagar las gafas con IA como una opción tecnológica a tratarlas como un riesgo, y la disputa en Delfin añade un descuento de gobierno.</w:t>
      </w:r>
    </w:p>
    <w:p>
      <w:pPr>
        <w:spacing w:after="100"/>
      </w:pPr>
      <w:r>
        <w:t xml:space="preserve">Para invertir hay que creer que el múltiplo deja de bajar y que el margen operativo ajustado sigue subiendo; eso da un +20 % a 12 meses. Pero con un coste del capital del 7,8 % los flujos valen 130 EUR, y el capital invertido, cargado de fondo de comercio, rinde menos que lo que cuesta: es una buena empresa a un precio que no deja margen.</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2028e, ponderado 30/50/20)</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178,13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16,8x × 7,28 = 122,30 · 21,0x × 8,51 = 178,71 · 28,4x × 9,17 = 260,43</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19,8 % / 20,2 %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v3: base a mitad de camino hacia la mediana adelantada, sin alejarse del actual más de ×1,1; bajista mín. 5 a (adelantado) o base × 0,80; alcista techo base × 1,35 (selector de método: sin marcas: decide la v3)</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221,43 (nuestro base -19,3 %)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129,85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3,4 % / -41,3 %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0,08x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7,3 % frente a 7,8 % y 6,8 %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6,8 %)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170,17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1,49x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(2027e-2035e)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6,4 % frente a 5,5 %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 (4,7 %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(las reglas discrepan (absoluta Vender, relativa Mantener))</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Baja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129,85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129,85 y 202,37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202,37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Si el precio baja de 129,85 EUR, el valor intrínseco dejaría de estar por debajo del precio (Comprar a 12 meses, sin pasar el filtro de calidad).</w:t>
      </w:r>
    </w:p>
    <w:p>
      <w:pPr>
        <w:pStyle w:val="ListParagraph"/>
        <w:numPr>
          <w:ilvl w:val="0"/>
          <w:numId w:val="2"/>
        </w:numPr>
        <w:spacing w:after="60"/>
      </w:pPr>
      <w:r>
        <w:t xml:space="preserve">Si el precio supera 202,37 EUR, Vender.</w:t>
      </w:r>
    </w:p>
    <w:p>
      <w:pPr>
        <w:pStyle w:val="ListParagraph"/>
        <w:numPr>
          <w:ilvl w:val="0"/>
          <w:numId w:val="2"/>
        </w:numPr>
        <w:spacing w:after="60"/>
      </w:pPr>
      <w:r>
        <w:t xml:space="preserve">Si las ventas del 3T crecen menos de un 6 % a tipo constante, bajaríamos el base.</w:t>
      </w:r>
    </w:p>
    <w:p>
      <w:pPr>
        <w:pStyle w:val="ListParagraph"/>
        <w:numPr>
          <w:ilvl w:val="0"/>
          <w:numId w:val="2"/>
        </w:numPr>
        <w:spacing w:after="60"/>
      </w:pPr>
      <w:r>
        <w:t xml:space="preserve">Si Delfin anuncia ventas de acciones de EssilorLuxottica, retrasaríamos cualquier compra hasta la colocación.</w:t>
      </w:r>
    </w:p>
    <w:p>
      <w:pPr>
        <w:pStyle w:val="Heading2"/>
      </w:pPr>
      <w:r>
        <w:t xml:space="preserve">Dónde discrepamos del mercado</w:t>
      </w:r>
    </w:p>
    <w:p>
      <w:pPr>
        <w:keepNext/>
        <w:spacing w:after="100"/>
      </w:pPr>
      <w:r>
        <w:rPr>
          <w:b/>
          <w:bCs/>
        </w:rPr>
        <w:t xml:space="preserve">Lo que descuenta el precio.</w:t>
      </w:r>
    </w:p>
    <w:p>
      <w:pPr>
        <w:spacing w:after="100"/>
      </w:pPr>
      <w:r>
        <w:t xml:space="preserve">Que el crecimiento de 2025 fue un pico de las gafas con IA que no se repetirá y que el gobierno es un riesgo; aun así, el precio pide un 6,4 % de crecimiento anual con nuestro margen.</w:t>
      </w:r>
    </w:p>
    <w:p>
      <w:pPr>
        <w:keepNext/>
        <w:spacing w:after="100"/>
      </w:pPr>
      <w:r>
        <w:rPr>
          <w:b/>
          <w:bCs/>
        </w:rPr>
        <w:t xml:space="preserve">Lo que creemos nosotros.</w:t>
      </w:r>
    </w:p>
    <w:p>
      <w:pPr>
        <w:spacing w:after="100"/>
      </w:pPr>
      <w:r>
        <w:t xml:space="preserve">El núcleo crece al 5-6 % y el margen se queda cerca del actual, como dice la guía; con eso el valor por flujos está por debajo del precio, aunque a 12 meses el múltiplo deprimido deja recorrido si no hay más recortes.</w:t>
      </w:r>
    </w:p>
    <w:p>
      <w:pPr>
        <w:keepNext/>
        <w:spacing w:after="100"/>
      </w:pPr>
      <w:r>
        <w:rPr>
          <w:b/>
          <w:bCs/>
        </w:rPr>
        <w:t xml:space="preserve">Por qué podemos tener razón.</w:t>
      </w:r>
    </w:p>
    <w:p>
      <w:pPr>
        <w:spacing w:after="100"/>
      </w:pPr>
      <w:r>
        <w:t xml:space="preserve">Nuestro BPA de 2027e coincide con el consenso, pero el DCF inverso pide más crecimiento del que la empresa promete (beneficio operativo «alineado» con las ventas) [1, 33].</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EUR) · precio actual 152,0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133,19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178,44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195,44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124,83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r>
    </w:tbl>
    <w:p>
      <w:pPr>
        <w:spacing w:after="160" w:before="0"/>
      </w:pPr>
    </w:p>
    <w:p>
      <w:pPr>
        <w:pStyle w:val="Heading2"/>
      </w:pPr>
      <w:r>
        <w:t xml:space="preserve">A favor</w:t>
      </w:r>
    </w:p>
    <w:p>
      <w:pPr>
        <w:pStyle w:val="ListParagraph"/>
        <w:numPr>
          <w:ilvl w:val="0"/>
          <w:numId w:val="2"/>
        </w:numPr>
        <w:spacing w:after="60"/>
      </w:pPr>
      <w:r>
        <w:rPr>
          <w:b/>
        </w:rPr>
        <w:t xml:space="preserve">Múltiplo en mínimos</w:t>
      </w:r>
      <w:r>
        <w:t xml:space="preserve">: 19,1 veces el BPA ajustado de 2027e frente a una mediana adelantada de 28,5 veces en 2021-2025.</w:t>
      </w:r>
    </w:p>
    <w:p>
      <w:pPr>
        <w:pStyle w:val="ListParagraph"/>
        <w:numPr>
          <w:ilvl w:val="0"/>
          <w:numId w:val="2"/>
        </w:numPr>
        <w:spacing w:after="60"/>
      </w:pPr>
      <w:r>
        <w:rPr>
          <w:b/>
        </w:rPr>
        <w:t xml:space="preserve">Caja y recompras</w:t>
      </w:r>
      <w:r>
        <w:t xml:space="preserve">: 2.796 M EUR de flujo libre en 2025 y ≈969 M de recompras en el 1S26 [1, 2].</w:t>
      </w:r>
    </w:p>
    <w:p>
      <w:pPr>
        <w:pStyle w:val="ListParagraph"/>
        <w:numPr>
          <w:ilvl w:val="0"/>
          <w:numId w:val="2"/>
        </w:numPr>
        <w:spacing w:after="60"/>
      </w:pPr>
      <w:r>
        <w:rPr>
          <w:b/>
        </w:rPr>
        <w:t xml:space="preserve">El margen ya sube</w:t>
      </w:r>
      <w:r>
        <w:t xml:space="preserve">: margen operativo ajustado del 18,6 % en el 1S26 (+80 pb a tipo constante) [2].</w:t>
      </w:r>
    </w:p>
    <w:p>
      <w:pPr>
        <w:pStyle w:val="ListParagraph"/>
        <w:numPr>
          <w:ilvl w:val="0"/>
          <w:numId w:val="2"/>
        </w:numPr>
        <w:spacing w:after="60"/>
      </w:pPr>
      <w:r>
        <w:rPr>
          <w:b/>
        </w:rPr>
        <w:t xml:space="preserve">Compran los que mejor la conocen</w:t>
      </w:r>
      <w:r>
        <w:t xml:space="preserve">: Delfin ≈587.000 acciones a 164-175 EUR en 2026 [27].</w:t>
      </w:r>
    </w:p>
    <w:p>
      <w:pPr>
        <w:pStyle w:val="ListParagraph"/>
        <w:numPr>
          <w:ilvl w:val="0"/>
          <w:numId w:val="2"/>
        </w:numPr>
        <w:spacing w:after="60"/>
      </w:pPr>
      <w:r>
        <w:rPr>
          <w:b/>
        </w:rPr>
        <w:t xml:space="preserve">Motores estructurales</w:t>
      </w:r>
      <w:r>
        <w:t xml:space="preserve">: control de miopía +24 % en el 2T26 y envejecimiento [2].</w:t>
      </w:r>
    </w:p>
    <w:p>
      <w:pPr>
        <w:pStyle w:val="Heading2"/>
      </w:pPr>
      <w:r>
        <w:t xml:space="preserve">En contra</w:t>
      </w:r>
    </w:p>
    <w:p>
      <w:pPr>
        <w:pStyle w:val="ListParagraph"/>
        <w:numPr>
          <w:ilvl w:val="0"/>
          <w:numId w:val="2"/>
        </w:numPr>
        <w:spacing w:after="60"/>
      </w:pPr>
      <w:r>
        <w:rPr>
          <w:b/>
        </w:rPr>
        <w:t xml:space="preserve">Valor por flujos bajo el precio</w:t>
      </w:r>
      <w:r>
        <w:t xml:space="preserve">: DCF de 133,19 EUR y valor intrínseco de 129,85 con un WACC del 7,84 %.</w:t>
      </w:r>
    </w:p>
    <w:p>
      <w:pPr>
        <w:pStyle w:val="ListParagraph"/>
        <w:numPr>
          <w:ilvl w:val="0"/>
          <w:numId w:val="2"/>
        </w:numPr>
        <w:spacing w:after="60"/>
      </w:pPr>
      <w:r>
        <w:rPr>
          <w:b/>
        </w:rPr>
        <w:t xml:space="preserve">ROIC del 5,4 %</w:t>
      </w:r>
      <w:r>
        <w:t xml:space="preserve">, bajo el WACC, por 40.766 M de fondo de comercio e intangibles [3].</w:t>
      </w:r>
    </w:p>
    <w:p>
      <w:pPr>
        <w:pStyle w:val="ListParagraph"/>
        <w:numPr>
          <w:ilvl w:val="0"/>
          <w:numId w:val="2"/>
        </w:numPr>
        <w:spacing w:after="60"/>
      </w:pPr>
      <w:r>
        <w:rPr>
          <w:b/>
        </w:rPr>
        <w:t xml:space="preserve">Gafas con IA en duda</w:t>
      </w:r>
      <w:r>
        <w:t xml:space="preserve">: Kepler baja su previsión de 2030 de 38 a 15 millones de unidades [21].</w:t>
      </w:r>
    </w:p>
    <w:p>
      <w:pPr>
        <w:pStyle w:val="ListParagraph"/>
        <w:numPr>
          <w:ilvl w:val="0"/>
          <w:numId w:val="2"/>
        </w:numPr>
        <w:spacing w:after="60"/>
      </w:pPr>
      <w:r>
        <w:rPr>
          <w:b/>
        </w:rPr>
        <w:t xml:space="preserve">Gobierno en reorganización</w:t>
      </w:r>
      <w:r>
        <w:t xml:space="preserve">: disputa de herederos en Delfin y presidente investigado en Milán [14, 25].</w:t>
      </w:r>
    </w:p>
    <w:p>
      <w:pPr>
        <w:pStyle w:val="ListParagraph"/>
        <w:numPr>
          <w:ilvl w:val="0"/>
          <w:numId w:val="2"/>
        </w:numPr>
        <w:spacing w:after="60"/>
      </w:pPr>
      <w:r>
        <w:rPr>
          <w:b/>
        </w:rPr>
        <w:t xml:space="preserve">Señal frágil</w:t>
      </w:r>
      <w:r>
        <w:t xml:space="preserve">: con un BPA un 10 % menor la rentabilidad a 12 meses cae por debajo del 7 %.</w:t>
      </w:r>
    </w:p>
    <w:p>
      <w:pPr>
        <w:pStyle w:val="Heading2"/>
      </w:pPr>
      <w:r>
        <w:t xml:space="preserve">Qué tiene que pasar para que la tesis funcione</w:t>
      </w:r>
    </w:p>
    <w:p>
      <w:pPr>
        <w:spacing w:after="100"/>
      </w:pPr>
      <w:r>
        <w:t xml:space="preserve">La tesis depende de que el margen operativo ajustado siga subiendo y de que no haya más recortes de estimaciones. La señal de que no se cumple sería un crecimiento a tipo constante por debajo del 6 % en el 3T o el 4T de 2026 con el margen plano, o una venta de acciones ligada a la reorganización de Delfin.</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tipo constante</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6 % en un trimestre</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del caso central.</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operativo ajustado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18,6 %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Caída interanual</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palanca del valor.</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Gafas con IA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Casi el doble en el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Caída interanual</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Separa base y bajista.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Deuda neta / EBITDA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 (jun-26)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&gt; 2,5x</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Compras o caída del EBITDA.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Participación y pignoraciones de Delfin</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32,4 %; 5 M de acciones pignoradas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Venta o nuevas pignoraciones</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Riesgo de colocación.</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12,5x / 11,0x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28,4x / 19,5x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23,2x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2,91x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(2020-2025)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23,3 %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5,4 %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7,8 %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2,0x · 2,0x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 de 13 (1 sin dato)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Alta</w:t>
      </w:r>
    </w:p>
    <w:p>
      <w:pPr>
        <w:spacing w:after="100"/>
      </w:pPr>
      <w:r>
        <w:t xml:space="preserve">EssilorLuxottica nace el 1-oct-2018 de la fusión entre Essilor (lentes oftálmicas, Francia, fundada en 1849 como cooperativa de ópticos) y Luxottica (monturas y gafas de sol, Italia, fundada en 1961 por Leonardo Del Vecchio) [3]. Delfin, el holding luxemburgués de los ocho herederos de Del Vecchio, es el primer accionista con el 32,4 % del capital [3]. En 2021 compró GrandVision, la mayor cadena óptica europea [18]. Desde 2019 fabrica con Meta gafas inteligentes, y desde 2023 las Ray-Ban Meta con IA, la tercera palanca de crecimiento [3]. En 2024 compró Supreme y el 80 % de Heidelberg Engineering, y en 2026 Top Charoen (Tailandia) [2, 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2018</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Fusión de Essilor y Luxottica.</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GrandVision a HAL [18].</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Muere Leonardo Del Vecchio; Francesco Milleri, presidente y consejero delegado.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Lanzamiento de Ray-Ban Meta con IA.</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Supreme y del 80 % de Heidelberg Engineering [5].</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año con crecimiento de dos dígitos a tipo constante (11,2 %); máximo histórico de la acción (323,80 EUR, 13-nov) [2].</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acción cae más de un 50 % desde el máximo; Leonardo Maria Del Vecchio deja sus cargos en el grupo (25-ago) y el consejo reafirma su confianza en Milleri (9-sep) [14, 15].</w:t>
            </w:r>
          </w:p>
        </w:tc>
      </w:tr>
    </w:tbl>
    <w:p>
      <w:pPr>
        <w:spacing w:after="160" w:before="0"/>
      </w:pPr>
    </w:p>
    <w:p>
      <w:pPr>
        <w:pStyle w:val="Heading1"/>
      </w:pPr>
      <w:r>
        <w:t xml:space="preserve">2. Modelo de negocio</w:t>
      </w:r>
    </w:p>
    <w:p>
      <w:pPr>
        <w:pStyle w:val="Confianza"/>
        <w:spacing w:after="100"/>
      </w:pPr>
      <w:r>
        <w:t xml:space="preserve">Confianza: Alta</w:t>
      </w:r>
    </w:p>
    <w:p>
      <w:pPr>
        <w:spacing w:after="100"/>
      </w:pPr>
      <w:r>
        <w:t xml:space="preserve">EssilorLuxottica diseña, fabrica y vende lentes graduadas (Varilux, Transitions, Stellest), monturas y gafas de sol (Ray-Ban, Oakley y licencias de lujo), equipos de diagnóstico y audífonos en gafas (Nuance Audio). Vende a ópticas y cadenas (Professional Solutions, 13.600 M EUR en 2025) y al público en 19.686 tiendas propias y webs (Direct to Consumer, 14.891 M EUR: Sunglass Hut, LensCrafters, GrandVision, Supreme) [1, 2]. Con Meta fabrica las gafas con inteligencia artificial (Ray-Ban Meta, Oakley Meta), más de 7 millones de unidades en 2025 [1]. Norteamérica es el 44,9 % de las ventas y EMEA el 37,8 % [1].</w:t>
      </w:r>
    </w:p>
    <w:p>
      <w:pPr>
        <w:pStyle w:val="Heading2"/>
      </w:pPr>
      <w:r>
        <w:t xml:space="preserve">Cómo gana dinero</w:t>
      </w:r>
    </w:p>
    <w:p>
      <w:pPr>
        <w:spacing w:after="100"/>
      </w:pPr>
      <w:r>
        <w:t xml:space="preserve">El beneficio sale sobre todo de las lentes graduadas, un producto sanitario de reposición con marca y tecnología propias, y de las marcas de monturas, que el grupo vende con margen de fabricante y, en sus tiendas, con margen minorista: margen bruto del 60,6 % en 2025 y del 63,5 % en el 1S26 [1, 2]. El margen operativo ajustado fue del 15,7 % en 2025 (16,0 % a tipo constante, 70 pb menos que en 2024 por los aranceles de EE. UU. y la mezcla de gafas con IA) y del 18,6 % en el 1S26 (18,1 % en el 1S25; +80 pb a tipo constante), el semestre fuerte [1, 2]. La diferencia entre el beneficio publicado (2.315 M EUR en 2025) y el ajustado (3.157 M) es sobre todo la amortización de los intangibles reconocidos en la fusión de 2018 y en las compras (830 M antes de impuestos), que no es caja [1].</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78"/>
        <w:gridCol w:w="1320"/>
        <w:gridCol w:w="1320"/>
        <w:gridCol w:w="1320"/>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Professional Solutions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13.600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47,7 %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 to Consumer</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14.891</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52,3 %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427"/>
        <w:gridCol w:w="1302"/>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2022</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2023</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Professional Solutions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11.770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12.199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12.547</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13.600</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 to Consumer</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12.724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13.195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13.960</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14.891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destino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Base muy atomizada: cientos de miles de ópticas independientes y cadenas en Professional Solutions y consumidores finales en Direct to Consumer; ningún cliente es relevante en las cuentas [3]. El riesgo de concentración está en un socio, no en un cliente: Meta diseña la plataforma de las gafas con IA, que el grupo fabrica y distribuye, y tiene una participación minoritaria en el capital [3]. El poder de precio se ve en la mezcla: el crecimiento a tipo constante del 11,2 % de 2025 y del 9,7 % del 1S26 combina volumen (gafas con IA, control de miopía +24 % en el 2T26) con precio y mezcla en lentes de gama alta [1, 2].</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tipo constante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+11,2 % (2025); +9,7 % (1S26: 1T +10,8 %, 2T +8,7 %)</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Acelera y se modera</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4T25 (+18,4 %) es la base de comparación más dura [1, 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operativo ajustado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16,7 % (2024, tipo constante)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15,7 % (2025); 18,6 % (1S26, frente a 18,1 %)</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pb y +80 pb a tipo constante</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Aranceles y mezcla en 2025; recuperación en 2026 [1, 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Gafas con IA</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 millones de unidades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más de 7 millones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Casi se duplicaron en el 2T26</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Socio Meta [1, 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comparables de tiendas propias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+6,6 % (2025)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 (1S26); +8 % en el 2T26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Mejora</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Control de miopía</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 (2025)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 (2T26)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Acelera</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Stellest y Stellest 2.0 [1, 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Tiendas propias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17.750 (dic-24)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19.686 (jun-26)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+1.936</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Incluye unas 2.000 de Top Charoen (Tailandia) desde abril [2].</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El mercado relevante es el de la óptica mundial (lentes graduadas, monturas, gafas de sol y lentes de contacto, a precio de venta al público), donde EssilorLuxottica está en todos los eslabones: fabricación de lentes, marcas de monturas y venta minorista. Las estimaciones públicas varían según el perímetro: Ken Research da unos 222.000 M USD en 2025 y Global Market Insights unos 161.000 M USD [12, 13]. Usamos el punto medio, unos 190.000 M USD (≈170.000 M EUR), como orden de magnitud: con 28.491 M EUR, el grupo tendría en torno al 17 % del gasto mundial en óptica. Las gafas con IA son una categoría nueva que estas series apenas recogen.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161.000-222.000 M USD en 2025 según la fuente (≈ 170.000 M EUR en el punto medio) [12, 13]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Madurez del ciclo</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5,5 %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Moderadamente concentrada</w:t>
            </w:r>
          </w:p>
        </w:tc>
      </w:tr>
    </w:tbl>
    <w:p>
      <w:pPr>
        <w:spacing w:after="160" w:before="0"/>
      </w:pP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Envejecimiento y presbicia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lentes progresivas (Varilux) son el producto de mayor precio; la población mayor de 50 años crece en todos los mercados desarrollados [3].</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Miopía infantil</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cartera de control de miopía creció un 22 % en 2025 y un 24 % en el 2T26 [2, 3].</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Gafas con IA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de 7 millones de unidades en 2025 y casi el doble en el 2T26, pero con menor margen y con Google, Samsung y Apple en camino [2, 16].</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Aranceles de EE. UU. y dólar</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Unos 300 M EUR de coste en 2025 [26]; el dólar restó 4 puntos al crecimiento del 1S26 (9,7 % a tipo constante, 5,7 % publicado) [2].</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Consumo de lujo y gafas de sol</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Las gafas de sol de licencia de lujo dependen del gasto discrecional [16].</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5" name="Gráfico 5"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Oligopolio en lentes con Hoya (2.º mundial) y Zeiss (privada) [17].</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Ópticas muy atomizadas; las grandes cadenas (Fielmann, Specsavers, National Vision) negocian más [19].</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Materias primas comunes; en gafas con IA depende de la tecnología y la plataforma de Meta.</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Baja en lentes (tecnología, regulación sanitaria); alta en gafas inteligentes (Google con Warby Parker y Gentle Monster, Kering con Google, Samsung, Apple) [16, 20].</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Cirugía refractiva y lentes de contacto, de crecimiento lento frente a las gafas.</w:t>
            </w:r>
          </w:p>
        </w:tc>
      </w:tr>
    </w:tbl>
    <w:p>
      <w:pPr>
        <w:spacing w:after="160" w:before="0"/>
      </w:pPr>
    </w:p>
    <w:p>
      <w:pPr>
        <w:pStyle w:val="Heading2"/>
      </w:pPr>
      <w:r>
        <w:t xml:space="preserve">Ciclo</w:t>
      </w:r>
    </w:p>
    <w:p>
      <w:pPr>
        <w:spacing w:after="100"/>
      </w:pPr>
      <w:r>
        <w:t xml:space="preserve">La óptica graduada es poco cíclica (es un producto sanitario de reposición); las gafas de sol y las marcas de lujo sí lo son. En 2020 las ventas del grupo cayeron un 17 % con el cierre de tiendas y se recuperaron en 2021. Hoy el ciclo lo marcan los aranceles, el consumo discrecional y la adopción de las gafas con IA [2, 16].</w:t>
      </w:r>
    </w:p>
    <w:p>
      <w:pPr>
        <w:pStyle w:val="Heading2"/>
      </w:pPr>
      <w:r>
        <w:t xml:space="preserve">Regulación</w:t>
      </w:r>
    </w:p>
    <w:p>
      <w:pPr>
        <w:spacing w:after="100"/>
      </w:pPr>
      <w:r>
        <w:t xml:space="preserve">Las lentes graduadas son productos sanitarios (en la UE, reglamento de productos sanitarios), lo que exige registro y frena la entrada. En EE. UU., los aranceles a las importaciones de 2025 costaron unos 300 M EUR al grupo según su director financiero, porque fabrica buena parte de las monturas en Italia y China [26]. Las gafas con IA abren un frente de privacidad: la fiscalía de París investiga grabaciones sin consentimiento con gafas inteligentes y la CNIL ha recibido quejas (septiembre de 2026) [21].</w:t>
      </w:r>
    </w:p>
    <w:p>
      <w:pPr>
        <w:pStyle w:val="Heading2"/>
      </w:pPr>
      <w:r>
        <w:t xml:space="preserve">Tendencias y disrupción</w:t>
      </w:r>
    </w:p>
    <w:p>
      <w:pPr>
        <w:spacing w:after="100"/>
      </w:pPr>
      <w:r>
        <w:t xml:space="preserve">Tres tendencias: la tecnología médica (diagnóstico, control de miopía, audición con Nuance Audio), en la que el grupo invierte para salir del comercio de monturas [3]; las gafas inteligentes, donde la alianza con Meta da ventaja pero llegan Google con sus socios, Samsung y probablemente Apple [16, 20]; y la presión de precios en la gama de entrada [16].</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1.º mundial en lentes oftálmicas (por delante de Hoya y Zeiss), en monturas y gafas de sol de marca y en óptica minorista; socio de Meta en gafas con IA [3, 17].</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Amplio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847"/>
        <w:gridCol w:w="953"/>
        <w:gridCol w:w="1059"/>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Hoya</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Japón</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7741</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5.336</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29,1 %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2.º en lentes oftálmicas; gana más con los semiconductores (máscaras) que con la óptica [17, 22].</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Carl Zeiss Vision</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Alemania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3.º en lentes; de la fundación Carl Zeiss, no cotiza.</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Alcon</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Suiza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ALC</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9.266</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Lentes de contacto y cirugía ocular; competidor indirecto en corrección de la visión [23].</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Cooper Companies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COO</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3.646</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Lentes de contacto (CooperVision) y control de miopía (MiSight), rival directo de Stellest [24].</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Fielmann</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Alemania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2.435</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 cadena de Alemania, cliente y rival en minorista [19].</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Safilo</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Italia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SFL</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Monturas y gafas de sol con licencias; perdió licencias de lujo frente a Kering Eyewear y Thélios.</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6" name="Gráfico 6"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7" name="Gráfico 7"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red de ópticas y tiendas propias da distribución a los lanzamientos (Ray-Ban Meta), pero no es un efecto de red en sentido estricto.</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ópticas trabajan con su sistema de pedidos, laboratorio y crédito; el consumidor repite marca de lente.</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Ray-Ban, Oakley, Varilux, Transitions, Stellest; margen bruto del 63,5 % en el 1S26 [4].</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Escala industrial mundial en lentes y monturas.</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28.491 M EUR de ventas, más de cinco veces las de Hoya en total [3, 15].</w:t>
            </w:r>
          </w:p>
        </w:tc>
      </w:tr>
    </w:tbl>
    <w:p>
      <w:pPr>
        <w:spacing w:after="160" w:before="0"/>
      </w:pPr>
    </w:p>
    <w:p>
      <w:pPr>
        <w:pStyle w:val="Heading2"/>
      </w:pPr>
      <w:r>
        <w:t xml:space="preserve">Amenazas</w:t>
      </w:r>
    </w:p>
    <w:p>
      <w:pPr>
        <w:spacing w:after="100"/>
      </w:pPr>
      <w:r>
        <w:t xml:space="preserve">La amenaza principal no está en las lentes sino en las gafas con IA: si Google (con Warby Parker, Gentle Monster y Kering), Samsung o Apple ganan cuota, el grupo pierde el motor de crecimiento que el mercado pagó en 2025 y se queda con un producto de menor margen [16, 20]. Probabilidad media en tres años. Kepler Cheuvreux rebajó en septiembre su previsión de mercado de gafas con IA en 2030 de 38 a 15 millones de unidades [21]. En lentes, la amenaza es más lenta: Hoya y Zeiss en gama alta y los fabricantes asiáticos en la de entrada. La compra de Supreme muestra que el grupo puede dispersarse fuera de su foso.</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14.429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56,7 %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2.607</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19.820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+37,4 %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61,7 %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4.787</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24.494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6.127</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25.395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6.148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3,95</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26.508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63,4 %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6.546</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3.448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3,95</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28.491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6.741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3.628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2.315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24 %</w:t>
            </w:r>
          </w:p>
        </w:tc>
      </w:tr>
    </w:tbl>
    <w:p>
      <w:pPr>
        <w:spacing w:after="160" w:before="0"/>
      </w:pPr>
    </w:p>
    <w:p>
      <w:pPr>
        <w:spacing w:after="100"/>
      </w:pPr>
      <w:r>
        <w:t xml:space="preserve">Crecimiento anual compuesto 2020-2025: ingresos </w:t>
      </w:r>
      <w:r>
        <w:rPr>
          <w:b/>
          <w:bCs/>
        </w:rPr>
        <w:t xml:space="preserve">14,6 %</w:t>
      </w:r>
      <w:r>
        <w:t xml:space="preserve">, EBITDA </w:t>
      </w:r>
      <w:r>
        <w:rPr>
          <w:b/>
          <w:bCs/>
        </w:rPr>
        <w:t xml:space="preserve">20,9 %</w:t>
      </w:r>
      <w:r>
        <w:t xml:space="preserve">, BPA </w:t>
      </w:r>
      <w:r>
        <w:rPr>
          <w:b/>
          <w:bCs/>
        </w:rPr>
        <w:t xml:space="preserve">92,2 %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8" name="Gráfico 8" descr="Ingresos y EBITDA (EUR,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spacing w:after="100"/>
      </w:pPr>
      <w:r>
        <w:t xml:space="preserve">Las ventas pasaron de 14.429 M EUR en 2020 (pandemia) a 28.491 M en 2025, con dos saltos por compras: GrandVision en 2021 y Supreme y Heidelberg en el 4T24 [4, 5]. Sin compras, el grupo crece al 6-11 % a tipo constante (6,0 % en 2024, 11,2 % en 2025, 9,7 % en el 1S26) [1, 2]. El margen EBIT publicado sube del 11,6 % de 2021 al 13,0 % de 2024 y baja al 11,9 % en 2025 por los aranceles de EE. UU., la mezcla de gafas con IA y 249 M de gastos no recurrentes (reestructuración, programa SuperBoost, prima extraordinaria a empleados, honorarios de compras y litigios) [1]. El beneficio neto atribuido se estanca en 2.289-2.359 M EUR desde 2023; el ajustado sube de 2.860 M (2022) a 3.157 M (2025) [1, 6]. En el 1S26 el beneficio neto fue de 1.566 M (BPA de 3,37 EUR frente a 3,00) [2]. Los últimos 12 meses (a junio de 2026) se calculan con el 1S26 y el 1S25.</w:t>
      </w:r>
    </w:p>
    <w:p>
      <w:pPr>
        <w:pStyle w:val="Heading2"/>
      </w:pPr>
      <w:r>
        <w:t xml:space="preserve">Ajustes y partidas no recurrentes</w:t>
      </w:r>
    </w:p>
    <w:p>
      <w:pPr>
        <w:spacing w:after="100"/>
      </w:pPr>
      <w:r>
        <w:t xml:space="preserve">La empresa publica cifras «ajustadas» que excluyen la amortización de los intangibles reconocidos en la fusión de 2018 y en las compras posteriores (830 M EUR antes de impuestos y 647 M después en 2025) y otros gastos no recurrentes (249 M antes de impuestos y 194 M después: reestructuración 63, SuperBoost 70, prima extraordinaria 75, honorarios de compras 12, litigios 15) [1]. Beneficio neto ajustado: 2.860 M (2022), 2.946 M (2023), 3.122 M (2024), 3.157 M (2025) y 1.921 M en el 1S26 (1.799 M en el 1S25; el ajuste del semestre es de 415 M de amortización de compras y 40 M de otros conceptos antes de impuestos) [2]; BPA ajustado de 6,42, 6,54, 6,79 y 6,79 EUR [1, 6, 7]. El beneficio operativo ajustado de 2025 fue de 4.459 M (15,7 %) [1]. Las cuentas de esta nota son las publicadas (NIIF); el objetivo a 12 meses usa el BPA ajustado, el que publica la empresa y miran los analistas, con la historia del PER en la misma base.</w:t>
      </w:r>
    </w:p>
    <w:p>
      <w:pPr>
        <w:pStyle w:val="Heading1"/>
      </w:pPr>
      <w:r>
        <w:t xml:space="preserve">6. Resultados recientes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98"/>
        <w:gridCol w:w="1220"/>
        <w:gridCol w:w="1220"/>
        <w:gridCol w:w="1220"/>
        <w:gridCol w:w="1220"/>
        <w:gridCol w:w="1220"/>
        <w:gridCol w:w="976"/>
        <w:gridCol w:w="1464"/>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orgánico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4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Frente al consenso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1S24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13.293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2S24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13.215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3.089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1S25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3.559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2S25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14.467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1S26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14.818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3.887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26,2 %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3,37</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En línea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0" name="Gráfico 10"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pStyle w:val="Heading2"/>
      </w:pPr>
      <w:r>
        <w:t xml:space="preserve">Lo que dijo la dirección en las últimas presentaciones</w:t>
      </w:r>
    </w:p>
    <w:p>
      <w:pPr>
        <w:spacing w:after="100"/>
      </w:pPr>
      <w:r>
        <w:t xml:space="preserve">La empresa solo publica cuentas por semestre; los trimestres dan ventas (1T25 6.848, 2T25 7.175, 3T25 6.867, 4T25 7.600, 1T26 7.127 y 2T26 7.692 M EUR) [1, 2, 8]. En febrero, con las cuentas de 2025, la dirección sustituyó los objetivos de 2026 (27.000-28.000 M de ventas y margen ajustado del 19-20 %) por una guía a cinco años: «crecimiento sólido» de las ventas y del beneficio operativo ajustado «ampliamente alineado», a tipo constante [1]. En abril (1T26, +10,8 %) la acción cayó por la desaceleración de las gafas con IA [8]. En julio (1S26: +9,7 % a tipo constante, +5,7 % publicado por el dólar; margen ajustado del 18,6 % frente al 18,1 %, +80 pb a tipo constante; flujo libre de 1.067 M) la dirección avisó de una base de comparación más dura en el segundo semestre, después de un 4T25 de +18,4 % [2]. El 2S25 lleva los 249 M de gastos no recurrentes y la mayor parte del coste de los aranceles, por eso su margen EBITDA (20,3 %) es el más bajo de la serie. Las ventas del 3T26 se publican el 20-oct-2026 a las 18:00 [9].</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52.318</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32.689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8.683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9.957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32.268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59.415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41.703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3.293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9.949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9.723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35.064</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60.561</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42.856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3.189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9.022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3.182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10.244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37.455</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60.523</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41.279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8.417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3.240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9.099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38.239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64.279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43.048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3.756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9.569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3.647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10.965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40.376</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63.895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40.766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4.297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3.544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10.839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3.559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10.854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38.889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15,1 %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1,0x</w:t>
            </w:r>
          </w:p>
        </w:tc>
      </w:tr>
    </w:tbl>
    <w:p>
      <w:pPr>
        <w:spacing w:after="160" w:before="0"/>
      </w:pPr>
    </w:p>
    <w:p>
      <w:pPr>
        <w:pStyle w:val="Nota"/>
        <w:spacing w:after="100"/>
      </w:pPr>
      <w:r>
        <w:t xml:space="preserve">Días de inventario y de pago calculados sobre el coste de ventas.</w:t>
      </w:r>
    </w:p>
    <w:p>
      <w:pPr>
        <w:pStyle w:val="Nota"/>
        <w:spacing w:after="100"/>
      </w:pPr>
      <w:r>
        <w:t xml:space="preserve">Cambio de perímetro (2021: GrandVision, consolidada desde el 1-jul-2021 (adquisiciones netas de 7.078 M EUR en el año) [4]; 2024: Supreme (≈1.500 M USD) y el 80 % de Heidelberg Engineering, consolidadas desde el 4T24 (adquisiciones de 1.755 M EUR) [5]; 2026: Top Charoen (Tailandia, unas 2.000 ópticas), consolidada desde abril de 2026 [2]). Los ratios de balance de ese año (días, circulante, deuda neta / EBITDA, ROIC) y los indicadores de calidad contable no son comparables con los anteriores.</w:t>
      </w: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spacing w:after="100"/>
      </w:pPr>
      <w:r>
        <w:t xml:space="preserve">El activo está dominado por el fondo de comercio (31.013 M EUR) y los intangibles (9.753 M), herencia de la fusión de 2018 y de GrandVision: el 64 % del activo total de 2025 [3]. Los intangibles bajan cada año por la amortización de la fusión (12.599 M en 2021, 9.753 M en 2025). La deuda neta con arrendamientos subió de 10.249 M EUR a finales de 2022 a 13.385 M en junio de 2026 por las compras de 2024, el dividendo en efectivo y las recompras; la ratio sobre EBITDA (2,0 veces) es cómoda para el tamaño y la estabilidad de la caja [2, 3].</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4.545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6,26</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4.783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5,06</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4.861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5,31</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4.874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5,24</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5.291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1.525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970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2.796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2.315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6,02</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2" name="Gráfico 12" descr="Flujo de caja libre frente a beneficio net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Acumulado 2020-2025: FCF </w:t>
      </w:r>
      <w:r>
        <w:rPr>
          <w:b/>
          <w:bCs/>
        </w:rPr>
        <w:t xml:space="preserve">14.493</w:t>
      </w:r>
      <w:r>
        <w:t xml:space="preserve">, conversión </w:t>
      </w:r>
      <w:r>
        <w:rPr>
          <w:b/>
          <w:bCs/>
        </w:rPr>
        <w:t xml:space="preserve">136 %</w:t>
      </w:r>
      <w:r>
        <w:t xml:space="preserve"> del beneficio neto; adquisiciones 10.956, dividendos 3.292, recompras 1.828.</w:t>
      </w:r>
    </w:p>
    <w:p>
      <w:pPr>
        <w:spacing w:after="100"/>
      </w:pPr>
      <w:r>
        <w:t xml:space="preserve">El flujo operativo crece de 4.545 M EUR en 2021 a 5.291 M en 2025 y el capex se estabiliza en unos 1.525 M (5,4 % de las ventas) [3, 6]. La empresa calcula el flujo libre restando también los pagos de arrendamientos: 2.413 M en 2024 y 2.796 M en 2025, y 1.067 M en el 1S26 con una definición nueva que suma las desinversiones [1, 2]. Los dividendos pagados en efectivo oscilan mucho (138 M en 2021, 1.163 M en 2024) porque una parte de los accionistas, Delfin incluido, cobra en acciones; en 2026 casi todo se cobró en efectivo (1.669 M en el 1S26) [2]. Las altas de derechos de uso fueron de 1.043 M en 2025, que con el capex suman el 9,0 % de las ventas [3]. Las compras suman 10.956 M EUR en seis años, dos tercios en 2021 (GrandVision) [3, 6].</w:t>
      </w:r>
    </w:p>
    <w:p>
      <w:pPr>
        <w:pStyle w:val="Heading1"/>
      </w:pPr>
      <w:r>
        <w:t xml:space="preserve">9. Calidad contable</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Forvis Mazars y EY</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 sin salvedades (cuentas de 2025)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gris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Intermedio (4-6).</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−1,78: sin señal de manipulación.</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2,56x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pStyle w:val="Heading2"/>
      </w:pPr>
      <w:r>
        <w:t xml:space="preserve">Ajustes, criterios contables y remuneración en acciones</w:t>
      </w:r>
    </w:p>
    <w:p>
      <w:pPr>
        <w:spacing w:after="100"/>
      </w:pPr>
      <w:r>
        <w:t xml:space="preserve">Las cuentas de 2025 tienen opinión favorable de Forvis Mazars (auditor desde 2007) y de EY, que sustituyó a PwC en la junta de 2025 [3]. La calidad del beneficio depende de la lectura de los ajustes: el beneficio ajustado supera al publicado en 842 M EUR (36 %), sobre todo por la amortización de intangibles de la fusión, que no es caja; el flujo libre (2.796 M) está entre los dos (un 21 % por encima del publicado y un 11 % por debajo del ajustado), lo que da credibilidad a la cifra ajustada [1]. Los gastos «no recurrentes» se repiten cada año (249 M en 2025), así que los tratamos como parte del negocio en el DCF. Los 19 años de Forvis Mazars son una rotación larga para un mercado europeo, mitigada por la coauditoría.</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Fondo de comercio e intangibles = 64 % del activo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 deterioro (GrandVision, Supreme) no afectaría a la caja, pero sí al beneficio publicado [3].</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Gastos no recurrentes cada año (249 M en 2025)</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Reestructuración, programa SuperBoost y primas: los dejamos dentro del margen del DCF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Auditor con 19 años en el cargo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Coauditoría con EY desde 2025 [3].</w:t>
            </w:r>
          </w:p>
        </w:tc>
      </w:tr>
    </w:tbl>
    <w:p>
      <w:pPr>
        <w:spacing w:after="160" w:before="0"/>
      </w:pPr>
    </w:p>
    <w:p>
      <w:pPr>
        <w:pStyle w:val="Heading1"/>
      </w:pPr>
      <w:r>
        <w:t xml:space="preserve">10. Rentabilidad sobre el capital</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85"/>
        <w:gridCol w:w="985"/>
        <w:gridCol w:w="985"/>
        <w:gridCol w:w="985"/>
        <w:gridCol w:w="1095"/>
        <w:gridCol w:w="1095"/>
        <w:gridCol w:w="1095"/>
        <w:gridCol w:w="1204"/>
        <w:gridCol w:w="1209"/>
      </w:tblGrid>
      <w:tr>
        <w:trPr>
          <w:cantSplit/>
          <w:tblHeader/>
        </w:trPr>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c>
          <w:tcPr>
            <w:tcW w:type="dxa" w:w="12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 sin f. de comercio</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0,28x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36.010</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0,35x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40.804</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0,41x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46.995</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0,42x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48.191</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0,42x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49.979</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0,44x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1,62x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51.157</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14,1 %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pStyle w:val="Heading2"/>
      </w:pPr>
      <w:r>
        <w:t xml:space="preserve">Fondo de comercio y compras</w:t>
      </w:r>
    </w:p>
    <w:p>
      <w:pPr>
        <w:spacing w:after="100"/>
      </w:pPr>
      <w:r>
        <w:t xml:space="preserve">Fondo de comercio: 31.013 M en 2025 (el 62 % del capital invertido medio); ha subido más de un 5 % en 3 de 5 años: comprador en serie. ROIC publicado 5,4 %; sin fondo de comercio, 14,1 %. En un comprador en serie el fondo de comercio es el precio de su crecimiento: juzga el publicado.</w:t>
      </w:r>
    </w:p>
    <w:p>
      <w:pPr>
        <w:spacing w:after="100"/>
      </w:pPr>
      <w:r>
        <w:rPr>
          <w:b/>
          <w:bCs/>
        </w:rPr>
        <w:t xml:space="preserve">ROIC incremental</w:t>
      </w:r>
      <w:r>
        <w:t xml:space="preserve"> (variación del NOPAT sobre variación del capital invertido en el periodo): 16,5 % · </w:t>
      </w:r>
      <w:r>
        <w:rPr>
          <w:b/>
          <w:bCs/>
        </w:rPr>
        <w:t xml:space="preserve">WACC</w:t>
      </w:r>
      <w:r>
        <w:t xml:space="preserve">: 7,8 %.</w:t>
      </w:r>
    </w:p>
    <w:p>
      <w:pPr>
        <w:spacing w:after="100"/>
      </w:pPr>
      <w:r>
        <w:t xml:space="preserve">El ROIC con el fondo de comercio es bajo y estable: 5,1-5,4 % en 2022-2025, por debajo del WACC del 7,8 %, porque el capital invertido (≈60.000 M) lleva 31.013 M de fondo de comercio y 9.753 M de intangibles de la fusión de 2018 y de GrandVision [3]. Sin el fondo de comercio el rendimiento es del 13,9-14,3 %, y el ROIC incremental de 2021-2025 (16,5 %) dice que el negocio sí gana dinero con lo que invierte hoy; el problema es el precio pagado por las compras. El ROIC con el beneficio operativo ajustado (sin la amortización de compras) sube a un 7 %, todavía por debajo del coste del capital. Es la huella de un grupo construido con fusiones con prima: el foso es real, pero el accionista paga por él. No cumple nuestro filtro de calidad (ROIC − WACC ≥ 5 puntos) y no lo cumplirá en años: haría falta duplicar el beneficio operativo con el mismo capital.</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13.385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445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13.830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de 3.544 M EUR a cierre de 2025 y de 1.931 M a 30-jun-2026, tras pagar el dividendo (1.669 M en efectivo; solo un 9 % eligió acciones a 175,06 EUR) y unas recompras de ≈969 M en el semestre [2, 3]. Deuda neta a 30-jun-2026 de 13.385 M EUR con arrendamientos (deuda 11.409, arrendamientos 3.907, caja 1.931), 2,0 veces el EBITDA de los últimos 12 meses (6.821 M) [2].</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4" name="Gráfico 14"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pStyle w:val="Heading2"/>
      </w:pPr>
      <w:r>
        <w:t xml:space="preserve">Covenants, pasivos fuera de la deuda y contingencias</w:t>
      </w:r>
    </w:p>
    <w:p>
      <w:pPr>
        <w:spacing w:after="100"/>
      </w:pPr>
      <w:r>
        <w:t xml:space="preserve">Pensiones y otras prestaciones a empleados de 445 M EUR y participaciones en asociadas de 88 M a cierre de 2025 [3]. Los minoritarios (604 M EUR contables) vienen de filiales no participadas al 100 % [3]. La deuda de 2025 (10.839 M) se reparte en 6.812 M a largo y 4.027 M a corto; los arrendamientos, en 2.653 M a largo y 906 M a corto [3]. El coste de la deuda neta subió de 165 M en 2024 a 239 M en 2025 [1].</w:t>
      </w:r>
    </w:p>
    <w:p>
      <w:pPr>
        <w:pStyle w:val="Heading1"/>
      </w:pPr>
      <w:r>
        <w:t xml:space="preserve">12. Asignación de capital</w:t>
      </w:r>
    </w:p>
    <w:p>
      <w:pPr>
        <w:pStyle w:val="Confianza"/>
        <w:spacing w:after="100"/>
      </w:pPr>
      <w:r>
        <w:t xml:space="preserve">Confianza: Alta</w:t>
      </w:r>
    </w:p>
    <w:p>
      <w:pPr>
        <w:spacing w:after="100"/>
      </w:pPr>
      <w:r>
        <w:t xml:space="preserve">Dividendo de 4,00 EUR por acción con cargo a 2025 (3,95 EUR en 2023 y 2024), con opción de cobro en acciones [1, 2]. En 2026 el grupo recompró acciones por ≈969 M en el primer semestre y lanzó el 28-ago un programa de hasta 5 millones de acciones [2, 10]; los derechos de voto en circulación sin autocartera eran 458,4 M a 30-sep-2026 [11]. La prioridad declarada es crecer: compras de complemento (Supreme, Heidelberg, Top Charoen, cadenas en Asia), inversión en gafas inteligentes y tecnología médica, con la deuda neta en torno a 2 veces el EBITDA [2].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779 %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439,0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7.078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446,0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445,6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450,6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460,0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2.796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464,7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5" name="Gráfico 15" descr="Usos de la caja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GrandVision (cadena óptica europea)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7.078</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y deuda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Integrada; el canal propio crece al 6-8 % comparable (2025-2026) [1, 2].</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Supreme (marca de ropa) y 80 % de Heidelberg Engineering (diagnóstico)</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1.755</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Supreme, lejos del núcleo y sin cifras propias publicadas; Heidelberg, base de la tecnología médica [5].</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Top Charoen (≈2.000 ópticas en Tailandia)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Consolidada desde abril [2].</w:t>
            </w:r>
          </w:p>
        </w:tc>
      </w:tr>
    </w:tbl>
    <w:p>
      <w:pPr>
        <w:spacing w:after="160" w:before="0"/>
      </w:pPr>
    </w:p>
    <w:p>
      <w:pPr>
        <w:spacing w:after="100"/>
      </w:pPr>
      <w:r>
        <w:t xml:space="preserve">La dirección ha usado el balance sobre todo para comprar: 10.956 M EUR en seis años, frente a un dividendo que sube despacio [3]. El rendimiento de ese capital es bajo: el capital invertido incluye 40.766 M EUR de fondo de comercio e intangibles, y el ROIC con ellos ronda el 5-6 %, por debajo del coste del capital; sin ellos, el negocio rinde mucho más [3]. Supreme, una marca de ropa, es la compra más difícil de justificar. El giro de 2026 (dividendo en efectivo y recompras de casi 1.000 M) compensa la dilución del dividendo en acciones de años anteriores (de 439 M de acciones diluidas en 2020 a 464,7 M en 2025) [2, 3].</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3"/>
        <w:gridCol w:w="1527"/>
        <w:gridCol w:w="705"/>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Francesco Milleri</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y consejero delegado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2018</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Consultor y empresario; consejero delegado de Luxottica desde 2017 y artífice de la fusión con Essilor; presidente y consejero delegado desde 2022 y presidente de Delfin, el accionista de control [3]. Con él, las ventas pasaron de 19.820 a 28.491 M EUR (2021-2025) [2].</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Paul du Saillant</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 adjunto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2020</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Procedente de Essilor; responsable de la integración y de las operaciones [3].</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Stefano Grassi</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Director financiero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2019</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Director financiero de Luxottica antes de la fusión [3].</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Plan a medio plazo: ventas de 27.000-28.000 M EUR y margen operativo ajustado del 19-20 % en 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28.491 M ya en 2025; margen ajustado del 15,7 % en 2025. El objetivo de margen se retiró en febrero de 2026</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Guía a cinco años (feb-26): crecimiento sólido de ventas y beneficio operativo ajustado ampliamente alineado, a tipo constante</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1S26: +9,7 % de ventas y +15,0 % de beneficio operativo ajustado a tipo constante</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spacing w:after="100"/>
      </w:pPr>
      <w:r>
        <w:t xml:space="preserve">El equipo es estable y viene de la fusión (Milleri, du Saillant, Grassi) [3]. La credibilidad sufrió en febrero de 2026, cuando el objetivo de margen del 19-20 % se cambió por una guía cualitativa a cinco años; en el 1S26 la dirección cumplió esa guía (beneficio operativo ajustado +15 % frente a ventas +9,7 % a tipo constante) [2]. La sucesión es el riesgo: Milleri concentra presidencia, dirección ejecutiva y la presidencia de Delfin, y en agosto se fue Leonardo Maria Del Vecchio, hijo del fundador y director de estrategia, criticando a la dirección [14].</w:t>
      </w:r>
    </w:p>
    <w:p>
      <w:pPr>
        <w:pStyle w:val="Heading1"/>
      </w:pPr>
      <w:r>
        <w:t xml:space="preserve">14. Gobierno corporativo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54 %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7,3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 de 13 (1 sin dato)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6" name="Gráfico 16"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Francesco Milleri</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y consejero delegado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2018</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Paul du Saillant</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 adjunto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Romolo Bardin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(consejero delegado de Delfin)</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2018</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y riesgos; Nombramientos y retribuciones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Mario Notari</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(Delfin)</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Marie-Christine Coisne-Roquette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José Gonzalo</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y retribuciones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Swati Piramal</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Responsabilidad social (presidenta)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Cristina Scocchia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y riesgos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Nathalie von Siemens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Andrea Zappia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y retribuciones (presidente)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Virginie Mercier Pitre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(Valoptec, ópticos asociados)</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Jean-Luc Biamonti</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independiente coordinador</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y riesgos (presidente)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Bard y Brown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Consejeros en representación de los empleados</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54 % (con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Vinculada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Ejecutivo, con coordinador</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a favor sobre remuneración (3 juntas) ≥ 80 %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19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 sin salvedades (cuentas de 2025)</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Compras 99,61 / ventas 7,58 M</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Delfin (herederos de Leonardo Del Vecchio)</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32,40 %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Holding familiar</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Compró unas 587.000 acciones entre mayo y agosto de 2026 a 164-175 EUR y pignoró 5 M de acciones en marzo [27]. Su voto está limitado al 31 % por los estatutos. El 16-oct, Reuters informó de conversaciones iniciales con bancos para financiar la compra de participaciones de herederos en Delfin, pagada con dividendos de EssilorLuxottica o con la venta de sus participaciones en MPS o Generali; no se habla de vender acciones de EssilorLuxottica [28].</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Empleados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Planes de empleados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Estable [3].</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Autocartera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Autocartera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 0,02 % a cierre de 2025 a ≈1,3 % a 30-sep-2026 (464,2 M de acciones y 458,4 M de derechos de voto en circulación) por las recompras de 2026 [11].</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Inversores institucionales no residentes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47,50 %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 a 31-dic-2025 [3].</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7" name="Gráfico 17"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pStyle w:val="Heading2"/>
      </w:pPr>
      <w:r>
        <w:t xml:space="preserve">Compras y ventas de consejeros y directivos (12 meses)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21"/>
        <w:gridCol w:w="3381"/>
        <w:gridCol w:w="1521"/>
        <w:gridCol w:w="1690"/>
        <w:gridCol w:w="1525"/>
      </w:tblGrid>
      <w:tr>
        <w:trPr>
          <w:cantSplit/>
          <w:tblHeader/>
        </w:trPr>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Persona</w:t>
            </w:r>
          </w:p>
        </w:tc>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Operación</w:t>
            </w:r>
          </w:p>
        </w:tc>
        <w:tc>
          <w:tcPr>
            <w:tcW w:type="dxa" w:w="16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w:t>
            </w:r>
          </w:p>
        </w:tc>
        <w:tc>
          <w:tcPr>
            <w:tcW w:type="dxa" w:w="15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 (M)</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 oct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Francesco Milleri (presidente y consejero delegado)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nov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Paul du Saillant (consejero delegado adjunto)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6.687</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18 mar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Paul du Saillant (cesión a su fondo de dotación)</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 jun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Delfin (persona vinculada a Milleri y Bardin), 13-may a 9-jun</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345.687</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59,50</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 jun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Andrea Zappia (consejero independiente)</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0,17</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ago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Delfin, 29-jul a 3-ago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241.224</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39,90</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29 sep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Swati Piramal (consejera independiente)</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0,04</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20,09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2,10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5,66 M</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Ratio sobre salario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213x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Milleri devengó 20,09 M EUR en 2025 (16,34 M en 2024, +23 %): 2,1 M de fijo, 5,66 M de variable anual (el 179,6 % del objetivo, que es el 150 % del fijo, con tope del 300 %) y 50.000 acciones de rendimiento; 213 veces el salario medio y 296 veces el mediano [3]. El variable anual pesa en un 40 % el crecimiento del BPA ajustado y en un 30 % el de las ventas; el plan a largo plazo exige una subida anualizada de la cotización del 2-7 % para consolidar las acciones, lo que lo liga a la rentabilidad del accionista [3]. Du Saillant devengó 13,35 M [3]. Pagar el 180 % del objetivo en un año en que el beneficio neto atribuido bajó un 2 % y el margen ajustado 70 pb es generoso. La política de 2026 permite una remuneración excepcional de hasta una vez la remuneración total máxima, algo que señaló la AFG [29]. No hemos leído las actas de voto de la junta de 2026.</w:t>
      </w:r>
    </w:p>
    <w:p>
      <w:pPr>
        <w:pStyle w:val="Heading2"/>
      </w:pPr>
      <w:r>
        <w:t xml:space="preserve">Operaciones vinculadas, estructura de control y defensas</w:t>
      </w:r>
    </w:p>
    <w:p>
      <w:pPr>
        <w:spacing w:after="100"/>
      </w:pPr>
      <w:r>
        <w:t xml:space="preserve">Delfin controla de hecho la junta con el 32,4 % del capital (voto limitado al 31 % por estatutos) y su presidente, Milleri, es a la vez presidente y consejero delegado de EssilorLuxottica [3]. Delfin es de ocho herederos a partes iguales y está sometido a disputas: Leonardo Maria Del Vecchio intentó en abril comprar el 25 % de dos hermanos (≈10.000 M EUR), dejó sus cargos en el grupo el 25-ago criticando a la dirección y el consejo reafirmó por unanimidad su confianza en Milleri el 9-sep [14, 15, 30]. El 16-oct, Reuters informó de conversaciones iniciales de Delfin con bancos para comprar participaciones de herederos [28]. Hay un consejero independiente coordinador y la comisión de auditoría la preside un independiente con mayoría de independientes [3].</w:t>
      </w:r>
    </w:p>
    <w:p>
      <w:pPr>
        <w:pStyle w:val="Heading2"/>
      </w:pPr>
      <w:r>
        <w:t xml:space="preserve">Señales de alerta</w:t>
      </w:r>
    </w:p>
    <w:p>
      <w:pPr>
        <w:pStyle w:val="ListParagraph"/>
        <w:numPr>
          <w:ilvl w:val="0"/>
          <w:numId w:val="2"/>
        </w:numPr>
        <w:spacing w:after="60"/>
      </w:pPr>
      <w:r>
        <w:t xml:space="preserve">Presidencia y dirección ejecutiva en la misma persona, que preside además al accionista de control [3].</w:t>
      </w:r>
    </w:p>
    <w:p>
      <w:pPr>
        <w:pStyle w:val="ListParagraph"/>
        <w:numPr>
          <w:ilvl w:val="0"/>
          <w:numId w:val="2"/>
        </w:numPr>
        <w:spacing w:after="60"/>
      </w:pPr>
      <w:r>
        <w:t xml:space="preserve">Disputa entre herederos en Delfin y salida de Leonardo Maria Del Vecchio (25-ago-2026) [14].</w:t>
      </w:r>
    </w:p>
    <w:p>
      <w:pPr>
        <w:pStyle w:val="ListParagraph"/>
        <w:numPr>
          <w:ilvl w:val="0"/>
          <w:numId w:val="2"/>
        </w:numPr>
        <w:spacing w:after="60"/>
      </w:pPr>
      <w:r>
        <w:t xml:space="preserve">Investigación de la fiscalía de Milán a Milleri por presunta manipulación de mercado y obstrucción a la supervisión en la operación MPS-Mediobanca (noticia del 27-nov-2025; Delfin niega toda implicación) [25].</w:t>
      </w:r>
    </w:p>
    <w:p>
      <w:pPr>
        <w:pStyle w:val="ListParagraph"/>
        <w:numPr>
          <w:ilvl w:val="0"/>
          <w:numId w:val="2"/>
        </w:numPr>
        <w:spacing w:after="60"/>
      </w:pPr>
      <w:r>
        <w:t xml:space="preserve">Delfin pignoró 5 M de acciones (≈1.100 M EUR) en marzo de 2026 [27].</w:t>
      </w:r>
    </w:p>
    <w:p>
      <w:pPr>
        <w:pStyle w:val="ListParagraph"/>
        <w:numPr>
          <w:ilvl w:val="0"/>
          <w:numId w:val="2"/>
        </w:numPr>
        <w:spacing w:after="60"/>
      </w:pPr>
      <w:r>
        <w:t xml:space="preserve">Forvis Mazars, auditor desde 2007 (19 años); PwC sustituido por EY en 2025 [3].</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En febrero de 2026, con las cuentas de 2025, la empresa sustituyó los objetivos de 2026 (ventas de 27.000-28.000 M EUR y margen operativo ajustado del 19-20 %) por una guía a cinco años: crecimiento «sólido» de las ventas y del beneficio operativo ajustado «ampliamente alineado», a tipo constante [1]. La confirmó en julio, avisando de una base de comparación más exigente en el segundo semestre (el 4T25 creció un 18,4 %) [2]. Las ventas del 3T se publican el 20-oct a las 18:00 [9]; Stifel espera un +5,7 % a tipo constante [37].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1"/>
        <w:gridCol w:w="1302"/>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30.080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7.493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4.808</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7,27</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4,07</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19-oct-2026: beneficio neto NIIF 2.704 M (BPA NIIF 5,65). BPA ajustado = (beneficio NIIF + 647 M de amortización de compras neta de impuestos de 2025) ÷ 461 M de acciones, estimación propia para comparar en la base del objetivo [33]</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32.522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8.008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5.180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7,92</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4,39</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19-oct-2026: beneficio neto NIIF 3.005 M (BPA NIIF 6,23); ajustado con el mismo criterio [33]</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34.931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8.614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5.698</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8,86</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4,81</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19-oct-2026: beneficio neto NIIF 3.438 M (BPA NIIF 7,09); ajustado con el mismo criterio [33]</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30.058</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30.080</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7.244</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7.343</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32.012</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32.522</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7.779</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7.845</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33.932</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34.931</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8.280</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8.439</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221,43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135,00 – 361,00</w:t>
            </w:r>
          </w:p>
        </w:tc>
      </w:tr>
    </w:tbl>
    <w:p>
      <w:pPr>
        <w:spacing w:after="160" w:before="0"/>
      </w:pPr>
    </w:p>
    <w:p>
      <w:pPr>
        <w:pStyle w:val="Heading2"/>
      </w:pPr>
      <w:r>
        <w:t xml:space="preserve">Revisiones de estimaciones</w:t>
      </w:r>
    </w:p>
    <w:p>
      <w:pPr>
        <w:spacing w:after="100"/>
      </w:pPr>
      <w:r>
        <w:t xml:space="preserve">Las revisiones son a la baja y continuas desde abril: Goldman a Neutral con 200 EUR (14-jul) [16], Kepler a Reducir con 135 EUR (17-sep) [21], Stifel de 290 a 280 (29-sep) [37], BofA de 237 a 205 (9-oct) [36]; RBC, Bernstein y Deutsche Bank también recortaron en septiembre y octubre. El consenso de MarketScreener (23 analistas) sigue en «Sobreponderar» con un objetivo medio de 221,43 EUR (135-361), que incluye objetivos antiguos [33]. El motivo es la desaceleración de las gafas con IA frente a una base alta, la competencia y el ruido de gobierno.</w:t>
      </w:r>
    </w:p>
    <w:p>
      <w:pPr>
        <w:pStyle w:val="Heading1"/>
      </w:pPr>
      <w:r>
        <w:t xml:space="preserve">16. Comportamiento en bolsa</w:t>
      </w:r>
    </w:p>
    <w:p>
      <w:pPr>
        <w:pStyle w:val="Nota"/>
        <w:spacing w:after="100"/>
      </w:pPr>
      <w:r>
        <w:t xml:space="preserve">Rentabilidad total (con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-42,3 %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-50,2 %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18" name="Gráfico 18"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0,95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-55,6 %</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p>
      <w:pPr>
        <w:spacing w:after="100"/>
      </w:pPr>
      <w:r>
        <w:t xml:space="preserve">Índice: iShares STOXX Europe 600 (EXSA.DE); sector: iShares STOXX Europe 600 Health Care (EXV4.DE); todo en rentabilidad total [32]. EssilorLuxottica pierde un 50,2 % en un año frente al +15,9 % del índice: subió un 15 % en octubre de 2025 con las ventas del 3T25 (+11,7 % a tipo constante) hasta el máximo histórico de 323,80 EUR (13-nov) [43], y desde entonces ha caído en casi todos los meses por la desaceleración de las gafas con IA, la competencia anunciada por Google (−5,6 % el 9-dic-2025) [20], los recortes de objetivos (Goldman en julio, Kepler en septiembre) [16, 21] y la disputa en Delfin [28]. El mínimo de 52 semanas (138,30 EUR) es del 18-sep, tras la rebaja de Kepler; desde entonces rebota un 9,4 %. La caída máxima de cinco años es del −55,6 % (nov-2025 a sep-2026). Beta mensual de 5 años: 0,95; semanal de 2 años: 1,07 [32]. No figuran posiciones cortas por encima del 0,5 % en el registro de la AMF consultado.</w:t>
      </w:r>
    </w:p>
    <w:p>
      <w:pPr>
        <w:pStyle w:val="Heading2"/>
      </w:pPr>
      <w:r>
        <w:t xml:space="preserve">Precio y noticias antes de decidir (regla 13)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Variación 1 / 3 / 6 / 12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+9,4 % / -7,5 % / -20,7 % / -51,2 %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Frente al máximo y al mínimo de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-52,6 % / +9,4 %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Frente al máximo de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-52,6 %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(medias de 50 y 200 sesiones)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bajista</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(60 sesiones)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2026-10-20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Veredicto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no cambia</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3"/>
        <w:gridCol w:w="1098"/>
        <w:gridCol w:w="4147"/>
        <w:gridCol w:w="1220"/>
      </w:tblGrid>
      <w:tr>
        <w:trPr>
          <w:cantSplit/>
          <w:tblHeader/>
        </w:trPr>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4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Causa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Veredicto</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oct-2025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del 3T25 con +11,7 % a tipo constante, por encima de lo esperado, y euforia por las gafas con IA; máximo histórico el 13-nov [43].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9-dic-2025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Google anuncia gafas con IA para 2026 con sus socios (Warby Parker, Gentle Monster) [20].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27-feb-2026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causa concreta identificada tras dos búsquedas; mes de −12,7 % tras las cuentas de 2025, en las que la empresa retiró los objetivos de margen de 2026 [1].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19-abr a 19-may-2026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-18,4 %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Ventas del 1T26 (22-abr): las gafas con IA crecieron a un dígito medio y la acción cayó un 4,8 % al día siguiente [26]; descuento del dividendo de 4,00 EUR el 5-may (≈2 puntos) [10].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cambia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9"/>
        <w:gridCol w:w="1585"/>
        <w:gridCol w:w="3904"/>
        <w:gridCol w:w="1220"/>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9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Hecho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Veredicto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2026-04-27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accionista de referencia</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Leonardo Maria Del Vecchio acuerda comprar a dos hermanos el 25 % de Delfin por ≈10.000 M EUR; la financiación depende de un acuerdo entre los ocho herederos [30].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2026-06-09</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directivos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Delfin compra ≈346.000 acciones entre el 13-may y el 9-jun (168-175 EUR) y ≈241.000 entre el 29-jul y el 3-ago (164-167 EUR); consejeros independientes compran pequeñas cantidades (Zappia 4-jun, Piramal 29-sep) [27, 31].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2026-07-14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recomendación</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Goldman Sachs rebaja a Neutral (objetivo de 230 a 200 EUR) por la desaceleración de las gafas con IA [16].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2026-07-28</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1S26: ventas +9,7 % a tipo constante, beneficio operativo ajustado +15 %, margen del 18,6 %; aviso de base de comparación más dura en el 2S [2].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2026-08-25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accionista de referencia</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Leonardo Maria Del Vecchio deja todos sus cargos en el grupo (presidente de Ray-Ban y director de estrategia) criticando a la dirección; sigue con el 12,5 % de Delfin [28].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2026-08-28</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ampliación o convertible</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Programa de recompra de hasta 5 M de acciones (≈1,1 % del capital) [10].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2026-09-09</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accionista de referencia</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consejo reafirma por unanimidad su confianza en Milleri y en la estrategia [15].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2026-09-17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recomendación</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Kepler Cheuvreux rebaja a Reducir (objetivo de 244 a 135 EUR) y baja su previsión de gafas con IA en 2030 de 38 a 15 millones de unidades; la fiscalía de París investiga grabaciones sin consentimiento con gafas inteligentes (sin acusación a la empresa) [21].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2026-09-29</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recomendación</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Stifel baja su objetivo de 290 a 280 EUR (Comprar) y espera +5,7 % a tipo constante en el 3T [37]; BofA baja de 237 a 205 EUR (Comprar) el 9-oct [36].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2026-10-16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accionista de referencia</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Reuters: Delfin tiene conversaciones iniciales con bancos para financiar la compra de participaciones de uno o varios herederos, con los dividendos de EssilorLuxottica o la venta de sus participaciones en MPS o Generali; no se menciona vender acciones de EssilorLuxottica [28].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2026-10-20</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Ventas del 3T26 el 20-oct a las 18:00 CEST [9].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cambia</w:t>
            </w:r>
          </w:p>
        </w:tc>
      </w:tr>
    </w:tbl>
    <w:p>
      <w:pPr>
        <w:spacing w:after="160" w:before="0"/>
      </w:pPr>
    </w:p>
    <w:p>
      <w:pPr>
        <w:spacing w:after="100"/>
      </w:pPr>
      <w:r>
        <w:t xml:space="preserve">La acción ha perdido un 51 % en un año y está un 19 % por debajo de la media de 200 sesiones (P5), pero rebota un 9,4 % desde el mínimo del 18-sep. Las caídas tienen causa con fuente y ya están en la tesis: desaceleración de las gafas con IA, anuncio de Google, recortes de Goldman y Kepler y ruido de gobierno en Delfin [16, 21, 26, 28]. No hay colocación, ampliación ni oferta pendiente: Delfin y consejeros compran, la empresa recompra, y las conversaciones de Delfin con bancos del 16-oct hablan de financiar con dividendos o con MPS y Generali, no vendiendo acciones de EssilorLuxottica [27, 28]. Las ventas del 3T (20-oct) no retrasan nada (regla 13). Veredicto: no cambia.</w:t>
      </w:r>
    </w:p>
    <w:p>
      <w:pPr>
        <w:pStyle w:val="Heading1"/>
      </w:pPr>
      <w:r>
        <w:t xml:space="preserve">17. Múltiplos frente a su historia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9" name="Gráfico 19"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spacing w:after="100"/>
      </w:pPr>
      <w:r>
        <w:t xml:space="preserve">Con el BPA publicado (que lleva unos 1,4 EUR por acción de amortización de compras), el PER de los últimos 12 meses es de 28,4 veces frente a 34-56 en los cierres de 2021-2025, y el EV/EBITDA de 12,5 veces frente a 13,8-20,3: el más bajo de la serie. La comparación útil es en BPA ajustado: 19,1 veces nuestro BPA de 2027e, frente a una historia adelantada de 25,3-36,8 veces (mediana 28,5) en 2021-2025. El cambio no es solo de humor: en 2024-2025 el mercado pagó las gafas con IA como un negocio tecnológico de alto crecimiento, y hoy las paga como una línea de menor margen con competencia. Los tipos más altos (Bund al 3,49 %) también pesan. 2020 queda fuera de la serie (beneficio hundido por la pandemia).</w:t>
      </w:r>
    </w:p>
    <w:p>
      <w:pPr>
        <w:pStyle w:val="Heading1"/>
      </w:pPr>
      <w:r>
        <w:t xml:space="preserve">18. Comparables cotizados</w:t>
      </w:r>
    </w:p>
    <w:p>
      <w:pPr>
        <w:pStyle w:val="Confianza"/>
        <w:spacing w:after="100"/>
      </w:pPr>
      <w:r>
        <w:t xml:space="preserve">Confianza: Media</w:t>
      </w:r>
    </w:p>
    <w:p>
      <w:pPr>
        <w:spacing w:after="100"/>
      </w:pPr>
      <w:r>
        <w:t xml:space="preserve">Ocho cotizadas de salud visual, auditiva y dental de consumo: Hoya (2.º en lentes), Alcon y Cooper (lentes de contacto, cirugía ocular, control de miopía), Fielmann (cadena óptica), Sonova y Demant (audición: mismo modelo de fabricante con red propia), Straumann (implantes dentales, marca premium con canal profesional) y Coloplast (consumibles sanitarios). No hay un comparable puro de monturas de marca cotizado y líquido (Safilo es pequeño y de otro perfil). Cifras de los informes del repo (9-14 oct), llevadas al precio del 19-oct con el mismo valor empresa y convertidas a EUR con los tipos del BCE del 19-oct (USD 1,1225; JPY 177,63; CHF 0,9261; DKK 7,4747) [22, 23, 24, 34, 35, 44, 45, 46]. El PER es el de cada informe, en la base de cada empresa (Hoya, Sonova, Demant, Cooper y Alcon, ajustado).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EssilorLuxottica</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69.700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Hoya</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JP</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48.211</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Alcon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28.898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Cooper Companies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9.878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Demant</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DK</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10.152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Sonova</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17.923</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Fielmann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3.249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Straumann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16.010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Coloplast</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DK</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14.073</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48"/>
        <w:gridCol w:w="1056"/>
        <w:gridCol w:w="1188"/>
        <w:gridCol w:w="1188"/>
        <w:gridCol w:w="1056"/>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30,5 %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18,9 %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7.745</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10,9x / 13,7x / 13,8x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150,26</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197,56</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199,25</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6.821</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12,8x / 15,2x / 18,0x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156,19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191,53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233,94</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17,1x / 20,4x / 25,2x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133,60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159,31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196,50</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29.285</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3,4x / 4,2x / 5,0x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182,67</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233,77</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288,72</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+53,7 %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0" name="Gráfico 20"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21" name="Gráfico 21"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spacing w:after="100"/>
      </w:pPr>
      <w:r>
        <w:rPr>
          <w:b/>
        </w:rPr>
        <w:t xml:space="preserve">Regresión EV/EBITDA NTM sobre crecimiento</w:t>
      </w:r>
      <w:r>
        <w:t xml:space="preserve"> (5 comparables): múltiplo = 8,0 + 0,63 × crecimiento; R² = 0,25. El crecimiento explica poco los múltiplos de estos comparables (R² &lt; 0,3): la regresión no se usa en la valoración.</w:t>
      </w:r>
    </w:p>
    <w:p>
      <w:pPr>
        <w:spacing w:after="100"/>
      </w:pPr>
      <w:r>
        <w:t xml:space="preserve">EssilorLuxottica cotiza a 12,5 veces el EBITDA de los últimos 12 meses y 11,0 veces el de los próximos, por debajo de la mediana de sus comparables (15,2x y 13,7x), y a 19,5 veces el BPA ajustado de los próximos 12 meses frente a 20,5 veces de mediana [22, 23, 24, 44, 45, 46]. El descuento se explica por el ROIC: 5,4 % con fondo de comercio frente al 12,9 % de mediana, y por un margen EBITDA menor (23,3 % frente al 28,3 %), propio de un grupo con 19.686 tiendas. Por crecimiento (6,9 % de mediana esperado frente a un 5,5-6,5 % nuestro) estaría en línea. Hoya (32,5x PER) cotiza con prima por sus semiconductores; Fielmann (14,3x) es el minorista puro. El PER de mediana (20,5x) es el múltiplo que usaríamos para el negocio, y está muy cerca del actual: los comparables no dicen que la acción esté barata, sino que el mercado ya no le da prima. La regresión no explica nada (R² 0,25) y no se usa.</w:t>
      </w:r>
    </w:p>
    <w:p>
      <w:pPr>
        <w:pStyle w:val="Heading1"/>
      </w:pPr>
      <w:r>
        <w:t xml:space="preserve">19. Transacciones precedentes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38"/>
        <w:gridCol w:w="1780"/>
        <w:gridCol w:w="1676"/>
        <w:gridCol w:w="838"/>
        <w:gridCol w:w="838"/>
        <w:gridCol w:w="838"/>
        <w:gridCol w:w="733"/>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2026-03</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GN Hearing (audífonos)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Amplifon</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≈2.300 M EUR sin caja ni deuda; ventas ≈1.000 M y EBITDA ajustado ≈220 M EUR, sin sinergias [38].</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2025-10</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Hologic (tecnología médica)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Blackstone y TPG</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16.360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4,46x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Hasta 79 USD por acción; EBITDA ajustado de 1.339,7 M USD [39].</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2023-06</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Xiidra (Novartis)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Bausch + Lomb</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1.564</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3,59x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Pago inicial de 1.750 M USD [41].</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2021-11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Generate Life Sciences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Cooper Companies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6,40x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Fertilidad y bancos de células; ventas ≈250 M USD [40].</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2024-07</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Shopko Optical (cadena óptica de EE. UU.)</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Fielmann Group</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proforma de 171,4 M EUR [42].</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2019-07</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GrandVision (76,72 %)</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EssilorLuxottica</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EUR por acción; el 76,72 % costaba unos 5.500 M EUR con 3.700 M EUR de ventas; sin valor empresa ni EBITDA publicados [18].</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Prima de control mediana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por acción implícito (mediana de EV/ventas)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195,44</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113,03 – 251,02</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2" name="Gráfico 22"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spacing w:after="100"/>
      </w:pPr>
      <w:r>
        <w:t xml:space="preserve">Las dos operaciones con EBITDA publicado se pagaron a 10,5 y 13,7 veces, por encima de lo que hoy paga el mercado por EssilorLuxottica (unas 12 veces el EBITDA de los últimos 12 meses a 152,05 EUR) [38, 39]. Con Delfin al 32,4 % y una capitalización de casi 70.000 M EUR, una opa es improbable: las disputas en Delfin pueden cambiar quién manda en el holding, no el control de la cotizada. Las transacciones no entran en la valoración (peso cero).</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Partimos de 2026e con un +5,5 % publicado (fijo: dos trimestres cerrados, 1S26 +5,7 % con el dólar restando 4 puntos y un 2S con base dura, el 4T25 creció un 18,4 % a tipo constante) [2], en línea con el consenso (30.080 M) [33]. Para 2027-28 usamos 6,5 % y 6,0 %, por debajo del consenso (+8,1 % en 2027) y del crecimiento a tipo constante de 2024-2026 (6-11 %), porque suponemos que las gafas con IA crecen menos [1, 2]. Bajamos al 3 % en 2034-35. La media de la proyección es del 4,7 %.</w:t>
      </w:r>
    </w:p>
    <w:p>
      <w:pPr>
        <w:keepNext/>
        <w:spacing w:after="100"/>
      </w:pPr>
      <w:r>
        <w:rPr>
          <w:b/>
          <w:bCs/>
        </w:rPr>
        <w:t xml:space="preserve">Márgenes.</w:t>
      </w:r>
    </w:p>
    <w:p>
      <w:pPr>
        <w:spacing w:after="100"/>
      </w:pPr>
      <w:r>
        <w:t xml:space="preserve">El margen EBITDA publicado fue del 24,7 % en 2024, del 22,8 % en 2025 (aranceles, mezcla de gafas con IA y 249 M de no recurrentes) y del 26,2 % en el 1S26, el semestre fuerte [1, 2]. Usamos el 24,1 % en 2026 y el 24,4 % desde 2028: un margen operativo ajustado del 16,4-16,7 %, frente al 15,7 % de 2025 y la guía de un beneficio operativo que crece «ampliamente alineado» con las ventas [1]. No volvemos al objetivo retirado del 19-20 %. Los gastos no recurrentes, que se repiten cada año, quedan dentro del margen.</w:t>
      </w:r>
    </w:p>
    <w:p>
      <w:pPr>
        <w:keepNext/>
        <w:spacing w:after="100"/>
      </w:pPr>
      <w:r>
        <w:rPr>
          <w:b/>
          <w:bCs/>
        </w:rPr>
        <w:t xml:space="preserve">Inversión y circulante.</w:t>
      </w:r>
    </w:p>
    <w:p>
      <w:pPr>
        <w:spacing w:after="100"/>
      </w:pPr>
      <w:r>
        <w:t xml:space="preserve">La amortización (10,5 % de las ventas en 2026e) incluye unos 2,8 puntos de amortización de compras (830 M en 2025, 415 M en el 1S26), que no hay que reponer; baja al 8,6 % en 2035, aún con algo de ella [1, 2]. El capex (9,0 %) suma el del estado de flujos (5,4 % de las ventas en 2025) y las altas de derechos de uso (3,7 %), porque los arrendamientos van en la deuda del puente [3]. El circulante es el 15 % de las ventas (existencias 3.542 + clientes 3.638 − proveedores 2.883 en 2025: 15,1 %) [3]. Impuesto del 24,5 % (24,0 % en el 1S26, «algo más» en el año) [2].</w:t>
      </w:r>
    </w:p>
    <w:p>
      <w:pPr>
        <w:keepNext/>
        <w:spacing w:after="100"/>
      </w:pPr>
      <w:r>
        <w:rPr>
          <w:b/>
          <w:bCs/>
        </w:rPr>
        <w:t xml:space="preserve">Coste del capital.</w:t>
      </w:r>
    </w:p>
    <w:p>
      <w:pPr>
        <w:spacing w:after="100"/>
      </w:pPr>
      <w:r>
        <w:t xml:space="preserve">Bund a 10 años del 3,49 % (19-oct-2026) [35]; beta ajustada de 0,97 (mensual de 5 años 0,95 frente al STOXX 600; semanal de 2 años 1,07) [32]; prima de mercado del 5,5 %; sin prima adicional (vende en todo el mundo). Coste de la deuda del 3,5 % antes de impuestos y peso de la deuda del 16 % (13.385 M de deuda neta con arrendamientos sobre 69.700 M de capitalización más deuda) [2]. WACC del 7,84 %. Con la prima implícita del mercado (4,2 %) el WACC baja al 6,78 % [47].</w:t>
      </w:r>
    </w:p>
    <w:p>
      <w:pPr>
        <w:keepNext/>
        <w:spacing w:after="100"/>
      </w:pPr>
      <w:r>
        <w:rPr>
          <w:b/>
          <w:bCs/>
        </w:rPr>
        <w:t xml:space="preserve">Valor terminal.</w:t>
      </w:r>
    </w:p>
    <w:p>
      <w:pPr>
        <w:spacing w:after="100"/>
      </w:pPr>
      <w:r>
        <w:t xml:space="preserve">Gordon con un 2,5 % de crecimiento: inflación del euro del 2 % más medio punto real, por debajo de la tasa libre (3,49 %). El valor terminal pesa el 63 % del valor. Implica 8,9 veces el EBITDA final, por debajo de lo que hoy pagan el mercado (12,5x) y los comparables (15,2x) [22, 23, 24, 44, 45, 46]: el terminal es prudente, y la distancia con el precio sale de ahí y del WACC.</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3,49 %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0,97</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8,82 %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7,84 %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6,78 %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30.058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7.244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3.326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32.012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7.779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3.265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3.499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3.317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33.932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8.280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3.393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3.740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3.290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35.799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8.735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3.222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3.953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3.222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37.589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9.172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3.345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4.195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39.280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9.584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3.692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3.496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4.391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40.851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9.968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3.758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3.636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4.575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42.281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10.317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3.721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4.786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2034e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43.550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10.626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3.832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3.832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4.939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2035e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44.856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10.945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24,4 %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3.858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1.736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3.947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5.065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2.626</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3" name="Gráfico 23" descr="Flujo de caja libre para la empresa proyectad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97.302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131.339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3,83 %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27.985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48.610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76.595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-13.385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61.053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458,4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133,19</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4" name="Gráfico 24" descr="De dónde sale el valor empresa del DCF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3,5 %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6,8 %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144,13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156,58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171,90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191,22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216,33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7,3 %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128,62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138,55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150,53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165,28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183,87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7,8 %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115,58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123,63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133,19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144,72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158,92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8,3 %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104,47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111,09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118,84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128,04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139,14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8,8 %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94,89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100,39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106,76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114,23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123,09</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95,43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102,96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110,94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119,38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128,31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105,07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113,32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122,06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131,33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141,14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114,71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123,68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133,19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143,28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153,97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124,36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134,04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144,31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155,22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166,80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134,00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144,39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155,44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167,17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179,63</w:t>
            </w:r>
          </w:p>
        </w:tc>
      </w:tr>
    </w:tbl>
    <w:p>
      <w:pPr>
        <w:spacing w:after="160" w:before="0"/>
      </w:pPr>
    </w:p>
    <w:p>
      <w:pPr>
        <w:pStyle w:val="Heading2"/>
      </w:pPr>
      <w:r>
        <w:t xml:space="preserve">¿Puede la empresa sostener el crecimiento previsto?</w:t>
      </w:r>
    </w:p>
    <w:p>
      <w:pPr>
        <w:spacing w:after="100"/>
      </w:pPr>
      <w:r>
        <w:rPr>
          <w:b/>
          <w:bCs/>
        </w:rPr>
        <w:t xml:space="preserve">Veredicto: Sí.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394 M (1 %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 la reinversión bruta (capex + circulante): crecimiento que financia al ROIC actual</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 (reinvierte el 85 %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Rendimiento que la proyección supone para la reinversión bruta</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7,1 % (histórico: 16,5 %)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histórico de ingresos (TCAC)</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14,6 % frente al 4,7 % proyectado</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Veredicto de las pruebas del motor</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w:t>
            </w:r>
          </w:p>
        </w:tc>
      </w:tr>
    </w:tbl>
    <w:p>
      <w:pPr>
        <w:spacing w:after="160" w:before="0"/>
      </w:pPr>
    </w:p>
    <w:p>
      <w:pPr>
        <w:spacing w:after="100"/>
      </w:pPr>
      <w:r>
        <w:t xml:space="preserve">La proyección apenas necesita inversión neta de la amortización (reinversión acumulada de 394 M, el 1 % del NOPAT, con un capex bruto medio del 8,9 % de las ventas). En un negocio de activos ligeros, el crecimiento medio del 4,7 % tiene que salir de subir precios y de ganar volumen sin capital nuevo, y la prueba es el poder de precios y la cuota;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(gafas con IA que casi se duplican en el 2T, miopía +24 %, Top Charoen desde abril) y precio y mezcla en lentes dan +9-10 % a tipo constante; el dólar resta unos 4 puntos [2].</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del 3,5 % (lentes, tiendas propias, gafas con IA a menor ritmo), 2,5 % de precio y medio punto de compras pequeñas en Asia.</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del 3,5 % y precio del 2,5 %, por debajo del 6-11 % a tipo constante de 2024-2026 [1, 2].</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volumen se modera al 3 %; precio en línea con la inflación más mezcla.</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Volumen del 2,5 % (envejecimiento y miopía) y precio del 2,5 %.</w:t>
            </w:r>
          </w:p>
        </w:tc>
      </w:tr>
    </w:tbl>
    <w:p>
      <w:pPr>
        <w:spacing w:after="160" w:before="0"/>
      </w:pPr>
    </w:p>
    <w:p>
      <w:pPr>
        <w:spacing w:after="100"/>
      </w:pPr>
      <w:r>
        <w:t xml:space="preserve">La proyección pide un 4,7 % de crecimiento medio, por debajo de lo que la empresa ha hecho sin compras (6,0 % en 2024, 11,2 % en 2025 y 9,7 % en el 1S26 a tipo constante) y del 5,5 % que se espera para su mercado [1, 2, 12, 13]. El motor da el mismo veredicto: con la reinversión bruta (capex con derechos de uso del 9 % frente a una amortización ordinaria del 7,7 %) el crecimiento financiable es del 4,6 % y el ROIC que supone la proyección (7,1 % bruto) está por debajo del incremental histórico (16,5 %). El poder de precio está demostrado (margen bruto del 63,5 % en el 1S26) y el foso en lentes es amplio [2]. La cuota (≈17 % del gasto mundial en óptica) no necesita subir. El riesgo está en las gafas con IA, no en el núcleo.</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(2027e-2035e)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6,4 % (base: 4,6 %)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26,1 % (base: 24,4 %)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7,3 % (WACC: 7,8 %)</w:t>
            </w:r>
          </w:p>
        </w:tc>
      </w:tr>
    </w:tbl>
    <w:p>
      <w:pPr>
        <w:spacing w:after="160" w:before="0"/>
      </w:pPr>
    </w:p>
    <w:p>
      <w:pPr>
        <w:spacing w:after="100"/>
      </w:pPr>
      <w:r>
        <w:t xml:space="preserve">El DCF da 133,19 EUR por acción (rango de 111,09 a 165,28 con el WACC y el crecimiento terminal ±0,5 puntos), un 12,4 % por debajo del precio, con el valor terminal en el 63 %. El DCF inverso dice que a 152,05 EUR el mercado descuenta un crecimiento anual del 6,4 % en 2027-2035 con nuestro margen (frente al 4,6 % nuestro), o un margen EBITDA del 26,1 % con nuestro crecimiento, o una rentabilidad implícita del 7,3 %, algo por debajo de nuestro WACC (7,84 %) y por encima de la que pide hoy el mercado (6,78 %). Es decir: el precio no está alto para el mercado (con su prima, el DCF da 174,76 EUR), pero no deja margen con un coste del capital del 7,8 %. Frente al 14-oct (174,69 EUR), el DCF baja por la tasa libre (3,49 % frente a 3,2 %), la beta (0,97 frente a 0,9), un margen final menor (24,4 % frente a 25 %) y un puente más completo (minoritarios a 1.800 M y pensiones).</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89,31</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-41,3 %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gafas con IA se estancan ante Google, Samsung y Apple, los aranceles vuelven y el consumo flojea: el crecimiento cae 2,5 puntos al año y el margen EBITDA 1,5 puntos, como en 2025, cuando los aranceles y la mezcla le quitaron 70 pb de margen ajustado [1].</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133,19</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núcleo de lentes y tiendas crece al 5-6 % con precio y mezcla, las gafas con IA crecen más despacio y el margen operativo ajustado se queda en el 16,5-17 %, en línea con la guía.</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25,1 %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157,21</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Las gafas con IA y el control de miopía mantienen el crecimiento cerca del 8 % y el margen operativo ajustado sube hacia el 17,5 %, sin llegar al objetivo antiguo del 19-20 %.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Valor por acción por escenario (EUR) · precio actual 152,0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spacing w:after="100"/>
      </w:pPr>
      <w:r>
        <w:rPr>
          <w:b/>
          <w:bCs/>
        </w:rPr>
        <w:t xml:space="preserve">Valor ponderado por probabilidad:</w:t>
      </w:r>
      <w:r>
        <w:t xml:space="preserve"> 124,83 EUR (-17,9 %).</w:t>
      </w:r>
    </w:p>
    <w:p>
      <w:pPr>
        <w:spacing w:after="100"/>
      </w:pPr>
      <w:r>
        <w:t xml:space="preserve">En el DCF el bajista (89,31 EUR) pierde un 41,3 % y el alcista (157,21 EUR) gana un 3,4 %: con nuestro WACC no hay asimetría a favor (0,08 veces). A 12 meses, con el PER de la regla común, la asimetría es otra (bajista −19,6 %, alcista +71,3 %), porque el múltiplo actual (19,1 veces el BPA ajustado de 2027e) ya está en mínimos de cinco años. Las dos lecturas no se contradicen: la acción puede subir en un año si el mercado vuelve a pagar algo más de PER, pero su valor por flujos con un coste del capital del 7,8 % está por debajo del precio. El bajista pesa un 30 % porque los recortes de estimaciones no han parado.</w:t>
      </w:r>
    </w:p>
    <w:p>
      <w:pPr>
        <w:pStyle w:val="Heading1"/>
      </w:pPr>
      <w:r>
        <w:t xml:space="preserve">22. Suma de partes</w:t>
      </w:r>
    </w:p>
    <w:p>
      <w:pPr>
        <w:pStyle w:val="Confianza"/>
        <w:spacing w:after="100"/>
      </w:pPr>
      <w:r>
        <w:t xml:space="preserve">Confianza: Media</w:t>
      </w:r>
    </w:p>
    <w:p>
      <w:pPr>
        <w:spacing w:after="100"/>
      </w:pPr>
      <w:r>
        <w:t xml:space="preserve">No aplica: los segmentos (Professional Solutions y Direct to Consumer) no publican resultado y comparten marcas y fábricas; las gafas con IA no se desglosan.</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6" name="Gráfico 26" descr="Valor por acción según cada método (EUR) · precio actual 152,0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138,30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152,05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323,80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221,43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361,00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EV/EBITDA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150,26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197,56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199,25</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133,60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159,31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196,50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(EV/ventas)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113,03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195,44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251,02</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111,09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133,19</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165,28</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89,31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124,83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157,21</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152,83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174,76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202,54</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151,29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152,05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152,81</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133,19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178,44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195,44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124,83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r>
    </w:tbl>
    <w:p>
      <w:pPr>
        <w:spacing w:after="160" w:before="0"/>
      </w:pPr>
    </w:p>
    <w:p>
      <w:pPr>
        <w:spacing w:after="100"/>
      </w:pPr>
      <w:r>
        <w:rPr>
          <w:b/>
          <w:bCs/>
        </w:rPr>
        <w:t xml:space="preserve">Valor intrínseco ponderado (largo plazo):</w:t>
      </w:r>
      <w:r>
        <w:t xml:space="preserve"> 129,85 EUR (-14,6 % sobre 152,05).</w:t>
      </w:r>
    </w:p>
    <w:p>
      <w:pPr>
        <w:spacing w:after="100"/>
      </w:pPr>
      <w:r>
        <w:t xml:space="preserve">Pesos: DCF 60 % y escenarios 40 %, sin comparables ni transacciones. El DCF es el método más fiable para un negocio estable que genera caja (2.796 M de flujo libre en 2025) [1]; los escenarios recogen el riesgo de las gafas con IA. Los comparables no pesan porque su PER está en bases distintas y su ROIC (mediana 12,9 %) no es el de un grupo con 40.766 M de fondo de comercio e intangibles; dan 133-197 EUR por PER y EV/EBITDA. Las transacciones (113-251 EUR) llevan prima de control y Delfin impide una opa. La dispersión es amplia: del bajista del DCF (89 EUR) al EV/Ventas de comparables (234 EUR); el centro de gravedad de los métodos sin prima de control está en 130-175 EUR, alrededor del precio.</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7,28</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 0.8</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122,30</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8,51</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 (19.1x) × 1.1 (tope: la mediana de 5 años, 28.5x, queda más lejos)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178,71</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9,17</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28,4x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techo de base × 1.35</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260,43</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+73,9 %</w:t>
            </w:r>
          </w:p>
        </w:tc>
      </w:tr>
    </w:tbl>
    <w:p>
      <w:pPr>
        <w:spacing w:after="160" w:before="0"/>
      </w:pPr>
    </w:p>
    <w:p>
      <w:pPr>
        <w:spacing w:after="100"/>
      </w:pPr>
      <w:r>
        <w:rPr>
          <w:b/>
          <w:bCs/>
        </w:rPr>
        <w:t xml:space="preserve">Objetivo a 12 meses (ponderado):</w:t>
      </w:r>
      <w:r>
        <w:t xml:space="preserve"> 178,13 EUR · rentabilidad +19,8 % (base +20,2 %) · señal Mantener.</w:t>
      </w:r>
    </w:p>
    <w:p>
      <w:pPr>
        <w:spacing w:after="100"/>
      </w:pPr>
      <w:r>
        <w:t xml:space="preserve">Para comparar, con la regla v2 (historia al cierre, mismo precio): 16,2x / 19,1x / 24,8x, 9,3 % Mantener; con el tope anterior del base (×1,3, 14-oct mediodía): 31,2 % Mantener. Decide la v3 con tope ×1,1, elegida por el selector de método (sin marcas: decide la v3; METODO-VIGENTE.md).</w:t>
      </w:r>
    </w:p>
    <w:p>
      <w:pPr>
        <w:keepNext/>
        <w:spacing w:after="100"/>
      </w:pPr>
      <w:r>
        <w:rPr>
          <w:b/>
          <w:bCs/>
        </w:rPr>
        <w:t xml:space="preserve">Frente al consenso (solo contraste).</w:t>
      </w:r>
    </w:p>
    <w:p>
      <w:pPr>
        <w:spacing w:after="100"/>
      </w:pPr>
      <w:r>
        <w:t xml:space="preserve">Nuestro BPA ajustado de 2027e (7,95 EUR) coincide con el consenso pasado a ajustado (7,92) y el de 2028e (8,51) queda un 4 % por debajo (8,86) [33]: suponemos un crecimiento de ventas menor (6,0-6,5 % frente al 7,4-8,1 % del consenso), con un margen parecido. Nuestro precio base (178,71 EUR) queda un 19,3 % por debajo del objetivo medio de los 23 analistas de MarketScreener (221,43; 135-361), que incluye objetivos antiguos: los revisados desde julio están entre 135 (Kepler) y 280 (Stifel), con Goldman en 200 y BofA en 205 [16, 21, 36, 37]. La diferencia es sobre todo de múltiplo: aplicamos 21,0 veces el BPA ajustado de 2028e; el objetivo medio implica unas 25 veces.</w:t>
      </w:r>
    </w:p>
    <w:p>
      <w:pPr>
        <w:keepNext/>
        <w:spacing w:after="100"/>
      </w:pPr>
      <w:r>
        <w:rPr>
          <w:b/>
          <w:bCs/>
        </w:rPr>
        <w:t xml:space="preserve">Del valor intrínseco al objetivo a 12 meses.</w:t>
      </w:r>
    </w:p>
    <w:p>
      <w:pPr>
        <w:spacing w:after="100"/>
      </w:pPr>
      <w:r>
        <w:t xml:space="preserve">Con la regla común (v3), el objetivo ponderado es de 178,13 EUR (+19,8 % con el dividendo) y el base de 178,71 (+20,2 %): pasan los umbrales a 12 meses, pero el valor intrínseco (129,85 EUR) está por debajo del precio, así que la regla dice Mantener. La distancia entre el objetivo a 12 meses y el valor intrínseco (37 %) es grande: el primero supone que el mercado paga dentro de un año 21 veces un beneficio que crece; el segundo, que con un coste del capital del 7,8 % los flujos no justifican ni el precio de hoy. Con la prima implícita del mercado (4,2 %) el valor intrínseco sube a 170,17 EUR (+11,9 %), por encima del precio. Lo que cerraría la distancia es un margen que vuelva a crecer más que las ventas (señal: el 3T del 20-oct y la guía de febrero de 2027).</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20-oct-2026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del 3T26 [9]</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Prueba del segundo semestre con base de comparación alta; Stifel espera +5,7 % a tipo constante [37]</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Febrero de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2026 y guía</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operativo ajustado del año y tono de la guía a cinco años; un margen que crece más que las ventas cambiaría el valor</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Reorganización del capital de Delfin (compra de participaciones de herederos con financiación bancaria)</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 la paga con dividendos, presión por repartir más; si se exigieran ventas de acciones de EssilorLuxottica, riesgo de colocación</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Lanzamiento de gafas con IA de Google con sus socios, Samsung y Apple</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 la ventaja de la alianza con Meta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Abril de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Junta de accionistas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Renovaciones de consejo y voto de la remuneración tras la salida de Leonardo Maria Del Vecchio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Recompra de hasta 5 M de acciones [10]</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 del capital; apoyo al BPA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Desaceleración de las gafas con IA y competencia de Google, Samsung y Apple</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Competitivo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−33 % (bajista del DCF frente al base)</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Alianza con Meta, marcas Ray-Ban y Oakley y red de distribución; el núcleo de lentes no depende de ellas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a tipo constante por debajo del 6 % o caída interanual de unidades de gafas con IA [21]</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 disputas entre herederos en Delfin y concentración de poder en Milleri, investigado en Milán</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 (descuento de gobierno)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consejo reafirmó su confianza por unanimidad (9-sep) y Delfin compra acciones [15, 27]</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 de Milleri sin sucesor o cambio en el consejo de Delfin</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Colocación de acciones por Delfin o por herederos para financiar la reorganización del holding</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−5-10 % temporal</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financiación hablada es bancaria, con dividendos o venta de MPS y Generali [28]</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Nuevas pignoraciones o anuncio de colocación acelerada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Aranceles de EE. UU. y dólar débil</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Macro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−6 % por cada 100 pb de margen</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Subidas de precio y producción local [26]</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Diferencia entre crecimiento a tipo constante y publicado superior a 4 puntos [2]</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Rentabilidad baja del capital total (ROIC del 5,4 %, bajo el WACC) y compras fuera del núcleo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Asignación de capital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Limita el múltiplo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Flujo libre de 2.796 M y recompras [1, 2]</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Nuevas compras grandes fuera de la óptica (como Supreme)</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Privacidad y regulación de las gafas inteligentes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Regulatorio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Diseño con avisos de grabación; responsabilidad compartida con Meta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Prohibiciones en espacios públicos o investigaciones a la empresa (hoy solo a usuarios) [21]</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Deterioro del fondo de comercio (31.013 M)</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Contable</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efecto en caja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Margen de los negocios comprados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Caída de ventas comparables en GrandVision o Supreme</w:t>
            </w:r>
          </w:p>
        </w:tc>
      </w:tr>
    </w:tbl>
    <w:p>
      <w:pPr>
        <w:spacing w:after="160" w:before="0"/>
      </w:pPr>
    </w:p>
    <w:p>
      <w:pPr>
        <w:pStyle w:val="Heading2"/>
      </w:pPr>
      <w:r>
        <w:t xml:space="preserve">Pre-mortem</w:t>
      </w:r>
    </w:p>
    <w:p>
      <w:pPr>
        <w:spacing w:after="100"/>
      </w:pPr>
      <w:r>
        <w:t xml:space="preserve">Es octubre de 2029 y la acción vale 90 EUR. Las gafas de Google con sus socios y las de Apple se comieron la gama media en 2027-28 y Meta abrió su plataforma a otros fabricantes; las ventas de gafas con IA cayeron y dejaron capacidad ociosa y existencias. A la vez, la reorganización de Delfin terminó con un heredero vendiendo un paquete de acciones con descuento y con un relevo en la dirección que paralizó las decisiones un año. El núcleo de lentes siguió creciendo al 4 %, pero los aranceles volvieron por otra vía y el margen operativo ajustado bajó al 15 %; con el ROIC por debajo del coste del capital, el mercado dejó de pagar 19 veces el beneficio y pasó a 15. La señal temprana fueron los trimestres de 2026-27 con crecimiento a tipo constante por debajo del 6 %, los recortes de estimaciones que no paraban y las pignoraciones de acciones en Delfin.</w:t>
      </w:r>
    </w:p>
    <w:p>
      <w:pPr>
        <w:pStyle w:val="Heading2"/>
      </w:pPr>
      <w:r>
        <w:t xml:space="preserve">Riesgo de inteligencia artificial</w:t>
      </w:r>
    </w:p>
    <w:p>
      <w:pPr>
        <w:spacing w:after="100"/>
      </w:pPr>
      <w:r>
        <w:rPr>
          <w:b/>
          <w:bCs/>
        </w:rPr>
        <w:t xml:space="preserve">Exposición:</w:t>
      </w:r>
      <w:r>
        <w:t xml:space="preserve"> Media · </w:t>
      </w:r>
      <w:r>
        <w:rPr>
          <w:b/>
          <w:bCs/>
        </w:rPr>
        <w:t xml:space="preserve">Sentido:</w:t>
      </w:r>
      <w:r>
        <w:t xml:space="preserve"> Mixto · </w:t>
      </w:r>
      <w:r>
        <w:rPr>
          <w:b/>
          <w:bCs/>
        </w:rPr>
        <w:t xml:space="preserve">Efecto en valor (3-5 años):</w:t>
      </w:r>
      <w:r>
        <w:t xml:space="preserve"> −10 % a +10 %</w:t>
      </w:r>
    </w:p>
    <w:p>
      <w:pPr>
        <w:spacing w:after="100"/>
      </w:pPr>
      <w:r>
        <w:t xml:space="preserve">La IA toca al grupo por dos lados. Como oportunidad, las gafas con IA (Ray-Ban Meta, Oakley Meta, más de 7 millones de unidades en 2025) son la línea que más crece, aunque con menor margen; la empresa ya las fabrica, distribuye y amplía con Meta (nuevos modelos en Meta Connect, septiembre de 2026) [1, 2]. Como amenaza, convierten la montura en un dispositivo donde mandan las plataformas: Google, Samsung y Apple pueden llevarse el valor con otros fabricantes o con los suyos, y Meta podría reducir la exclusividad. El núcleo (lentes graduadas, tiendas) es poco sustituible por la IA, que sí ayuda en diagnóstico y en la venta. Señal: el peso de las gafas con IA en el crecimiento y su margen; un acuerdo de Meta con otro fabricante.</w:t>
      </w:r>
    </w:p>
    <w:p>
      <w:pPr>
        <w:pStyle w:val="Heading1"/>
      </w:pPr>
      <w:r>
        <w:t xml:space="preserve">26. ESG y controversias</w:t>
      </w:r>
    </w:p>
    <w:p>
      <w:pPr>
        <w:pStyle w:val="Confianza"/>
        <w:spacing w:after="100"/>
      </w:pPr>
      <w:r>
        <w:t xml:space="preserve">Confianza: Media</w:t>
      </w:r>
    </w:p>
    <w:p>
      <w:pPr>
        <w:spacing w:after="160" w:before="0"/>
      </w:pPr>
    </w:p>
    <w:p>
      <w:pPr>
        <w:pStyle w:val="Heading2"/>
      </w:pPr>
      <w:r>
        <w:t xml:space="preserve">Asuntos materiales</w:t>
      </w:r>
    </w:p>
    <w:p>
      <w:pPr>
        <w:spacing w:after="100"/>
      </w:pPr>
      <w:r>
        <w:t xml:space="preserve">Los asuntos materiales son la gobernanza (control de Delfin, disputas entre herederos y entre Leonardo Maria Del Vecchio y el presidente y consejero delegado Francesco Milleri en 2026), la privacidad de los datos de las gafas con IA y la cadena de suministro en China e Italia, expuesta a aranceles [14, 15, 21]. El grupo publica su estado de sostenibilidad en el documento de registro universal (programa Eyes on the Planet) [3]. No hemos encontrado calificaciones ESG recientes en fuentes abiertas.</w:t>
      </w:r>
    </w:p>
    <w:p>
      <w:pPr>
        <w:pStyle w:val="Heading2"/>
      </w:pPr>
      <w:r>
        <w:t xml:space="preserve">Controversias</w:t>
      </w:r>
    </w:p>
    <w:p>
      <w:pPr>
        <w:spacing w:after="100"/>
      </w:pPr>
      <w:r>
        <w:t xml:space="preserve">En 2026: disputa en el holding Delfin sobre el control y sobre Milleri; dimisión de Leonardo Maria Del Vecchio de todos sus cargos en el grupo (25-ago) [14]; investigación de la fiscalía de Milán a Milleri por presunta manipulación de mercado y obstrucción en la operación MPS-Mediobanca (noticia del 27-nov-2025; Delfin niega toda implicación de sus miembros) [25]; investigación de la fiscalía de París por grabaciones sin consentimiento con gafas inteligentes, sin acusación contra la empresa (septiembre de 2026) [21]. El consejo de EssilorLuxottica reafirmó por unanimidad su confianza en Milleri el 9-sep-2026 [15].</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Gafas con IA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 las ventas y del beneficio operativo de 2026 dan las gafas con IA, y con qué margen frente al del grupo?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Separa el base del bajista y la empresa no la desglosa.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margen operativo ajustado espera la dirección a cinco años, ahora que la guía es cualitativa?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distancia entre el DCF y el precio se cierra con margen, no con ventas.</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¿Cómo afecta a EssilorLuxottica la reorganización del capital de Delfin, y hay compromiso de no vender acciones?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accionista de control y su financiación son el riesgo de colocación.</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Capital</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rentabilidad esperan de Supreme y de Top Charoen y qué criterio de ROIC aplican a las compras?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ROIC del capital total está por debajo del WACC.</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Meta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¿Qué exclusividad y duración tiene el acuerdo con Meta?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plataforma es de Meta; el riesgo de que abra el acuerdo no está cuantificado.</w:t>
            </w:r>
          </w:p>
        </w:tc>
      </w:tr>
    </w:tbl>
    <w:p>
      <w:pPr>
        <w:spacing w:after="160" w:before="0"/>
      </w:pPr>
    </w:p>
    <w:p>
      <w:pPr>
        <w:pStyle w:val="Heading1"/>
      </w:pPr>
      <w:r>
        <w:t xml:space="preserve">28. Sentimiento en foros y comentarios</w:t>
      </w:r>
    </w:p>
    <w:p>
      <w:pPr>
        <w:pStyle w:val="Confianza"/>
        <w:spacing w:after="100"/>
      </w:pPr>
      <w:r>
        <w:t xml:space="preserve">Confianza: Baja</w:t>
      </w:r>
    </w:p>
    <w:p>
      <w:pPr>
        <w:spacing w:after="100"/>
      </w:pPr>
      <w:r>
        <w:rPr>
          <w:b/>
          <w:bCs/>
        </w:rPr>
        <w:t xml:space="preserve">Tono:</w:t>
      </w:r>
      <w:r>
        <w:t xml:space="preserve"> Dividido · </w:t>
      </w:r>
      <w:r>
        <w:rPr>
          <w:b/>
          <w:bCs/>
        </w:rPr>
        <w:t xml:space="preserve">Tendencia:</w:t>
      </w:r>
      <w:r>
        <w:t xml:space="preserve"> Estable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Simply Wall St (narrativas de particulares, vía Webull)</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narrativas de la comunidad sitúan el valor razonable muy por encima del precio (un 38 % de descuento en la última) y ven la caída como exagerada, condicionada a que las gafas con IA no erosionen el margen [48, 49].</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Tradingsat / BFM Bourse (noticia y comentarios)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Tras los recortes de objetivos de finales de septiembre, la conversación gira en torno a la caída continua y a la falta de suelo; se repite la idea de que la empresa vendió una historia tecnológica que no se cumple [51].</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getquin (comunidad de inversores particulares)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Unos ven una oportunidad de comprar a la mitad del máximo una empresa con foso; otros temen una «trampa de valor» por la competencia de Google, Samsung y Apple en gafas con IA [52].</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Prensa económica italiana y francesa (Il Sole 24 Ore, Option Finance)</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 divididos entre optimistas y prudentes; preocupación por la gobernanza tras la salida de Leonardo Maria Del Vecchio y las conversaciones de Delfin con bancos [28, 50].</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Las gafas con IA: motor o trampa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datos dan razón a las dos partes: casi se duplicaron en el 2T26, pero frenaron en el 1T26 y su margen es menor que el del grupo. Nuestro base no depende de ellas.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Valoración barata frente a la historia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Cierto en parte: a 152,05 EUR cotiza a unas 19 veces nuestro BPA ajustado de 2027e, el PER más bajo en al menos cinco años; pero los foros usan valores razonables de modelos automáticos, no cifras propias.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 Del Vecchio frente a Milleri</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Riesgo real: Leonardo Maria Del Vecchio dejó sus cargos el 25-ago y el 16-oct Reuters habló de compras de participaciones en Delfin financiadas con bancos [28]; lo recogemos en gobierno y en riesgos.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Recortes de objetivos de los analistas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Recortes desde julio (Goldman, Kepler, Stifel, BofA); el sentimiento sigue al consenso, no se adelanta [53].</w:t>
            </w:r>
          </w:p>
        </w:tc>
      </w:tr>
    </w:tbl>
    <w:p>
      <w:pPr>
        <w:spacing w:after="160" w:before="0"/>
      </w:pPr>
    </w:p>
    <w:p>
      <w:pPr>
        <w:spacing w:after="100"/>
      </w:pPr>
      <w:r>
        <w:t xml:space="preserve">El sentimiento está dividido y cansado: el particular ve una ganga a menos de la mitad del máximo y la prensa y los analistas siguen recortando, con Kepler en «Reducir» a 135 EUR. No es capitulación (el volumen medio de tres meses, 116 M EUR al día, es normal y Delfin y algunos consejeros compran), sino desconfianza tras una caída del 51 % en un año. Lo que aporta a la decisión es el peso del riesgo de gobierno, que en los foros pesa más que en los modelos de los analistas, y que el catalizador que falta es que las gafas con IA dejen de bajar las estimaciones: las ventas del 3T del 20-oct son la prueba.</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18 de 19 controles correctos y 1 explicados. Fuentes: 53 (26 primarias); citas distintas en el texto: 53.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Veredicto de sostenibilidad del analista coherente con las pruebas del motor</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analista dice «Sí» y las pruebas del motor dan «Sí»: razónalo en la justificación.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15,0 % frente a 15,1 % real: genera una variación de circulante de 212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63 %.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Regresión múltiplo-crecimiento explicativa (R² ≥ 0,3)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R² = 0,25: el crecimiento no explica los múltiplos de estos comparables; no uses el valor de la regresión. Explicación: R² de 0,25 con cinco comparables: la regresión no se usa; los comparables mezclan óptica, audición, dental y consumibles, y su múltiplo depende más del ROIC que del crecimiento.</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del BPA base ≤ 25 % anual desde el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53 fuentes (26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Calendario de vencimientos, rating, coste y vida media de la deuda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texto del DEU 2025 (ESEF) extraído: la nota de deuda no se separa bien en el texto; 2) comunicado del 1S26: solo deuda neta; 3) búsqueda de rating (S&amp;P A, Moody's) sin fuente primaria leída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EBITDA y BPA trimestrales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comunicados trimestrales: solo ventas; 2) semestres: sí, usados; 3) proveedores de datos: semestrales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Sustituido por semestres</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Serie de tamaño del mercado y CR5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DEU 2025: describe el mercado sin serie; 2) estudios de mercado: rangos de 161.000-222.000 M USD sin serie homogénea; 3) Vision Council: sin cifra mundial abierta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Calificaciones ESG</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DEU 2025: menciona índices sin calificación con fecha; 2) búsqueda MSCI/Sustainalytics: sin resultado abierto; 3) prensa: sin resultado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Votaciones de remuneración de las tres últimas juntas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DEU 2025: no recoge el acta de 2026; 2) web de la empresa (página de juntas): 404 desde la nube; 3) búsqueda del resultado de votos de la junta del 28-abr-2026: sin cifras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Año de nombramiento de cada consejero independiente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DEU 2025 en texto extraído del ESEF: tablas partidas; 2) comunicados de juntas; 3) búsqueda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 (null)</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bolsa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Posición corta y causa de la caída del 27-feb-2026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registro de posiciones cortas de la AMF: sin declaraciones por encima del 0,5 % leídas; 2) búsqueda en francés de la sesión del 27-feb; 3) búsqueda en inglés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Consenso de BPA ajustado y reparto de recomendaciones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MarketScreener: solo BPA NIIF; 2) Seeking Alpha e Investing: sin acceso o en base del ADR; 3) web de la empresa (consenso compilado): 404</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Estimado con el ajuste de amortización de compras de 2025</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sentimiento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Reddit, Stocktwits y foro de Boursorama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Reddit y Stocktwits por búsqueda: sin hilos recientes en los resultados; 2) Boursorama por búsqueda: sin resultados; 3) getquin y narrativas de Simply Wall St: leídas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Q4/FY 2025 Results – Press Release (con estados financieros resumidos)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EssilorLuxottica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11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https://www.essilorluxottica.com/cap/content/283060/?_iframe=true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Q2/H1 2026 results: solid revenue trajectory at 9.7% in H1 (comunicado depositado en la AMF, 36 páginas)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EssilorLuxottica (AMF, información regulada)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28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https://echanges.dila.gouv.fr/OPENDATA/AMF/MKW/2026/07/FCMKW114841_20260728.pdf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Document d'enregistrement universel 2025 (paquete ESEF, D.26-0067)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EssilorLuxottica (AMF, BDIF)</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https://bdif.amf-france.org/back/api/v1/documents/2026/D.26-0067/0D68313E89A3B969F30FC93636A5F593D5C83740DCE94719A81161AF47F6C7EB.zip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EssilorLuxottica: informe anual 2021 (ESEF)</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XBRL International (filings.xbrl.org)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https://filings.xbrl.org/549300M3VH1A3ER1TB49/2021-12-31/ESEF/FR/0/el-2021-12-31AR/reports/el-2021-12-31AR.xhtml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Q4/FY 2024 Results – Press Release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EssilorLuxottica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https://www.essilorluxottica.com/cap/content/245084/?_iframe=true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Q4/FY 2023 Results (comunicado depositado en la AMF, con estados financieros)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EssilorLuxottica (AMF, información regulada)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feb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https://echanges.dila.gouv.fr/OPENDATA/AMF/MKW/2024/02/FCMKW113830_20240214.pdf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EssilorLuxottica: informes anuales 2022-2024 (ESEF, extraídos con cuentas.mjs)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XBRL International (filings.xbrl.org)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https://filings.xbrl.org/549300M3VH1A3ER1TB49/2024-12-31/ESEF/FR/0/el-2024-12-31-0-fr/reports/el-2024-12-31-0-fr.xhtml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EssilorLuxottica Q1 2026 revenue: revenue rising 10.8% in Q1 (copia del comunicado)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Santé log / EssilorLuxottica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https://www.santelog.com/actualites-sante-nasdaq/essilorluxottica-q1-2026-revenue-revenue-rising-108-q1-third-consecutive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EssilorLuxottica: Third-Quarter 2026 Revenue Conference Call Invitation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EssilorLuxottica (MFN)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https://mfn.se/one/a/essilorluxottica/essilorluxottica-third-quarter-2026-revenue-conference-call-invitation-b9fa187e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EssilorLuxottica announces the launch of a share buyback program</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EssilorLuxottica (MFN)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https://mfn.se/one/a/essilorluxottica/essilorluxottica-announces-the-launch-of-a-share-buyback-program-b2aec348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Disclosure of Share Capital and Voting Rights Outstanding as of September 30,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EssilorLuxottica (MFN)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https://mfn.se/one/a/essilorluxottica/essilorluxottica-disclosure-of-share-capital-and-voting-rights-outstanding-as-of-september-30-2026-5378f0e7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Global Eyewear Market Size, Share &amp; Forecast 2026-2031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Ken Research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https://www.kenresearch.com/global-eyewear-market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Eyewear Market Size report 2025-2034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Global Market Insights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https://www.gminsights.com/industry-analysis/eyewear-Market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Leonardo Maria Del Vecchio resigns from all positions at EssilorLuxottica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https://www.ansa.it/english/news/2026/08/25/leonardo-maria-del-vecchio-resigns-from-all-positions-at-essilorluxottica_8d55e889-3163-4cda-a78d-b1892cc8a63b.html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EssilorLuxottica Board of Directors unanimously reaffirms confidence in the Company's leadership and strategy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EssilorLuxottica (MFN)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https://mfn.se/one/a/essilorluxottica/essilorluxottica-essilorluxottica-board-of-directors-unanimously-reaffirms-confidence-in-the-companys-leadership-and-strategy-fbd56673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EssilorLuxottica falls as Goldman cuts to Neutral on slowing AI glasses outlook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Investing.com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https://www.investing.com/news/stock-market-news/essilorluxottica-falls-as-goldman-cuts-to-neutral-on-slowing-ai-glasses-outlook-4789856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Hoya Is the Second-Largest Eyeglass Lensmaker and the Dominant Leader in Mask Blanks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Morningstar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https://www.morningstar.com/company-reports/1485209-hoya-is-the-second-largest-eyeglass-lensmaker-and-the-dominant-leader-in-mask-blanks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EssilorLuxottica to acquire a 76.72% stake in GrandVision from HAL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EssilorLuxottica (AMF)</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jul 2019</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https://echanges.dila.gouv.fr/OPENDATA/AMF/MKW/2019/07/FCMKW114936_20190731.pdf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Fielmann Annual Report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Fielmann Group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https://www.fielmann-group.com/fileadmin/fielmann/Dokumente/Publikationen/Geschaeftsberichte/EN/Fielmann_Annual_Report_2025.pdf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Ray-Ban maker EssilorLuxottica falls 5.7% after Google plans AI glasses launch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Torre 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https://torre.news/ray-ban-maker-essilorluxottica-falls-57-after-google-plans-ai-glasses-launch-europe-markets-close-lower</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EssilorLuxottica Aktie: Strafuntersuchung zu Smart-Glasses-Missbrauch (Kepler rebaja a Reducir)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Finanztrends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https://www.finanztrends.de/news/essilorluxottica-aktie-strafuntersuchung-zu-smart-glasses-missbrauch/</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HOYA Corporation (TYO:7741) Financials – Income Statement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https://stockanalysis.com/quote/tyo/7741/financials/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Alcon: comunicado de resultados del 2T26 (Form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Alcon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https://www.sec.gov/Archives/edgar/data/0001167379/000116737926000030/q22026pressrelease.htm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Cooper Companies: Form 10-K del ejercicio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Cooper Companies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https://www.sec.gov/Archives/edgar/data/711404/000162828025055615/coo-20251031.htm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Scalata di Mps a Mediobanca: indagati Caltagirone, Milleri e Lovaglio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LaPresse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https://www.lapresse.it/economia/2025/11/27/banche-caltagirone-milleri-e-lovaglio-indagati-per-scalata-di-mps-a-mediobanca/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EssilorLuxottica slips as doubts linger over smart glasses growth (Reuters)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Investing.com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https://www.investing.com/news/stock-market-news/essilorluxottica-slips-as-doubts-linger-over-smart-glasses-growth-4631576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Déclarations des dirigeants: Delfin, compra de 100.000 acciones a 164,10 EUR (29-jul-2026) y resto de avisos de 12 meses en la BDIF</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AMF (BDIF)</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https://bdif.amf-france.org/back/api/v1/documents/2026/2026DD1130261/148BE94CA26BBB0A661DCE3ECAFE1171A59603A092B6E4278FD1333826AE8DB3.pdf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Late Italian billionaire Leonardo Del Vecchio's heirs weigh a bank-funded buyout (Reuters)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Billionaires.Africa (cita a Reuters)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https://www.billionaires.africa/2026/10/16/late-italian-billionaire-leonardo-del-vecchios-heirs-weigh-a-bank-funded-buyout/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Alerte AFG n° 25: EssilorLuxottica, assemblée générale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AFG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https://www.afg.asso.fr/app/uploads/2026/04/Div-n°-6493_04-_Alerte-n°-25-ESSILOR.pdf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EssilorLuxottica heir buys out siblings in €10 billion deal (Reuters)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Quartz</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https://qz.com/essilorluxottica-del-vecchio-heir-sibling-buyout-delfin-042726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Déclaration des dirigeants: Swati Piramal, compra de 250 acciones a 146,15 EUR (29-sep-2026)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AMF (BDIF)</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https://bdif.amf-france.org/back/api/v1/documents/2026/2026DD1141092/4170BD69992E4CB11C095D5B4FBD517DE0C26CDEC5C6AD9A988AF3395BF8B460.pdf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EL.PA, EXSA.DE y EXV4.DE: históricos diarios (precio, rentabilidades, betas, cierres de ejercicio; bolsa.mjs y movimiento.mjs)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https://finance.yahoo.com/quote/EL.PA/history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EssilorLuxottica: Financial Data, Forecasts, consensus (23 analistas)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https://www.marketscreener.com/quote/stock/ESSILORLUXOTTICA-4641/finances/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Tipos de cambio de referencia del euro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https://www.ecb.europa.eu/stats/eurofxref/eurofxref-daily.xml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Estructura temporal de tipos de la deuda federal alemana: vencimiento residual de 10 años (Svensson), serie diaria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Deutsche Bundesbank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https://api.statistiken.bundesbank.de/rest/download/BBSIS/D.I.ZST.ZI.EUR.S1311.B.A604.R10XX.R.A.A._Z._Z.A?format=csv&amp;lang=en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EssilorLuxottica Aktie: BofA senkt Kursziel auf 205 Euro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Goldesel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https://goldesel.de/aktien/news/essilorluxottica-aktie-bofa-senkt-kursziel-auf-205-euro-bleibt-bei-kaufen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Stifel réduit sa cible sur EssilorLuxottica mais reste à l’achat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Option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https://www.optionfinance.fr/info-financiere-en-continu/d/2026-09-29-stifel-reduit-sa-cible-sur-essilorluxottica-mais-reste-a-lachat.html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Amplifon: Company Update tras la compra de GN Hearing</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Intermonte SIM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https://www.websim.it/static/upload/amp/amplifon-17-03-26.pdf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Hologic to be Acquired by Blackstone and TPG</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Hologic (SEC, 8-K)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https://www.sec.gov/Archives/edgar/data/859737/000119312525244423/d72397dex991.htm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CooperCompanies to Acquire Generate Life Sciences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Cooper Companies (SEC, 8-K)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nov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https://www.sec.gov/Archives/edgar/data/711404/000119312521326207/d204711dex991.htm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Bausch + Lomb to acquire XIIDRA from Novartis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Bausch + Lomb (SEC, 8-K)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jun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https://www.sec.gov/Archives/edgar/data/1860742/000119312523179447/d493799dex991.htm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Fielmann Annual Report 2024 (Shopko Optical)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Fielmann Group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https://www.fielmann-group.com/fileadmin/fielmann/Dokumente/Publikationen/Geschaeftsberichte/EN/Fielmann_Annual_Report_2024.pdf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Q3/9M 2025 Revenue – Press Release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EssilorLuxottica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https://www.essilorluxottica.com/cap/content/262766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Demant Annual Report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Demant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https://via.ritzau.dk/ir-files/13560112/14774039/17104/Demant%20Annual%20Report%202025.pdf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Sonova Annual Report 2025/26 – Financial Report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Sonova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https://www.sonova.com/wp-content/uploads/2026/05/08_Sonova_AR_25-26_Finance_en.pdf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Straumann, Coloplast y Fielmann: informes anuales (comparables de los informes del repo de 8-14 oct)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Straumann Group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https://www.straumann.com/content/dam/media-center/group/en/documents/annual-report/2025/StraumannGroup-Press-Release-FY2025.pdf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Damodaran: Implied ERP by month (ERPbymonth.xlsx)</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NYU Stern (A. Damodaran)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EssilorLuxottica (ENXTPA:EL) Expands Smart Eyewear, Is It Still 38% Below Fair Value? (narrativas de la comunidad de Simply Wall St)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Webull / Simply Wall St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https://www.webull.com/news/15699434643063808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EssilorLuxottica (ENXTPA:EL) Results Put Its Valuation Narrative Back In Focus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Webull / Simply Wall St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https://www.webull.com/news/15310544008012800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 Paris, EssiLux falls; analysts divided between optimistic and cautious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Il Sole 24 Ore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https://en.ilsole24ore.com/art/in-paris-essilux-accounts-fall-analysts-divided-optimistic-and-cautious-AIhf0ueC</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EssilorLuxottica recule, les analystes rabotent toujours leurs objectifs (con comentarios de lectores)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Tradingsat (BFM Bourse)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https://www.tradingsat.com/essilorluxottica-FR0000121667/actualites/essilorluxottica-essilorluxottica-recule-les-analystes-rabotent-toujours-leurs-objectifs-1170792.html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EssilorLuxottica forum discussion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getquin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https://app.getquin.com/es/acciones/FR0000121667/essilorluxottica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EssilorLuxottica stock falls 47 percent as targets reset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ad-hoc-news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https://www.ad-hoc-news.de/boerse/news/corporate-news/essilorluxottica-stock-falls-47-percent-as-targets-reset/70164942</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88,3 %</w:t>
      </w:r>
      <w:r>
        <w:t xml:space="preserve"> · Secciones con menos del 60 % de campos cubiertos: </w:t>
      </w:r>
      <w:r>
        <w:rPr>
          <w:b/>
          <w:bCs/>
        </w:rPr>
        <w:t xml:space="preserve">balance</w:t>
      </w:r>
      <w:r>
        <w:t xml:space="preserve"> · Generado el 19 oct 2026.</w:t>
      </w:r>
    </w:p>
    <w:p>
      <w:pPr>
        <w:pStyle w:val="Nota"/>
        <w:spacing w:after="100"/>
      </w:pPr>
      <w:r>
        <w:t xml:space="preserve">Cotiza en Euronext París en EUR y publica en EUR (NIIF-UE): tipo 1. Cuentas 2020-2024 del ESEF del grupo (LEI 549300M3VH1A3ER1TB49) extraído con cuentas.mjs; 2025 del ESEF del documento de registro universal depositado en la AMF (D.26-0067), porque filings.xbrl.org aún no tenía 2025; 1S26 del comunicado depositado en la AMF [2, 3, 4, 7]. El precio es el cierre del 19-oct-2026 (152,05 EUR, Euronext París, leído a las 19:57 CEST, después del cierre de las 17:30). La empresa solo publica cuentas semestrales: la sección de trimestres va por semestres. El consenso de MarketScreener da BPA NIIF; para compararlo con nuestro BPA ajustado le sumamos la amortización de compras neta de 2025 (647 M), estimación propia [33]. Los comparables se toman de los informes del repo de 9-14 de octubre, llevados al precio del 19-oct; el PER de cada uno está en su propia base. El objetivo a 12 meses y la historia del PER van en BPA ajustado (sin la amortización de compras), la base que publica la empresa; la iteración del 14-oct mezclaba BPA publicado en la historia y ajustado en el actual, y aquí se corrige.</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19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EssilorLuxottica Société anonyme (EL)</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(EUR) · precio actual 152,05</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Hoja1!$A$2:$A$10</c:f>
              <c:strCache>
                <c:ptCount val="9"/>
                <c:pt idx="0">
                  <c:v>Cotización 52 semanas (138,30 – 323,80)</c:v>
                </c:pt>
                <c:pt idx="1">
                  <c:v>Precio objetivo de los analistas (135,00 – 361,00)</c:v>
                </c:pt>
                <c:pt idx="2">
                  <c:v>Comparables: EV/EBITDA NTM (150,26 – 199,25)</c:v>
                </c:pt>
                <c:pt idx="3">
                  <c:v>Comparables: PER NTM (133,60 – 196,50)</c:v>
                </c:pt>
                <c:pt idx="4">
                  <c:v>Transacciones precedentes (EV/ventas) (113,03 – 251,02)</c:v>
                </c:pt>
                <c:pt idx="5">
                  <c:v>DCF (WACC y g ± 0,5) (111,09 – 165,28)</c:v>
                </c:pt>
                <c:pt idx="6">
                  <c:v>Escenarios (bajista – alcista) (89,31 – 157,21)</c:v>
                </c:pt>
                <c:pt idx="7">
                  <c:v>DCF con la prima implícita del mercado (4,2 %)</c:v>
                </c:pt>
                <c:pt idx="8">
                  <c:v>Precio actual (152,05)</c:v>
                </c:pt>
              </c:strCache>
            </c:strRef>
          </c:cat>
          <c:val>
            <c:numRef>
              <c:f>Hoja1!$B$2:$B$10</c:f>
              <c:numCache>
                <c:formatCode>#,##0</c:formatCode>
                <c:ptCount val="9"/>
                <c:pt idx="0">
                  <c:v>138.3</c:v>
                </c:pt>
                <c:pt idx="1">
                  <c:v>135</c:v>
                </c:pt>
                <c:pt idx="2">
                  <c:v>150.26</c:v>
                </c:pt>
                <c:pt idx="3">
                  <c:v>133.6</c:v>
                </c:pt>
                <c:pt idx="4">
                  <c:v>113.03</c:v>
                </c:pt>
                <c:pt idx="5">
                  <c:v>111.09</c:v>
                </c:pt>
                <c:pt idx="6">
                  <c:v>89.31</c:v>
                </c:pt>
                <c:pt idx="7">
                  <c:v>152.83</c:v>
                </c:pt>
                <c:pt idx="8">
                  <c:v>151.29</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8"/>
            <c:invertIfNegative val="0"/>
            <c:bubble3D val="0"/>
            <c:spPr>
              <a:solidFill>
                <a:srgbClr val="C9C8C2"/>
              </a:solidFill>
            </c:spPr>
          </c:dPt>
          <c:cat>
            <c:strRef>
              <c:f>Hoja1!$A$2:$A$10</c:f>
              <c:strCache>
                <c:ptCount val="9"/>
                <c:pt idx="0">
                  <c:v>Cotización 52 semanas (138,30 – 323,80)</c:v>
                </c:pt>
                <c:pt idx="1">
                  <c:v>Precio objetivo de los analistas (135,00 – 361,00)</c:v>
                </c:pt>
                <c:pt idx="2">
                  <c:v>Comparables: EV/EBITDA NTM (150,26 – 199,25)</c:v>
                </c:pt>
                <c:pt idx="3">
                  <c:v>Comparables: PER NTM (133,60 – 196,50)</c:v>
                </c:pt>
                <c:pt idx="4">
                  <c:v>Transacciones precedentes (EV/ventas) (113,03 – 251,02)</c:v>
                </c:pt>
                <c:pt idx="5">
                  <c:v>DCF (WACC y g ± 0,5) (111,09 – 165,28)</c:v>
                </c:pt>
                <c:pt idx="6">
                  <c:v>Escenarios (bajista – alcista) (89,31 – 157,21)</c:v>
                </c:pt>
                <c:pt idx="7">
                  <c:v>DCF con la prima implícita del mercado (4,2 %)</c:v>
                </c:pt>
                <c:pt idx="8">
                  <c:v>Precio actual (152,05)</c:v>
                </c:pt>
              </c:strCache>
            </c:strRef>
          </c:cat>
          <c:val>
            <c:numRef>
              <c:f>Hoja1!$C$2:$C$10</c:f>
              <c:numCache>
                <c:formatCode>#,##0</c:formatCode>
                <c:ptCount val="9"/>
                <c:pt idx="0">
                  <c:v>185.5</c:v>
                </c:pt>
                <c:pt idx="1">
                  <c:v>226</c:v>
                </c:pt>
                <c:pt idx="2">
                  <c:v>48.99000000000001</c:v>
                </c:pt>
                <c:pt idx="3">
                  <c:v>62.900000000000006</c:v>
                </c:pt>
                <c:pt idx="4">
                  <c:v>137.99</c:v>
                </c:pt>
                <c:pt idx="5">
                  <c:v>54.19</c:v>
                </c:pt>
                <c:pt idx="6">
                  <c:v>67.9</c:v>
                </c:pt>
                <c:pt idx="7">
                  <c:v>49.70999999999998</c:v>
                </c:pt>
                <c:pt idx="8">
                  <c:v>1.5200000000000102</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(EUR, millones)</a:t>
            </a:r>
          </a:p>
        </c:rich>
      </c:tx>
      <c:overlay val="0"/>
    </c:title>
    <c:autoTitleDeleted val="0"/>
    <c:plotArea>
      <c:layout/>
      <c:barChart>
        <c:barDir val="col"/>
        <c:grouping val="stacked"/>
        <c:varyColors val="0"/>
        <c:ser>
          <c:idx val="0"/>
          <c:order val="0"/>
          <c:tx>
            <c:strRef>
              <c:f>Hoja1!$B$1</c:f>
              <c:strCache>
                <c:ptCount val="1"/>
                <c:pt idx="0">
                  <c:v>Professional Solutions</c:v>
                </c:pt>
              </c:strCache>
            </c:strRef>
          </c:tx>
          <c:spPr>
            <a:solidFill>
              <a:srgbClr val="2A78D6"/>
            </a:solidFill>
            <a:ln w="12700">
              <a:solidFill>
                <a:srgbClr val="FFFFFF"/>
              </a:solidFill>
            </a:ln>
          </c:spPr>
          <c:invertIfNegative val="0"/>
          <c:cat>
            <c:strRef>
              <c:f>Hoja1!$A$2:$A$5</c:f>
              <c:strCache>
                <c:ptCount val="4"/>
                <c:pt idx="0">
                  <c:v>2022</c:v>
                </c:pt>
                <c:pt idx="1">
                  <c:v>2023</c:v>
                </c:pt>
                <c:pt idx="2">
                  <c:v>2024</c:v>
                </c:pt>
                <c:pt idx="3">
                  <c:v>2025</c:v>
                </c:pt>
              </c:strCache>
            </c:strRef>
          </c:cat>
          <c:val>
            <c:numRef>
              <c:f>Hoja1!$B$2:$B$5</c:f>
              <c:numCache>
                <c:formatCode>#,##0</c:formatCode>
                <c:ptCount val="4"/>
                <c:pt idx="0">
                  <c:v>11770</c:v>
                </c:pt>
                <c:pt idx="1">
                  <c:v>12199</c:v>
                </c:pt>
                <c:pt idx="2">
                  <c:v>12547</c:v>
                </c:pt>
                <c:pt idx="3">
                  <c:v>13600</c:v>
                </c:pt>
              </c:numCache>
            </c:numRef>
          </c:val>
        </c:ser>
        <c:ser>
          <c:idx val="1"/>
          <c:order val="1"/>
          <c:tx>
            <c:strRef>
              <c:f>Hoja1!$C$1</c:f>
              <c:strCache>
                <c:ptCount val="1"/>
                <c:pt idx="0">
                  <c:v>Direct to Consumer</c:v>
                </c:pt>
              </c:strCache>
            </c:strRef>
          </c:tx>
          <c:spPr>
            <a:solidFill>
              <a:srgbClr val="EB6834"/>
            </a:solidFill>
            <a:ln w="12700">
              <a:solidFill>
                <a:srgbClr val="FFFFFF"/>
              </a:solidFill>
            </a:ln>
          </c:spPr>
          <c:invertIfNegative val="0"/>
          <c:cat>
            <c:strRef>
              <c:f>Hoja1!$A$2:$A$5</c:f>
              <c:strCache>
                <c:ptCount val="4"/>
                <c:pt idx="0">
                  <c:v>2022</c:v>
                </c:pt>
                <c:pt idx="1">
                  <c:v>2023</c:v>
                </c:pt>
                <c:pt idx="2">
                  <c:v>2024</c:v>
                </c:pt>
                <c:pt idx="3">
                  <c:v>2025</c:v>
                </c:pt>
              </c:strCache>
            </c:strRef>
          </c:cat>
          <c:val>
            <c:numRef>
              <c:f>Hoja1!$C$2:$C$5</c:f>
              <c:numCache>
                <c:formatCode>#,##0</c:formatCode>
                <c:ptCount val="4"/>
                <c:pt idx="0">
                  <c:v>12724</c:v>
                </c:pt>
                <c:pt idx="1">
                  <c:v>13195</c:v>
                </c:pt>
                <c:pt idx="2">
                  <c:v>13960</c:v>
                </c:pt>
                <c:pt idx="3">
                  <c:v>14891</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Professional Solutions</c:v>
                </c:pt>
                <c:pt idx="1">
                  <c:v>Direct to Consumer</c:v>
                </c:pt>
              </c:strCache>
            </c:strRef>
          </c:cat>
          <c:val>
            <c:numRef>
              <c:f>Hoja1!$B$2:$B$3</c:f>
              <c:numCache>
                <c:formatCode>General</c:formatCode>
                <c:ptCount val="2"/>
                <c:pt idx="0">
                  <c:v>47.7</c:v>
                </c:pt>
                <c:pt idx="1">
                  <c:v>52.3</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destino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Norteamérica</c:v>
                </c:pt>
                <c:pt idx="1">
                  <c:v>EMEA</c:v>
                </c:pt>
                <c:pt idx="2">
                  <c:v>Asia-Pacífico</c:v>
                </c:pt>
                <c:pt idx="3">
                  <c:v>Latinoamérica</c:v>
                </c:pt>
              </c:strCache>
            </c:strRef>
          </c:cat>
          <c:val>
            <c:numRef>
              <c:f>Hoja1!$B$2:$B$5</c:f>
              <c:numCache>
                <c:formatCode>0"%"</c:formatCode>
                <c:ptCount val="4"/>
                <c:pt idx="0">
                  <c:v>44.9</c:v>
                </c:pt>
                <c:pt idx="1">
                  <c:v>37.8</c:v>
                </c:pt>
                <c:pt idx="2">
                  <c:v>12</c:v>
                </c:pt>
                <c:pt idx="3">
                  <c:v>5.3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2</c:v>
                </c:pt>
                <c:pt idx="1">
                  <c:v>2</c:v>
                </c:pt>
                <c:pt idx="2">
                  <c:v>2</c:v>
                </c:pt>
                <c:pt idx="3">
                  <c:v>3</c:v>
                </c:pt>
                <c:pt idx="4">
                  <c:v>2</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EssilorLuxottica</c:v>
                </c:pt>
                <c:pt idx="1">
                  <c:v>Hoya</c:v>
                </c:pt>
                <c:pt idx="2">
                  <c:v>Carl Zeiss Vision</c:v>
                </c:pt>
                <c:pt idx="3">
                  <c:v>Alcon</c:v>
                </c:pt>
                <c:pt idx="4">
                  <c:v>Cooper Companies</c:v>
                </c:pt>
                <c:pt idx="5">
                  <c:v>Fielmann</c:v>
                </c:pt>
                <c:pt idx="6">
                  <c:v>Safilo</c:v>
                </c:pt>
              </c:strCache>
            </c:strRef>
          </c:cat>
          <c:val>
            <c:numRef>
              <c:f>Hoja1!$B$2:$B$8</c:f>
              <c:numCache>
                <c:formatCode>0.0"%"</c:formatCode>
                <c:ptCount val="7"/>
                <c:pt idx="0">
                  <c:v>12.7</c:v>
                </c:pt>
                <c:pt idx="1">
                  <c:v>29.1</c:v>
                </c:pt>
                <c:pt idx="3">
                  <c:v>13.1</c:v>
                </c:pt>
                <c:pt idx="4">
                  <c:v>16.7</c:v>
                </c:pt>
                <c:pt idx="5">
                  <c:v>13.5</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1</c:v>
                </c:pt>
                <c:pt idx="1">
                  <c:v>3</c:v>
                </c:pt>
                <c:pt idx="2">
                  <c:v>5</c:v>
                </c:pt>
                <c:pt idx="3">
                  <c:v>3</c:v>
                </c:pt>
                <c:pt idx="4">
                  <c:v>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(EUR,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Hoja1!$A$2:$A$17</c:f>
              <c:strCache>
                <c:ptCount val="16"/>
                <c:pt idx="0">
                  <c:v>2020</c:v>
                </c:pt>
                <c:pt idx="1">
                  <c:v>2021</c:v>
                </c:pt>
                <c:pt idx="2">
                  <c:v>2022</c:v>
                </c:pt>
                <c:pt idx="3">
                  <c:v>2023</c:v>
                </c:pt>
                <c:pt idx="4">
                  <c:v>2024</c:v>
                </c:pt>
                <c:pt idx="5">
                  <c:v>2025</c:v>
                </c:pt>
                <c:pt idx="6">
                  <c:v>2026e</c:v>
                </c:pt>
                <c:pt idx="7">
                  <c:v>2027e</c:v>
                </c:pt>
                <c:pt idx="8">
                  <c:v>2028e</c:v>
                </c:pt>
                <c:pt idx="9">
                  <c:v>2029e</c:v>
                </c:pt>
                <c:pt idx="10">
                  <c:v>2030e</c:v>
                </c:pt>
                <c:pt idx="11">
                  <c:v>2031e</c:v>
                </c:pt>
                <c:pt idx="12">
                  <c:v>2032e</c:v>
                </c:pt>
                <c:pt idx="13">
                  <c:v>2033e</c:v>
                </c:pt>
                <c:pt idx="14">
                  <c:v>2034e</c:v>
                </c:pt>
                <c:pt idx="15">
                  <c:v>2035e</c:v>
                </c:pt>
              </c:strCache>
            </c:strRef>
          </c:cat>
          <c:val>
            <c:numRef>
              <c:f>Hoja1!$B$2:$B$17</c:f>
              <c:numCache>
                <c:formatCode>#,##0</c:formatCode>
                <c:ptCount val="16"/>
                <c:pt idx="0">
                  <c:v>14429</c:v>
                </c:pt>
                <c:pt idx="1">
                  <c:v>19820</c:v>
                </c:pt>
                <c:pt idx="2">
                  <c:v>24494</c:v>
                </c:pt>
                <c:pt idx="3">
                  <c:v>25395</c:v>
                </c:pt>
                <c:pt idx="4">
                  <c:v>26508</c:v>
                </c:pt>
                <c:pt idx="5">
                  <c:v>28491</c:v>
                </c:pt>
                <c:pt idx="6">
                  <c:v>30058</c:v>
                </c:pt>
                <c:pt idx="7">
                  <c:v>32012</c:v>
                </c:pt>
                <c:pt idx="8">
                  <c:v>33932</c:v>
                </c:pt>
                <c:pt idx="9">
                  <c:v>35799</c:v>
                </c:pt>
                <c:pt idx="10">
                  <c:v>37589</c:v>
                </c:pt>
                <c:pt idx="11">
                  <c:v>39280</c:v>
                </c:pt>
                <c:pt idx="12">
                  <c:v>40851</c:v>
                </c:pt>
                <c:pt idx="13">
                  <c:v>42281</c:v>
                </c:pt>
                <c:pt idx="14">
                  <c:v>43550</c:v>
                </c:pt>
                <c:pt idx="15">
                  <c:v>44856</c:v>
                </c:pt>
              </c:numCache>
            </c:numRef>
          </c:val>
        </c:ser>
        <c:ser>
          <c:idx val="1"/>
          <c:order val="1"/>
          <c:tx>
            <c:strRef>
              <c:f>Hoja1!$C$1</c:f>
              <c:strCache>
                <c:ptCount val="1"/>
                <c:pt idx="0">
                  <c:v>EBITDA</c:v>
                </c:pt>
              </c:strCache>
            </c:strRef>
          </c:tx>
          <c:spPr>
            <a:solidFill>
              <a:srgbClr val="EB6834"/>
            </a:solidFill>
            <a:ln w="9525">
              <a:noFill/>
            </a:ln>
          </c:spPr>
          <c:invertIfNegative val="0"/>
          <c:cat>
            <c:strRef>
              <c:f>Hoja1!$A$2:$A$17</c:f>
              <c:strCache>
                <c:ptCount val="16"/>
                <c:pt idx="0">
                  <c:v>2020</c:v>
                </c:pt>
                <c:pt idx="1">
                  <c:v>2021</c:v>
                </c:pt>
                <c:pt idx="2">
                  <c:v>2022</c:v>
                </c:pt>
                <c:pt idx="3">
                  <c:v>2023</c:v>
                </c:pt>
                <c:pt idx="4">
                  <c:v>2024</c:v>
                </c:pt>
                <c:pt idx="5">
                  <c:v>2025</c:v>
                </c:pt>
                <c:pt idx="6">
                  <c:v>2026e</c:v>
                </c:pt>
                <c:pt idx="7">
                  <c:v>2027e</c:v>
                </c:pt>
                <c:pt idx="8">
                  <c:v>2028e</c:v>
                </c:pt>
                <c:pt idx="9">
                  <c:v>2029e</c:v>
                </c:pt>
                <c:pt idx="10">
                  <c:v>2030e</c:v>
                </c:pt>
                <c:pt idx="11">
                  <c:v>2031e</c:v>
                </c:pt>
                <c:pt idx="12">
                  <c:v>2032e</c:v>
                </c:pt>
                <c:pt idx="13">
                  <c:v>2033e</c:v>
                </c:pt>
                <c:pt idx="14">
                  <c:v>2034e</c:v>
                </c:pt>
                <c:pt idx="15">
                  <c:v>2035e</c:v>
                </c:pt>
              </c:strCache>
            </c:strRef>
          </c:cat>
          <c:val>
            <c:numRef>
              <c:f>Hoja1!$C$2:$C$17</c:f>
              <c:numCache>
                <c:formatCode>#,##0</c:formatCode>
                <c:ptCount val="16"/>
                <c:pt idx="0">
                  <c:v>2607</c:v>
                </c:pt>
                <c:pt idx="1">
                  <c:v>4787</c:v>
                </c:pt>
                <c:pt idx="2">
                  <c:v>6127</c:v>
                </c:pt>
                <c:pt idx="3">
                  <c:v>6148</c:v>
                </c:pt>
                <c:pt idx="4">
                  <c:v>6546</c:v>
                </c:pt>
                <c:pt idx="5">
                  <c:v>6741</c:v>
                </c:pt>
                <c:pt idx="6">
                  <c:v>7244</c:v>
                </c:pt>
                <c:pt idx="7">
                  <c:v>7779</c:v>
                </c:pt>
                <c:pt idx="8">
                  <c:v>8280</c:v>
                </c:pt>
                <c:pt idx="9">
                  <c:v>8735</c:v>
                </c:pt>
                <c:pt idx="10">
                  <c:v>9172</c:v>
                </c:pt>
                <c:pt idx="11">
                  <c:v>9584</c:v>
                </c:pt>
                <c:pt idx="12">
                  <c:v>9968</c:v>
                </c:pt>
                <c:pt idx="13">
                  <c:v>10317</c:v>
                </c:pt>
                <c:pt idx="14">
                  <c:v>10626</c:v>
                </c:pt>
                <c:pt idx="15">
                  <c:v>10945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56.7</c:v>
                </c:pt>
                <c:pt idx="1">
                  <c:v>61.7</c:v>
                </c:pt>
                <c:pt idx="2">
                  <c:v>63.6</c:v>
                </c:pt>
                <c:pt idx="3">
                  <c:v>63.2</c:v>
                </c:pt>
                <c:pt idx="4">
                  <c:v>63.4</c:v>
                </c:pt>
                <c:pt idx="5">
                  <c:v>60.6</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18.1</c:v>
                </c:pt>
                <c:pt idx="1">
                  <c:v>24.2</c:v>
                </c:pt>
                <c:pt idx="2">
                  <c:v>25</c:v>
                </c:pt>
                <c:pt idx="3">
                  <c:v>24.2</c:v>
                </c:pt>
                <c:pt idx="4">
                  <c:v>24.7</c:v>
                </c:pt>
                <c:pt idx="5">
                  <c:v>23.7</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Hoja1!$D$2:$D$7</c:f>
              <c:numCache>
                <c:formatCode>0"%"</c:formatCode>
                <c:ptCount val="6"/>
                <c:pt idx="0">
                  <c:v>3.1</c:v>
                </c:pt>
                <c:pt idx="1">
                  <c:v>11.6</c:v>
                </c:pt>
                <c:pt idx="2">
                  <c:v>12.9</c:v>
                </c:pt>
                <c:pt idx="3">
                  <c:v>12.5</c:v>
                </c:pt>
                <c:pt idx="4">
                  <c:v>13</c:v>
                </c:pt>
                <c:pt idx="5">
                  <c:v>12.7</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Hoja1!$E$2:$E$7</c:f>
              <c:numCache>
                <c:formatCode>0"%"</c:formatCode>
                <c:ptCount val="6"/>
                <c:pt idx="0">
                  <c:v>0.6</c:v>
                </c:pt>
                <c:pt idx="1">
                  <c:v>7.3</c:v>
                </c:pt>
                <c:pt idx="2">
                  <c:v>8.8</c:v>
                </c:pt>
                <c:pt idx="3">
                  <c:v>9</c:v>
                </c:pt>
                <c:pt idx="4">
                  <c:v>8.9</c:v>
                </c:pt>
                <c:pt idx="5">
                  <c:v>8.1</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Hoja1!$A$2:$A$6</c:f>
              <c:strCache>
                <c:ptCount val="5"/>
                <c:pt idx="0">
                  <c:v>1S24</c:v>
                </c:pt>
                <c:pt idx="1">
                  <c:v>2S24</c:v>
                </c:pt>
                <c:pt idx="2">
                  <c:v>1S25</c:v>
                </c:pt>
                <c:pt idx="3">
                  <c:v>2S25</c:v>
                </c:pt>
                <c:pt idx="4">
                  <c:v>1S26</c:v>
                </c:pt>
              </c:strCache>
            </c:strRef>
          </c:cat>
          <c:val>
            <c:numRef>
              <c:f>Hoja1!$B$2:$B$6</c:f>
              <c:numCache>
                <c:formatCode>0.0"%"</c:formatCode>
                <c:ptCount val="5"/>
                <c:pt idx="2">
                  <c:v>5.5</c:v>
                </c:pt>
                <c:pt idx="3">
                  <c:v>9.5</c:v>
                </c:pt>
                <c:pt idx="4">
                  <c:v>5.7</c:v>
                </c:pt>
              </c:numCache>
            </c:numRef>
          </c:val>
        </c:ser>
        <c:ser>
          <c:idx val="1"/>
          <c:order val="1"/>
          <c:tx>
            <c:strRef>
              <c:f>Hoja1!$C$1</c:f>
              <c:strCache>
                <c:ptCount val="1"/>
                <c:pt idx="0">
                  <c:v>Orgánico</c:v>
                </c:pt>
              </c:strCache>
            </c:strRef>
          </c:tx>
          <c:spPr>
            <a:solidFill>
              <a:srgbClr val="EB6834"/>
            </a:solidFill>
            <a:ln w="9525">
              <a:noFill/>
            </a:ln>
          </c:spPr>
          <c:invertIfNegative val="0"/>
          <c:cat>
            <c:strRef>
              <c:f>Hoja1!$A$2:$A$6</c:f>
              <c:strCache>
                <c:ptCount val="5"/>
                <c:pt idx="0">
                  <c:v>1S24</c:v>
                </c:pt>
                <c:pt idx="1">
                  <c:v>2S24</c:v>
                </c:pt>
                <c:pt idx="2">
                  <c:v>1S25</c:v>
                </c:pt>
                <c:pt idx="3">
                  <c:v>2S25</c:v>
                </c:pt>
                <c:pt idx="4">
                  <c:v>1S26</c:v>
                </c:pt>
              </c:strCache>
            </c:strRef>
          </c:cat>
          <c:val>
            <c:numRef>
              <c:f>Hoja1!$C$2:$C$6</c:f>
              <c:numCache>
                <c:formatCode>0.0"%"</c:formatCode>
                <c:ptCount val="5"/>
                <c:pt idx="2">
                  <c:v>7.3</c:v>
                </c:pt>
                <c:pt idx="3">
                  <c:v>15.2</c:v>
                </c:pt>
                <c:pt idx="4">
                  <c:v>9.7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52</c:v>
                </c:pt>
                <c:pt idx="1">
                  <c:v>43</c:v>
                </c:pt>
                <c:pt idx="2">
                  <c:v>40</c:v>
                </c:pt>
                <c:pt idx="3">
                  <c:v>42</c:v>
                </c:pt>
                <c:pt idx="4">
                  <c:v>45</c:v>
                </c:pt>
                <c:pt idx="5">
                  <c:v>47</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113</c:v>
                </c:pt>
                <c:pt idx="1">
                  <c:v>118</c:v>
                </c:pt>
                <c:pt idx="2">
                  <c:v>114</c:v>
                </c:pt>
                <c:pt idx="3">
                  <c:v>107</c:v>
                </c:pt>
                <c:pt idx="4">
                  <c:v>119</c:v>
                </c:pt>
                <c:pt idx="5">
                  <c:v>115</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Hoja1!$D$2:$D$7</c:f>
              <c:numCache>
                <c:formatCode>0</c:formatCode>
                <c:ptCount val="6"/>
                <c:pt idx="0">
                  <c:v>109</c:v>
                </c:pt>
                <c:pt idx="1">
                  <c:v>107</c:v>
                </c:pt>
                <c:pt idx="2">
                  <c:v>94</c:v>
                </c:pt>
                <c:pt idx="3">
                  <c:v>93</c:v>
                </c:pt>
                <c:pt idx="4">
                  <c:v>100</c:v>
                </c:pt>
                <c:pt idx="5">
                  <c:v>94</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(EUR,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1842</c:v>
                </c:pt>
                <c:pt idx="1">
                  <c:v>2793</c:v>
                </c:pt>
                <c:pt idx="2">
                  <c:v>2256</c:v>
                </c:pt>
                <c:pt idx="3">
                  <c:v>2394</c:v>
                </c:pt>
                <c:pt idx="4">
                  <c:v>2412</c:v>
                </c:pt>
                <c:pt idx="5">
                  <c:v>2796</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85</c:v>
                </c:pt>
                <c:pt idx="1">
                  <c:v>1448</c:v>
                </c:pt>
                <c:pt idx="2">
                  <c:v>2152</c:v>
                </c:pt>
                <c:pt idx="3">
                  <c:v>2289</c:v>
                </c:pt>
                <c:pt idx="4">
                  <c:v>2359</c:v>
                </c:pt>
                <c:pt idx="5">
                  <c:v>2315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0.8</c:v>
                </c:pt>
                <c:pt idx="1">
                  <c:v>4.1</c:v>
                </c:pt>
                <c:pt idx="2">
                  <c:v>5.1</c:v>
                </c:pt>
                <c:pt idx="3">
                  <c:v>5.3</c:v>
                </c:pt>
                <c:pt idx="4">
                  <c:v>5.2</c:v>
                </c:pt>
                <c:pt idx="5">
                  <c:v>5.4</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7.8</c:v>
                </c:pt>
                <c:pt idx="1">
                  <c:v>7.8</c:v>
                </c:pt>
                <c:pt idx="2">
                  <c:v>7.8</c:v>
                </c:pt>
                <c:pt idx="3">
                  <c:v>7.8</c:v>
                </c:pt>
                <c:pt idx="4">
                  <c:v>7.8</c:v>
                </c:pt>
                <c:pt idx="5">
                  <c:v>7.8</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Hoja1!$D$2:$D$7</c:f>
              <c:numCache>
                <c:formatCode>0"%"</c:formatCode>
                <c:ptCount val="6"/>
                <c:pt idx="0">
                  <c:v>0.3</c:v>
                </c:pt>
                <c:pt idx="1">
                  <c:v>4.3</c:v>
                </c:pt>
                <c:pt idx="2">
                  <c:v>5.9</c:v>
                </c:pt>
                <c:pt idx="3">
                  <c:v>6</c:v>
                </c:pt>
                <c:pt idx="4">
                  <c:v>6</c:v>
                </c:pt>
                <c:pt idx="5">
                  <c:v>5.8</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2020</c:v>
                </c:pt>
                <c:pt idx="1">
                  <c:v>2021</c:v>
                </c:pt>
                <c:pt idx="2">
                  <c:v>2022</c:v>
                </c:pt>
                <c:pt idx="3">
                  <c:v>2023</c:v>
                </c:pt>
                <c:pt idx="4">
                  <c:v>2024</c:v>
                </c:pt>
                <c:pt idx="5">
                  <c:v>2025</c:v>
                </c:pt>
              </c:strCache>
            </c:strRef>
          </c:cat>
          <c:val>
            <c:numRef>
              <c:f>Hoja1!$B$2:$B$7</c:f>
              <c:numCache>
                <c:formatCode>0.0"x"</c:formatCode>
                <c:ptCount val="6"/>
                <c:pt idx="0">
                  <c:v>1.23</c:v>
                </c:pt>
                <c:pt idx="1">
                  <c:v>2.03</c:v>
                </c:pt>
                <c:pt idx="2">
                  <c:v>1.67</c:v>
                </c:pt>
                <c:pt idx="3">
                  <c:v>1.48</c:v>
                </c:pt>
                <c:pt idx="4">
                  <c:v>1.68</c:v>
                </c:pt>
                <c:pt idx="5">
                  <c:v>1.61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(EUR,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133</c:v>
                </c:pt>
                <c:pt idx="1">
                  <c:v>7078</c:v>
                </c:pt>
                <c:pt idx="2">
                  <c:v>965</c:v>
                </c:pt>
                <c:pt idx="3">
                  <c:v>114</c:v>
                </c:pt>
                <c:pt idx="4">
                  <c:v>1755</c:v>
                </c:pt>
                <c:pt idx="5">
                  <c:v>911</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503</c:v>
                </c:pt>
                <c:pt idx="1">
                  <c:v>138</c:v>
                </c:pt>
                <c:pt idx="2">
                  <c:v>454</c:v>
                </c:pt>
                <c:pt idx="3">
                  <c:v>487</c:v>
                </c:pt>
                <c:pt idx="4">
                  <c:v>1163</c:v>
                </c:pt>
                <c:pt idx="5">
                  <c:v>547</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Hoja1!$A$2:$A$7</c:f>
              <c:strCache>
                <c:ptCount val="6"/>
                <c:pt idx="0">
                  <c:v>2020</c:v>
                </c:pt>
                <c:pt idx="1">
                  <c:v>2021</c:v>
                </c:pt>
                <c:pt idx="2">
                  <c:v>2022</c:v>
                </c:pt>
                <c:pt idx="3">
                  <c:v>2023</c:v>
                </c:pt>
                <c:pt idx="4">
                  <c:v>2024</c:v>
                </c:pt>
                <c:pt idx="5">
                  <c:v>2025</c:v>
                </c:pt>
              </c:strCache>
            </c:strRef>
          </c:cat>
          <c:val>
            <c:numRef>
              <c:f>Hoja1!$D$2:$D$7</c:f>
              <c:numCache>
                <c:formatCode>#,##0</c:formatCode>
                <c:ptCount val="6"/>
                <c:pt idx="0">
                  <c:v>159</c:v>
                </c:pt>
                <c:pt idx="1">
                  <c:v>317</c:v>
                </c:pt>
                <c:pt idx="2">
                  <c:v>431</c:v>
                </c:pt>
                <c:pt idx="3">
                  <c:v>271</c:v>
                </c:pt>
                <c:pt idx="4">
                  <c:v>274</c:v>
                </c:pt>
                <c:pt idx="5">
                  <c:v>376</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Pt>
            <c:idx val="3"/>
            <c:bubble3D val="0"/>
            <c:spPr>
              <a:solidFill>
                <a:srgbClr val="EDA100"/>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Hoja1!$A$2:$A$5</c:f>
              <c:strCache>
                <c:ptCount val="4"/>
                <c:pt idx="0">
                  <c:v>Ejecutivo</c:v>
                </c:pt>
                <c:pt idx="1">
                  <c:v>Dominical</c:v>
                </c:pt>
                <c:pt idx="2">
                  <c:v>Independiente</c:v>
                </c:pt>
                <c:pt idx="3">
                  <c:v>Otro externo</c:v>
                </c:pt>
              </c:strCache>
            </c:strRef>
          </c:cat>
          <c:val>
            <c:numRef>
              <c:f>Hoja1!$B$2:$B$5</c:f>
              <c:numCache>
                <c:formatCode>0</c:formatCode>
                <c:ptCount val="4"/>
                <c:pt idx="0">
                  <c:v>2</c:v>
                </c:pt>
                <c:pt idx="1">
                  <c:v>3</c:v>
                </c:pt>
                <c:pt idx="2">
                  <c:v>7</c:v>
                </c:pt>
                <c:pt idx="3">
                  <c:v>1</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Delfin (herederos de Leonardo Del Vecchio)</c:v>
                </c:pt>
                <c:pt idx="1">
                  <c:v>Empleados</c:v>
                </c:pt>
                <c:pt idx="2">
                  <c:v>Autocartera</c:v>
                </c:pt>
                <c:pt idx="3">
                  <c:v>Inversores institucionales no residentes</c:v>
                </c:pt>
              </c:strCache>
            </c:strRef>
          </c:cat>
          <c:val>
            <c:numRef>
              <c:f>Hoja1!$B$2:$B$5</c:f>
              <c:numCache>
                <c:formatCode>0.0"%"</c:formatCode>
                <c:ptCount val="4"/>
                <c:pt idx="0">
                  <c:v>32.4</c:v>
                </c:pt>
                <c:pt idx="1">
                  <c:v>4.4</c:v>
                </c:pt>
                <c:pt idx="2">
                  <c:v>1.3</c:v>
                </c:pt>
                <c:pt idx="3">
                  <c:v>47.5</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-6.7</c:v>
                </c:pt>
                <c:pt idx="1">
                  <c:v>8.5</c:v>
                </c:pt>
                <c:pt idx="2">
                  <c:v>-2.6</c:v>
                </c:pt>
                <c:pt idx="3">
                  <c:v>25.4</c:v>
                </c:pt>
                <c:pt idx="4">
                  <c:v>-5.2</c:v>
                </c:pt>
                <c:pt idx="5">
                  <c:v>47.9</c:v>
                </c:pt>
                <c:pt idx="6">
                  <c:v>-8.1</c:v>
                </c:pt>
                <c:pt idx="7">
                  <c:v>9.3</c:v>
                </c:pt>
                <c:pt idx="8">
                  <c:v>35.3</c:v>
                </c:pt>
                <c:pt idx="9">
                  <c:v>16.4</c:v>
                </c:pt>
              </c:numCache>
            </c:numRef>
          </c:val>
        </c:ser>
        <c:ser>
          <c:idx val="1"/>
          <c:order val="1"/>
          <c:tx>
            <c:strRef>
              <c:f>Hoja1!$C$1</c:f>
              <c:strCache>
                <c:ptCount val="1"/>
                <c:pt idx="0">
                  <c:v>Índice</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1.6</c:v>
                </c:pt>
                <c:pt idx="1">
                  <c:v>10.7</c:v>
                </c:pt>
                <c:pt idx="2">
                  <c:v>-11</c:v>
                </c:pt>
                <c:pt idx="3">
                  <c:v>28.4</c:v>
                </c:pt>
                <c:pt idx="4">
                  <c:v>-1.8</c:v>
                </c:pt>
                <c:pt idx="5">
                  <c:v>24.6</c:v>
                </c:pt>
                <c:pt idx="6">
                  <c:v>-10.3</c:v>
                </c:pt>
                <c:pt idx="7">
                  <c:v>15.5</c:v>
                </c:pt>
                <c:pt idx="8">
                  <c:v>8.5</c:v>
                </c:pt>
                <c:pt idx="9">
                  <c:v>20.5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Hoja1!$B$2:$B$7</c:f>
              <c:numCache>
                <c:formatCode>0.0"x"</c:formatCode>
                <c:ptCount val="6"/>
                <c:pt idx="0">
                  <c:v>22.5</c:v>
                </c:pt>
                <c:pt idx="1">
                  <c:v>19.3</c:v>
                </c:pt>
                <c:pt idx="2">
                  <c:v>13.8</c:v>
                </c:pt>
                <c:pt idx="3">
                  <c:v>14.6</c:v>
                </c:pt>
                <c:pt idx="4">
                  <c:v>18.3</c:v>
                </c:pt>
                <c:pt idx="5">
                  <c:v>20.3</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Hoja1!$C$2:$C$7</c:f>
              <c:numCache>
                <c:formatCode>0.0"x"</c:formatCode>
                <c:ptCount val="6"/>
                <c:pt idx="0">
                  <c:v>18.3</c:v>
                </c:pt>
                <c:pt idx="1">
                  <c:v>18.3</c:v>
                </c:pt>
                <c:pt idx="2">
                  <c:v>18.3</c:v>
                </c:pt>
                <c:pt idx="3">
                  <c:v>18.3</c:v>
                </c:pt>
                <c:pt idx="4">
                  <c:v>18.3</c:v>
                </c:pt>
                <c:pt idx="5">
                  <c:v>18.3</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Pt>
            <c:idx val="8"/>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Hoja1!$A$2:$A$10</c:f>
              <c:strCache>
                <c:ptCount val="9"/>
                <c:pt idx="0">
                  <c:v>EssilorLuxottica</c:v>
                </c:pt>
                <c:pt idx="1">
                  <c:v>Hoya</c:v>
                </c:pt>
                <c:pt idx="2">
                  <c:v>Alcon</c:v>
                </c:pt>
                <c:pt idx="3">
                  <c:v>Cooper Companies</c:v>
                </c:pt>
                <c:pt idx="4">
                  <c:v>Demant</c:v>
                </c:pt>
                <c:pt idx="5">
                  <c:v>Sonova</c:v>
                </c:pt>
                <c:pt idx="6">
                  <c:v>Fielmann</c:v>
                </c:pt>
                <c:pt idx="7">
                  <c:v>Straumann</c:v>
                </c:pt>
                <c:pt idx="8">
                  <c:v>Coloplast</c:v>
                </c:pt>
              </c:strCache>
            </c:strRef>
          </c:cat>
          <c:val>
            <c:numRef>
              <c:f>Hoja1!$B$2:$B$10</c:f>
              <c:numCache>
                <c:formatCode>0.0"x"</c:formatCode>
                <c:ptCount val="9"/>
                <c:pt idx="0">
                  <c:v>11</c:v>
                </c:pt>
                <c:pt idx="3">
                  <c:v>10.9</c:v>
                </c:pt>
                <c:pt idx="4">
                  <c:v>13.7</c:v>
                </c:pt>
                <c:pt idx="5">
                  <c:v>15.6</c:v>
                </c:pt>
                <c:pt idx="6">
                  <c:v>6.8</c:v>
                </c:pt>
                <c:pt idx="8">
                  <c:v>13.8</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EssilorLuxottica</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7.1</c:v>
                </c:pt>
              </c:numCache>
            </c:numRef>
          </c:xVal>
          <c:yVal>
            <c:numRef>
              <c:f>Hoja1!$C$2</c:f>
              <c:numCache>
                <c:formatCode>0.0"x"</c:formatCode>
                <c:ptCount val="1"/>
                <c:pt idx="0">
                  <c:v>11</c:v>
                </c:pt>
              </c:numCache>
            </c:numRef>
          </c:yVal>
          <c:smooth val="0"/>
        </c:ser>
        <c:ser>
          <c:idx val="1"/>
          <c:order val="1"/>
          <c:tx>
            <c:strRef>
              <c:f>Hoja1!$A$3</c:f>
              <c:strCache>
                <c:ptCount val="1"/>
                <c:pt idx="0">
                  <c:v>Cooper Companies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3.2</c:v>
                </c:pt>
              </c:numCache>
            </c:numRef>
          </c:xVal>
          <c:yVal>
            <c:numRef>
              <c:f>Hoja1!$C$3</c:f>
              <c:numCache>
                <c:formatCode>0.0"x"</c:formatCode>
                <c:ptCount val="1"/>
                <c:pt idx="0">
                  <c:v>10.9</c:v>
                </c:pt>
              </c:numCache>
            </c:numRef>
          </c:yVal>
          <c:smooth val="0"/>
        </c:ser>
        <c:ser>
          <c:idx val="2"/>
          <c:order val="2"/>
          <c:tx>
            <c:strRef>
              <c:f>Hoja1!$A$4</c:f>
              <c:strCache>
                <c:ptCount val="1"/>
                <c:pt idx="0">
                  <c:v>Demant</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Hoja1!$B$4</c:f>
              <c:numCache>
                <c:formatCode>0"%"</c:formatCode>
                <c:ptCount val="1"/>
                <c:pt idx="0">
                  <c:v>10.6</c:v>
                </c:pt>
              </c:numCache>
            </c:numRef>
          </c:xVal>
          <c:yVal>
            <c:numRef>
              <c:f>Hoja1!$C$4</c:f>
              <c:numCache>
                <c:formatCode>0.0"x"</c:formatCode>
                <c:ptCount val="1"/>
                <c:pt idx="0">
                  <c:v>13.7</c:v>
                </c:pt>
              </c:numCache>
            </c:numRef>
          </c:yVal>
          <c:smooth val="0"/>
        </c:ser>
        <c:ser>
          <c:idx val="3"/>
          <c:order val="3"/>
          <c:tx>
            <c:strRef>
              <c:f>Hoja1!$A$5</c:f>
              <c:strCache>
                <c:ptCount val="1"/>
                <c:pt idx="0">
                  <c:v>Sonova</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Hoja1!$B$5</c:f>
              <c:numCache>
                <c:formatCode>0"%"</c:formatCode>
                <c:ptCount val="1"/>
                <c:pt idx="0">
                  <c:v>7</c:v>
                </c:pt>
              </c:numCache>
            </c:numRef>
          </c:xVal>
          <c:yVal>
            <c:numRef>
              <c:f>Hoja1!$C$5</c:f>
              <c:numCache>
                <c:formatCode>0.0"x"</c:formatCode>
                <c:ptCount val="1"/>
                <c:pt idx="0">
                  <c:v>15.6</c:v>
                </c:pt>
              </c:numCache>
            </c:numRef>
          </c:yVal>
          <c:smooth val="0"/>
        </c:ser>
        <c:ser>
          <c:idx val="4"/>
          <c:order val="4"/>
          <c:tx>
            <c:strRef>
              <c:f>Hoja1!$A$6</c:f>
              <c:strCache>
                <c:ptCount val="1"/>
                <c:pt idx="0">
                  <c:v>Fielmann</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Hoja1!$B$6</c:f>
              <c:numCache>
                <c:formatCode>0"%"</c:formatCode>
                <c:ptCount val="1"/>
                <c:pt idx="0">
                  <c:v>5.4</c:v>
                </c:pt>
              </c:numCache>
            </c:numRef>
          </c:xVal>
          <c:yVal>
            <c:numRef>
              <c:f>Hoja1!$C$6</c:f>
              <c:numCache>
                <c:formatCode>0.0"x"</c:formatCode>
                <c:ptCount val="1"/>
                <c:pt idx="0">
                  <c:v>6.8</c:v>
                </c:pt>
              </c:numCache>
            </c:numRef>
          </c:yVal>
          <c:smooth val="0"/>
        </c:ser>
        <c:ser>
          <c:idx val="5"/>
          <c:order val="5"/>
          <c:tx>
            <c:strRef>
              <c:f>Hoja1!$A$7</c:f>
              <c:strCache>
                <c:ptCount val="1"/>
                <c:pt idx="0">
                  <c:v>Coloplast</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Hoja1!$B$7</c:f>
              <c:numCache>
                <c:formatCode>0"%"</c:formatCode>
                <c:ptCount val="1"/>
                <c:pt idx="0">
                  <c:v>6.7</c:v>
                </c:pt>
              </c:numCache>
            </c:numRef>
          </c:xVal>
          <c:yVal>
            <c:numRef>
              <c:f>Hoja1!$C$7</c:f>
              <c:numCache>
                <c:formatCode>0.0"x"</c:formatCode>
                <c:ptCount val="1"/>
                <c:pt idx="0">
                  <c:v>13.8</c:v>
                </c:pt>
              </c:numCache>
            </c:numRef>
          </c:yVal>
          <c:smooth val="0"/>
        </c:ser>
        <c:axId val="10"/>
        <c:axId val="20"/>
      </c:scatterChart>
      <c:valAx>
        <c:axId val="10"/>
        <c:scaling>
          <c:orientation val="minMax"/>
          <c:max val="13"/>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min val="5"/>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GN Hearing (audífonos)</c:v>
                </c:pt>
                <c:pt idx="1">
                  <c:v>Hologic (tecnología médica)</c:v>
                </c:pt>
                <c:pt idx="2">
                  <c:v>Xiidra (Novartis)</c:v>
                </c:pt>
                <c:pt idx="3">
                  <c:v>Generate Life Sciences</c:v>
                </c:pt>
                <c:pt idx="4">
                  <c:v>Shopko Optical (cadena óptica de EE. UU.)</c:v>
                </c:pt>
                <c:pt idx="5">
                  <c:v>GrandVision (76,72 %)</c:v>
                </c:pt>
              </c:strCache>
            </c:strRef>
          </c:cat>
          <c:val>
            <c:numRef>
              <c:f>Hoja1!$B$2:$B$7</c:f>
              <c:numCache>
                <c:formatCode>0.0"x"</c:formatCode>
                <c:ptCount val="6"/>
                <c:pt idx="0">
                  <c:v>10.5</c:v>
                </c:pt>
                <c:pt idx="1">
                  <c:v>13.7</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(EUR,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2026e</c:v>
                </c:pt>
                <c:pt idx="1">
                  <c:v>2027e</c:v>
                </c:pt>
                <c:pt idx="2">
                  <c:v>2028e</c:v>
                </c:pt>
                <c:pt idx="3">
                  <c:v>2029e</c:v>
                </c:pt>
                <c:pt idx="4">
                  <c:v>2030e</c:v>
                </c:pt>
                <c:pt idx="5">
                  <c:v>2031e</c:v>
                </c:pt>
                <c:pt idx="6">
                  <c:v>2032e</c:v>
                </c:pt>
                <c:pt idx="7">
                  <c:v>2033e</c:v>
                </c:pt>
                <c:pt idx="8">
                  <c:v>2034e</c:v>
                </c:pt>
                <c:pt idx="9">
                  <c:v>2035e</c:v>
                </c:pt>
              </c:strCache>
            </c:strRef>
          </c:cat>
          <c:val>
            <c:numRef>
              <c:f>Hoja1!$B$2:$B$11</c:f>
              <c:numCache>
                <c:formatCode>#,##0</c:formatCode>
                <c:ptCount val="10"/>
                <c:pt idx="0">
                  <c:v>3326</c:v>
                </c:pt>
                <c:pt idx="1">
                  <c:v>3499</c:v>
                </c:pt>
                <c:pt idx="2">
                  <c:v>3740</c:v>
                </c:pt>
                <c:pt idx="3">
                  <c:v>3953</c:v>
                </c:pt>
                <c:pt idx="4">
                  <c:v>4195</c:v>
                </c:pt>
                <c:pt idx="5">
                  <c:v>4391</c:v>
                </c:pt>
                <c:pt idx="6">
                  <c:v>4575</c:v>
                </c:pt>
                <c:pt idx="7">
                  <c:v>4786</c:v>
                </c:pt>
                <c:pt idx="8">
                  <c:v>4939</c:v>
                </c:pt>
                <c:pt idx="9">
                  <c:v>5065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(EUR,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27985</c:v>
                </c:pt>
                <c:pt idx="1">
                  <c:v>48610</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(EUR) · precio actual 152,05</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89.31</c:v>
                </c:pt>
                <c:pt idx="1">
                  <c:v>133.19</c:v>
                </c:pt>
                <c:pt idx="2">
                  <c:v>157.21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(EUR) · precio actual 152,05</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Hoja1!$A$2:$A$10</c:f>
              <c:strCache>
                <c:ptCount val="9"/>
                <c:pt idx="0">
                  <c:v>Cotización 52 semanas (138,30 – 323,80)</c:v>
                </c:pt>
                <c:pt idx="1">
                  <c:v>Precio objetivo de los analistas (135,00 – 361,00)</c:v>
                </c:pt>
                <c:pt idx="2">
                  <c:v>Comparables: EV/EBITDA NTM (150,26 – 199,25)</c:v>
                </c:pt>
                <c:pt idx="3">
                  <c:v>Comparables: PER NTM (133,60 – 196,50)</c:v>
                </c:pt>
                <c:pt idx="4">
                  <c:v>Transacciones precedentes (EV/ventas) (113,03 – 251,02)</c:v>
                </c:pt>
                <c:pt idx="5">
                  <c:v>DCF (WACC y g ± 0,5) (111,09 – 165,28)</c:v>
                </c:pt>
                <c:pt idx="6">
                  <c:v>Escenarios (bajista – alcista) (89,31 – 157,21)</c:v>
                </c:pt>
                <c:pt idx="7">
                  <c:v>DCF con la prima implícita del mercado (4,2 %)</c:v>
                </c:pt>
                <c:pt idx="8">
                  <c:v>Precio actual (152,05)</c:v>
                </c:pt>
              </c:strCache>
            </c:strRef>
          </c:cat>
          <c:val>
            <c:numRef>
              <c:f>Hoja1!$B$2:$B$10</c:f>
              <c:numCache>
                <c:formatCode>#,##0</c:formatCode>
                <c:ptCount val="9"/>
                <c:pt idx="0">
                  <c:v>138.3</c:v>
                </c:pt>
                <c:pt idx="1">
                  <c:v>135</c:v>
                </c:pt>
                <c:pt idx="2">
                  <c:v>150.26</c:v>
                </c:pt>
                <c:pt idx="3">
                  <c:v>133.6</c:v>
                </c:pt>
                <c:pt idx="4">
                  <c:v>113.03</c:v>
                </c:pt>
                <c:pt idx="5">
                  <c:v>111.09</c:v>
                </c:pt>
                <c:pt idx="6">
                  <c:v>89.31</c:v>
                </c:pt>
                <c:pt idx="7">
                  <c:v>152.83</c:v>
                </c:pt>
                <c:pt idx="8">
                  <c:v>151.29</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8"/>
            <c:invertIfNegative val="0"/>
            <c:bubble3D val="0"/>
            <c:spPr>
              <a:solidFill>
                <a:srgbClr val="C9C8C2"/>
              </a:solidFill>
            </c:spPr>
          </c:dPt>
          <c:cat>
            <c:strRef>
              <c:f>Hoja1!$A$2:$A$10</c:f>
              <c:strCache>
                <c:ptCount val="9"/>
                <c:pt idx="0">
                  <c:v>Cotización 52 semanas (138,30 – 323,80)</c:v>
                </c:pt>
                <c:pt idx="1">
                  <c:v>Precio objetivo de los analistas (135,00 – 361,00)</c:v>
                </c:pt>
                <c:pt idx="2">
                  <c:v>Comparables: EV/EBITDA NTM (150,26 – 199,25)</c:v>
                </c:pt>
                <c:pt idx="3">
                  <c:v>Comparables: PER NTM (133,60 – 196,50)</c:v>
                </c:pt>
                <c:pt idx="4">
                  <c:v>Transacciones precedentes (EV/ventas) (113,03 – 251,02)</c:v>
                </c:pt>
                <c:pt idx="5">
                  <c:v>DCF (WACC y g ± 0,5) (111,09 – 165,28)</c:v>
                </c:pt>
                <c:pt idx="6">
                  <c:v>Escenarios (bajista – alcista) (89,31 – 157,21)</c:v>
                </c:pt>
                <c:pt idx="7">
                  <c:v>DCF con la prima implícita del mercado (4,2 %)</c:v>
                </c:pt>
                <c:pt idx="8">
                  <c:v>Precio actual (152,05)</c:v>
                </c:pt>
              </c:strCache>
            </c:strRef>
          </c:cat>
          <c:val>
            <c:numRef>
              <c:f>Hoja1!$C$2:$C$10</c:f>
              <c:numCache>
                <c:formatCode>#,##0</c:formatCode>
                <c:ptCount val="9"/>
                <c:pt idx="0">
                  <c:v>185.5</c:v>
                </c:pt>
                <c:pt idx="1">
                  <c:v>226</c:v>
                </c:pt>
                <c:pt idx="2">
                  <c:v>48.99000000000001</c:v>
                </c:pt>
                <c:pt idx="3">
                  <c:v>62.900000000000006</c:v>
                </c:pt>
                <c:pt idx="4">
                  <c:v>137.99</c:v>
                </c:pt>
                <c:pt idx="5">
                  <c:v>54.19</c:v>
                </c:pt>
                <c:pt idx="6">
                  <c:v>67.9</c:v>
                </c:pt>
                <c:pt idx="7">
                  <c:v>49.70999999999998</c:v>
                </c:pt>
                <c:pt idx="8">
                  <c:v>1.5200000000000102</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2026-10-15T11:43:41.470Z</dcterms:created>
  <dcterms:modified xsi:type="dcterms:W3CDTF">2026-10-15T11:43:41.470Z</dcterms:modified>
</cp:coreProperties>
</file>

<file path=docProps/custom.xml><?xml version="1.0" encoding="utf-8"?>
<Properties xmlns="http://schemas.openxmlformats.org/officeDocument/2006/custom-properties" xmlns:vt="http://schemas.openxmlformats.org/officeDocument/2006/docPropsVTypes"/>
</file>